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00"/>
        <w:jc w:val="right"/>
      </w:pPr>
      <w:r>
        <w:rPr>
          <w:rFonts w:ascii="Arial" w:cs="Arial" w:eastAsia="Arial" w:hAnsi="Arial"/>
          <w:b/>
          <w:bCs/>
          <w:color w:val="1F3864"/>
          <w:sz w:val="36"/>
          <w:szCs w:val="36"/>
          <w:rtl/>
        </w:rPr>
        <w:t xml:space="preserve">بنك المنارة الآمن — سياسة أمن المعلومات الشاملة</w:t>
      </w:r>
    </w:p>
    <w:p>
      <w:pPr>
        <w:pBdr>
          <w:bottom w:val="single" w:color="AAAAAA" w:sz="6" w:space="8"/>
        </w:pBdr>
        <w:bidi/>
        <w:spacing w:after="360"/>
        <w:jc w:val="right"/>
      </w:pPr>
      <w:r>
        <w:rPr>
          <w:rFonts w:ascii="Arial" w:cs="Arial" w:eastAsia="Arial" w:hAnsi="Arial"/>
          <w:i/>
          <w:iCs/>
          <w:color w:val="595959"/>
          <w:sz w:val="20"/>
          <w:szCs w:val="20"/>
          <w:rtl/>
        </w:rPr>
        <w:t xml:space="preserve">مالك الوثيقة: إدارة الأمن السيبراني  |  الإصدار: 6.0  |  آخر اعتماد من مجلس الإدارة: 2026-01-15</w:t>
      </w:r>
    </w:p>
    <w:p>
      <w:pPr>
        <w:pStyle w:val="Heading2"/>
        <w:bidi/>
        <w:spacing w:after="120" w:before="320"/>
        <w:jc w:val="right"/>
      </w:pPr>
      <w:r>
        <w:rPr>
          <w:rFonts w:ascii="Arial" w:cs="Arial" w:eastAsia="Arial" w:hAnsi="Arial"/>
          <w:b/>
          <w:bCs/>
          <w:color w:val="1F3864"/>
          <w:sz w:val="26"/>
          <w:szCs w:val="26"/>
          <w:rtl/>
        </w:rPr>
        <w:t xml:space="preserve">3.1.1 حوكمة الأمن السيبراني</w:t>
      </w:r>
    </w:p>
    <w:p>
      <w:pPr>
        <w:bidi/>
        <w:spacing w:after="160" w:line="340"/>
        <w:jc w:val="both"/>
      </w:pPr>
      <w:r>
        <w:rPr>
          <w:rFonts w:ascii="Arial" w:cs="Arial" w:eastAsia="Arial" w:hAnsi="Arial"/>
          <w:sz w:val="22"/>
          <w:szCs w:val="22"/>
          <w:rtl/>
        </w:rPr>
        <w:t xml:space="preserve">فوّض مجلس الإدارة تشكيل لجنة للأمن السيبراني، لها ميثاق معتمد رسمياً، يرأسها مدير تنفيذي أول مستقل من إحدى وظائف الرقابة (رئيس إدارة المخاطر)، منفصل عن تقنية المعلومات وعن الأمن السيبراني. وتضم اللجنة مدراء تنفيذيين من جميع الإدارات ذات العلاقة (الرئيس التنفيذي للعمليات، والرئيس التنفيذي لتقنية المعلومات، ومسؤول الالتزام، ورؤساء إدارات الأعمال الرئيسية)، ورئيس الأمن السيبراني، وتحضر المراجعة الداخلية بصفة مراقب دون حق التصويت. ويحدد ميثاق اللجنة أهدافها وأدوارها ومسؤولياتها والحد الأدنى للنصاب القانوني، وتواتر اجتماعات ربع سنوي ثابت. وقد أُنشئت إدارة مخصصة للأمن السيبراني، مستقلة تماماً عن تقنية المعلومات، ولها خط رفع خاص بها وميزانية مستقلة وتقييم أداء منفصل لموظفيها، وترفع مباشرة إلى الرئيس التنفيذي. ورئيس الأمن السيبراني معيّن بدوام كامل، من الكوادر العليا، سعودي الجنسية، ومؤهل بالقدر الكافي (حاصل على شهادة CISSP وخبرة تتجاوز 12 عاماً)، وقد عُيّن بعد الحصول على عدم ممانعة رسمية من البنك المركزي السعودي (ساما). ويخصص مجلس الإدارة ميزانية سنوية كافية لجميع أنشطة الأمن السيبراني المخططة.</w:t>
      </w:r>
    </w:p>
    <w:p>
      <w:pPr>
        <w:pStyle w:val="Heading2"/>
        <w:bidi/>
        <w:spacing w:after="120" w:before="320"/>
        <w:jc w:val="right"/>
      </w:pPr>
      <w:r>
        <w:rPr>
          <w:rFonts w:ascii="Arial" w:cs="Arial" w:eastAsia="Arial" w:hAnsi="Arial"/>
          <w:b/>
          <w:bCs/>
          <w:color w:val="1F3864"/>
          <w:sz w:val="26"/>
          <w:szCs w:val="26"/>
          <w:rtl/>
        </w:rPr>
        <w:t xml:space="preserve">3.1.2 استراتيجية الأمن السيبراني</w:t>
      </w:r>
    </w:p>
    <w:p>
      <w:pPr>
        <w:bidi/>
        <w:spacing w:after="160" w:line="340"/>
        <w:jc w:val="both"/>
      </w:pPr>
      <w:r>
        <w:rPr>
          <w:rFonts w:ascii="Arial" w:cs="Arial" w:eastAsia="Arial" w:hAnsi="Arial"/>
          <w:sz w:val="22"/>
          <w:szCs w:val="22"/>
          <w:rtl/>
        </w:rPr>
        <w:t xml:space="preserve">جرى تحديد استراتيجية للأمن السيبراني واعتمادها من مجلس الإدارة، وتتولى إدارة الأمن السيبراني تحديثها وتنفيذها بشكل فعّال. وتتوافق الاستراتيجية صراحةً مع الأهداف الاستراتيجية العامة للبنك، ومع جميع المتطلبات النظامية والرقابية المطبّقة، ومع استراتيجية الأمن السيبراني للقطاع المصرفي بالتنسيق مع البنك المركزي السعودي. وتتناول وثيقة الاستراتيجية أهمية الأمن السيبراني وفوائده للبنك، وتصف الوضع المستقبلي المتوقع لمرونة الأمن السيبراني في مواجهة التهديدات الناشئة، وتحدد مبادرات ومشاريع الأمن السيبراني التي ستُنفَّذ وتوقيت تنفيذها ضمن خارطة طريق متجددة مدتها ثلاث سنوات.</w:t>
      </w:r>
    </w:p>
    <w:p>
      <w:pPr>
        <w:pStyle w:val="Heading2"/>
        <w:bidi/>
        <w:spacing w:after="120" w:before="320"/>
        <w:jc w:val="right"/>
      </w:pPr>
      <w:r>
        <w:rPr>
          <w:rFonts w:ascii="Arial" w:cs="Arial" w:eastAsia="Arial" w:hAnsi="Arial"/>
          <w:b/>
          <w:bCs/>
          <w:color w:val="1F3864"/>
          <w:sz w:val="26"/>
          <w:szCs w:val="26"/>
          <w:rtl/>
        </w:rPr>
        <w:t xml:space="preserve">3.1.3 سياسة الأمن السيبراني</w:t>
      </w:r>
    </w:p>
    <w:p>
      <w:pPr>
        <w:bidi/>
        <w:spacing w:after="160" w:line="340"/>
        <w:jc w:val="both"/>
      </w:pPr>
      <w:r>
        <w:rPr>
          <w:rFonts w:ascii="Arial" w:cs="Arial" w:eastAsia="Arial" w:hAnsi="Arial"/>
          <w:sz w:val="22"/>
          <w:szCs w:val="22"/>
          <w:rtl/>
        </w:rPr>
        <w:t xml:space="preserve">سياسة الأمن السيبراني محددة ومعتمدة من مجلس الإدارة ومُبلَّغة إلى جميع الموظفين. وتخضع لمراجعة سنوية عبر عملية مراجعة منظمة وموثّقة، وتُستخدم كمدخل لسياسات المؤسسة الأخرى (سياسة الموارد البشرية، والسياسة المالية، وسياسة تقنية المعلومات)، وتدعمها معايير أمنية تفصيلية (معيار كلمات المرور، ومعيار جدران الحماية، وغيرها) وإجراءات مبنية على أفضل الممارسات الدولية (ISO 27001 وNIST CSF). وتشتمل السياسة على تعريف للأمن السيبراني، وأهداف البنك العامة في هذا المجال ونطاقها، وبيان بتوجّه مجلس الإدارة، وتحديد للمسؤوليات العامة والخاصة، وإحالات إلى المعايير والإجراءات الداعمة، ومتطلبات تضمن تصنيف المعلومات بحسب أهميتها وحمايتها بما يتوافق مع مستوى تقبّل المخاطر، وتعيين ملّاك لجميع أصول المعلومات، وإجراء تقييمات لمخاطر الأمن السيبراني على أصول المعلومات، وتوعية الأطراف المعنية عبر برنامج التوعية، والالتزام بالمتطلبات الرقابية والتعاقدية، والإبلاغ عن الاختراقات ونقاط الضعف المشتبه بها، وانعكاس الأمن السيبراني في إدارة استمرارية الأعمال.</w:t>
      </w:r>
    </w:p>
    <w:p>
      <w:pPr>
        <w:pStyle w:val="Heading2"/>
        <w:bidi/>
        <w:spacing w:after="120" w:before="320"/>
        <w:jc w:val="right"/>
      </w:pPr>
      <w:r>
        <w:rPr>
          <w:rFonts w:ascii="Arial" w:cs="Arial" w:eastAsia="Arial" w:hAnsi="Arial"/>
          <w:b/>
          <w:bCs/>
          <w:color w:val="1F3864"/>
          <w:sz w:val="26"/>
          <w:szCs w:val="26"/>
          <w:rtl/>
        </w:rPr>
        <w:t xml:space="preserve">3.1.4 أدوار ومسؤوليات الأمن السيبراني</w:t>
      </w:r>
    </w:p>
    <w:p>
      <w:pPr>
        <w:bidi/>
        <w:spacing w:after="160" w:line="340"/>
        <w:jc w:val="both"/>
      </w:pPr>
      <w:r>
        <w:rPr>
          <w:rFonts w:ascii="Arial" w:cs="Arial" w:eastAsia="Arial" w:hAnsi="Arial"/>
          <w:sz w:val="22"/>
          <w:szCs w:val="22"/>
          <w:rtl/>
        </w:rPr>
        <w:t xml:space="preserve">يتحمل مجلس الإدارة المسؤولية النهائية عن الأمن السيبراني: فهو يخصص الميزانية الكافية، ويعتمد ميثاق لجنة الأمن السيبراني، ويقرّ حوكمة الأمن السيبراني واستراتيجيته وسياسته بعد اعتماد اللجنة لها. وتتولى لجنة الأمن السيبراني مراقبة مستوى تقبّل البنك لمخاطر الأمن السيبراني ومراجعته دورياً، ومراجعة الاستراتيجية للتأكد من اتساقها مع أهداف البنك، واعتماد الحوكمة والاستراتيجية والسياسة وبرامج الأمن السيبراني (التوعية، وتصنيف البيانات، ومنع تسرب البيانات) وعملية إدارة المخاطر ومؤشرات المخاطر والأداء الرئيسية، وتبليغها ومتابعتها. وتضمن الإدارة العليا أن المعايير والإجراءات تعكس المتطلبات الأمنية، وأن الموظفين يقرّون بالسياسة ويلتزمون بها، وأن مسؤوليات الأمن السيبراني مُضمَّنة في الأوصاف الوظيفية للمناصب الرئيسية. ويتولى رئيس الأمن السيبراني إعداد الاستراتيجية والسياسة والبنية والمعمارية وعملية إدارة المخاطر وتحديثها، والتأكد من وضع المعايير والإجراءات التفصيلية وتطبيقها، وتقديم حلول قائمة على المخاطر، وتطوير كوادر الأمن السيبراني، والإشراف على المراقبة في مركز العمليات الأمنية ومراقبة الالتزام والتحقيق في الحوادث وجمع معلومات التهديدات وإجراء المراجعات، وتنفيذ تقييمات المخاطر، ودعم الإدارات الأخرى في التصنيف ومتطلبات المشاريع، وتنفيذ برنامج التوعية، ورفع تقارير مؤشرات المخاطر والأداء. وتنفّذ المراجعة الداخلية عمليات تدقيق مستقلة للأمن السيبراني، ويقع على جميع الموظفين مسؤولية الالتزام بالسياسة والمعايير والإجراءات.</w:t>
      </w:r>
    </w:p>
    <w:p>
      <w:pPr>
        <w:pStyle w:val="Heading2"/>
        <w:bidi/>
        <w:spacing w:after="120" w:before="320"/>
        <w:jc w:val="right"/>
      </w:pPr>
      <w:r>
        <w:rPr>
          <w:rFonts w:ascii="Arial" w:cs="Arial" w:eastAsia="Arial" w:hAnsi="Arial"/>
          <w:b/>
          <w:bCs/>
          <w:color w:val="1F3864"/>
          <w:sz w:val="26"/>
          <w:szCs w:val="26"/>
          <w:rtl/>
        </w:rPr>
        <w:t xml:space="preserve">3.1.5 الأمن السيبراني في إدارة المشاريع</w:t>
      </w:r>
    </w:p>
    <w:p>
      <w:pPr>
        <w:bidi/>
        <w:spacing w:after="160" w:line="340"/>
        <w:jc w:val="both"/>
      </w:pPr>
      <w:r>
        <w:rPr>
          <w:rFonts w:ascii="Arial" w:cs="Arial" w:eastAsia="Arial" w:hAnsi="Arial"/>
          <w:sz w:val="22"/>
          <w:szCs w:val="22"/>
          <w:rtl/>
        </w:rPr>
        <w:t xml:space="preserve">الأمن السيبراني مدمج بالكامل في منهجية إدارة المشاريع لدى البنك. فأهداف الأمن السيبراني مُضمَّنة في أهداف المشروع منذ مرحلة البدء، وتشارك إدارة الأمن السيبراني في جميع مراحل المشروع، ويُنفَّذ تقييم للمخاطر في بداية المشروع لتحديد مخاطر الأمن السيبراني والضوابط اللازمة، وتُسجَّل المخاطر المحددة في سجل مخاطر المشروع وتُتابع حتى إغلاقها، وتُحدَّد مسؤوليات الأمن السيبراني داخل المشروع وتُوزَّع صراحةً، وتُجرى مراجعة مستقلة للأمن السيبراني قبل الإطلاق الفعلي لكل مشروع.</w:t>
      </w:r>
    </w:p>
    <w:p>
      <w:pPr>
        <w:pStyle w:val="Heading2"/>
        <w:bidi/>
        <w:spacing w:after="120" w:before="320"/>
        <w:jc w:val="right"/>
      </w:pPr>
      <w:r>
        <w:rPr>
          <w:rFonts w:ascii="Arial" w:cs="Arial" w:eastAsia="Arial" w:hAnsi="Arial"/>
          <w:b/>
          <w:bCs/>
          <w:color w:val="1F3864"/>
          <w:sz w:val="26"/>
          <w:szCs w:val="26"/>
          <w:rtl/>
        </w:rPr>
        <w:t xml:space="preserve">3.1.6 التوعية بالأمن السيبراني</w:t>
      </w:r>
    </w:p>
    <w:p>
      <w:pPr>
        <w:bidi/>
        <w:spacing w:after="160" w:line="340"/>
        <w:jc w:val="both"/>
      </w:pPr>
      <w:r>
        <w:rPr>
          <w:rFonts w:ascii="Arial" w:cs="Arial" w:eastAsia="Arial" w:hAnsi="Arial"/>
          <w:sz w:val="22"/>
          <w:szCs w:val="22"/>
          <w:rtl/>
        </w:rPr>
        <w:t xml:space="preserve">جرى تحديد برنامج رسمي للتوعية بالأمن السيبراني واعتماده من لجنة الأمن السيبراني، ويُنفَّذ باستمرار على مدار السنة لثلاث فئات مستهدفة: موظفو البنك، والأطراف الخارجية، والعملاء، ويُخاطَب كل منهم بمحتوى مخصص عبر قنوات متعددة (التعلم الإلكتروني، والملصقات، وحملات البريد الإلكتروني، والرسائل النصية). ويغطي البرنامج شرحاً لتدابير الأمن السيبراني المطبّقة، والأدوار والمسؤوليات المتعلقة بالأمن السيبراني، ومعلومات عن التهديدات الناشئة مثل التصيّد الموجّه واستهداف كبار المسؤولين. وتُقيَّم فعالية البرنامج من خلال نتائج محاكاة التصيّد والاختبارات التي تلي التدريب، مع صياغة توصيات لتحسينه في كل دورة. ويعالج محتوى توعية العملاء فئتي الأفراد والشركات معاً، ويتضمن قائمة بآليات الأمن السيبراني المقترحة التي يمكن للعملاء تبنّيها للحد من مخاطرهم.</w:t>
      </w:r>
    </w:p>
    <w:p>
      <w:pPr>
        <w:pStyle w:val="Heading2"/>
        <w:bidi/>
        <w:spacing w:after="120" w:before="320"/>
        <w:jc w:val="right"/>
      </w:pPr>
      <w:r>
        <w:rPr>
          <w:rFonts w:ascii="Arial" w:cs="Arial" w:eastAsia="Arial" w:hAnsi="Arial"/>
          <w:b/>
          <w:bCs/>
          <w:color w:val="1F3864"/>
          <w:sz w:val="26"/>
          <w:szCs w:val="26"/>
          <w:rtl/>
        </w:rPr>
        <w:t xml:space="preserve">3.1.7 التدريب على الأمن السيبراني</w:t>
      </w:r>
    </w:p>
    <w:p>
      <w:pPr>
        <w:bidi/>
        <w:spacing w:after="160" w:line="340"/>
        <w:jc w:val="both"/>
      </w:pPr>
      <w:r>
        <w:rPr>
          <w:rFonts w:ascii="Arial" w:cs="Arial" w:eastAsia="Arial" w:hAnsi="Arial"/>
          <w:sz w:val="22"/>
          <w:szCs w:val="22"/>
          <w:rtl/>
        </w:rPr>
        <w:t xml:space="preserve">يُقدَّم تدريب أمني تخصصي قائم على الدور الوظيفي للموظفين بحسب فئاتهم الوظيفية، ويشمل الأدوار الرئيسية في البنك، وموظفي إدارة الأمن السيبراني، والموظفين المشاركين في تطوير أصول المعلومات وصيانتها، والموظفين المشاركين في تقييمات المخاطر. ويُحدَّث التدريب سنوياً ويُستكمل بشهادات تقنية متخصصة (مثل CISSP وCEH) لموظفي الأمن السيبراني، بما يزوّد جميع المشمولين بالمهارات والمعرفة اللازمة لتشغيل أصول معلومات البنك بأمان والوفاء بمسؤولياتهم في الأمن السيبراني.</w:t>
      </w:r>
    </w:p>
    <w:p>
      <w:pPr>
        <w:pStyle w:val="Heading2"/>
        <w:bidi/>
        <w:spacing w:after="120" w:before="320"/>
        <w:jc w:val="right"/>
      </w:pPr>
      <w:r>
        <w:rPr>
          <w:rFonts w:ascii="Arial" w:cs="Arial" w:eastAsia="Arial" w:hAnsi="Arial"/>
          <w:b/>
          <w:bCs/>
          <w:color w:val="1F3864"/>
          <w:sz w:val="26"/>
          <w:szCs w:val="26"/>
          <w:rtl/>
        </w:rPr>
        <w:t xml:space="preserve">3.2.1 إدارة مخاطر الأمن السيبراني</w:t>
      </w:r>
    </w:p>
    <w:p>
      <w:pPr>
        <w:bidi/>
        <w:spacing w:after="160" w:line="340"/>
        <w:jc w:val="both"/>
      </w:pPr>
      <w:r>
        <w:rPr>
          <w:rFonts w:ascii="Arial" w:cs="Arial" w:eastAsia="Arial" w:hAnsi="Arial"/>
          <w:sz w:val="22"/>
          <w:szCs w:val="22"/>
          <w:rtl/>
        </w:rPr>
        <w:t xml:space="preserve">جرى تحديد عملية لإدارة مخاطر الأمن السيبراني واعتمادها من لجنة الأمن السيبراني وتطبيقها، وتركّز على حماية سرية أصول المعلومات وسلامتها وتوافرها، وتتوافق بالكامل مع عملية إدارة المخاطر المؤسسية في البنك. وتتناول العملية الموثّقة تحديد المخاطر وتحليلها والاستجابة لها ومراقبتها ومراجعتها، وتغطي عمليات الأعمال وتطبيقات الأعمال ومكوّنات البنية التحتية. وتُستهل في مرحلة مبكرة من كل مشروع، وقبل أي تغيير جوهري، وعند النظر في الإسناد الخارجي، وعند إطلاق منتجات أو تقنيات جديدة، كما يُعاد تقييم الأصول القائمة دورياً بناءً على تصنيفها. وتشارك في أنشطة إدارة المخاطر جهات ملكية الأعمال ومختصو تقنية المعلومات ومختصو الأمن السيبراني وممثلو المستخدمين الرئيسيين؛ وتُرفع النتائج إلى مالك الأعمال المعني الذي يقبلها ويعتمدها رسمياً. ومستوى تقبّل البنك لمخاطر الأمن السيبراني وحدود التحمّل محددان بوضوح ومعتمدان رسمياً من مجلس الإدارة.</w:t>
      </w:r>
    </w:p>
    <w:p>
      <w:pPr>
        <w:pStyle w:val="Heading2"/>
        <w:bidi/>
        <w:spacing w:after="120" w:before="320"/>
        <w:jc w:val="right"/>
      </w:pPr>
      <w:r>
        <w:rPr>
          <w:rFonts w:ascii="Arial" w:cs="Arial" w:eastAsia="Arial" w:hAnsi="Arial"/>
          <w:b/>
          <w:bCs/>
          <w:color w:val="1F3864"/>
          <w:sz w:val="26"/>
          <w:szCs w:val="26"/>
          <w:rtl/>
        </w:rPr>
        <w:t xml:space="preserve">3.2.1.1 تحديد مخاطر الأمن السيبراني</w:t>
      </w:r>
    </w:p>
    <w:p>
      <w:pPr>
        <w:bidi/>
        <w:spacing w:after="160" w:line="340"/>
        <w:jc w:val="both"/>
      </w:pPr>
      <w:r>
        <w:rPr>
          <w:rFonts w:ascii="Arial" w:cs="Arial" w:eastAsia="Arial" w:hAnsi="Arial"/>
          <w:sz w:val="22"/>
          <w:szCs w:val="22"/>
          <w:rtl/>
        </w:rPr>
        <w:t xml:space="preserve">يُنفَّذ تحديد مخاطر الأمن السيبراني لكل أصل من أصول المعلومات ويُوثَّق في سجل مخاطر مركزي تتولى إدارة المخاطر تحديثه. ويتناول التحديد صراحةً أصول المعلومات ذات العلاقة، والتهديدات المنطبقة، والثغرات المعروفة، والضوابط الأمنية الرئيسية القائمة فعلياً لكل أصل.</w:t>
      </w:r>
    </w:p>
    <w:p>
      <w:pPr>
        <w:pStyle w:val="Heading2"/>
        <w:bidi/>
        <w:spacing w:after="120" w:before="320"/>
        <w:jc w:val="right"/>
      </w:pPr>
      <w:r>
        <w:rPr>
          <w:rFonts w:ascii="Arial" w:cs="Arial" w:eastAsia="Arial" w:hAnsi="Arial"/>
          <w:b/>
          <w:bCs/>
          <w:color w:val="1F3864"/>
          <w:sz w:val="26"/>
          <w:szCs w:val="26"/>
          <w:rtl/>
        </w:rPr>
        <w:t xml:space="preserve">3.2.1.2 تحليل مخاطر الأمن السيبراني</w:t>
      </w:r>
    </w:p>
    <w:p>
      <w:pPr>
        <w:bidi/>
        <w:spacing w:after="160" w:line="340"/>
        <w:jc w:val="both"/>
      </w:pPr>
      <w:r>
        <w:rPr>
          <w:rFonts w:ascii="Arial" w:cs="Arial" w:eastAsia="Arial" w:hAnsi="Arial"/>
          <w:sz w:val="22"/>
          <w:szCs w:val="22"/>
          <w:rtl/>
        </w:rPr>
        <w:t xml:space="preserve">يُجرى تحليل رسمي لمخاطر الأمن السيبراني لكل خطر محدد، يقيس احتمالية تحقق الخطر والأثر المحتمل الناتج على الأعمال، وينتج عنه تصنيف موثّق للخطر يُستخدم في ترتيب أولويات المعالجة.</w:t>
      </w:r>
    </w:p>
    <w:p>
      <w:pPr>
        <w:pStyle w:val="Heading2"/>
        <w:bidi/>
        <w:spacing w:after="120" w:before="320"/>
        <w:jc w:val="right"/>
      </w:pPr>
      <w:r>
        <w:rPr>
          <w:rFonts w:ascii="Arial" w:cs="Arial" w:eastAsia="Arial" w:hAnsi="Arial"/>
          <w:b/>
          <w:bCs/>
          <w:color w:val="1F3864"/>
          <w:sz w:val="26"/>
          <w:szCs w:val="26"/>
          <w:rtl/>
        </w:rPr>
        <w:t xml:space="preserve">3.2.1.3 الاستجابة لمخاطر الأمن السيبراني</w:t>
      </w:r>
    </w:p>
    <w:p>
      <w:pPr>
        <w:bidi/>
        <w:spacing w:after="160" w:line="340"/>
        <w:jc w:val="both"/>
      </w:pPr>
      <w:r>
        <w:rPr>
          <w:rFonts w:ascii="Arial" w:cs="Arial" w:eastAsia="Arial" w:hAnsi="Arial"/>
          <w:sz w:val="22"/>
          <w:szCs w:val="22"/>
          <w:rtl/>
        </w:rPr>
        <w:t xml:space="preserve">تُعالَج المخاطر المحددة وفق مستوى تقبّل المخاطر المعتمد لدى البنك. وتُوثَّق خيارات المعالجة — القبول أو التجنّب أو النقل أو التخفيف — لكل خطر. وتُقارن المخاطر المقبولة بحدود تقبّل المخاطر المحددة مسبقاً، ويعتمدها مالك الأعمال، وتُرفع إلى لجنة الأمن السيبراني، ويُتحقق من عدم تعارضها مع أنظمة البنك المركزي السعودي. أما المخاطر المتجنَّبة فتتضمن قراراً موثّقاً من مالك الأعمال بإلغاء النشاط المرتبط بها أو تأجيله. وتُنقل المخاطر المحوّلة رسمياً إلى مزوّد الخدمة المتلقي بموافقته، مع توثيق عملية النقل. وتمر المخاطر المخفّفة بتحديد الضوابط المرشحة وتقييمها (من حيث التكلفة والجدوى ومتطلبات الالتزام)، ثم اختيار الضابط، ثم اعتماد مالك الأعمال لأي مخاطر متبقية. وتُسجَّل جميع إجراءات المعالجة في خطة معالجة مخاطر موثّقة.</w:t>
      </w:r>
    </w:p>
    <w:p>
      <w:pPr>
        <w:pStyle w:val="Heading2"/>
        <w:bidi/>
        <w:spacing w:after="120" w:before="320"/>
        <w:jc w:val="right"/>
      </w:pPr>
      <w:r>
        <w:rPr>
          <w:rFonts w:ascii="Arial" w:cs="Arial" w:eastAsia="Arial" w:hAnsi="Arial"/>
          <w:b/>
          <w:bCs/>
          <w:color w:val="1F3864"/>
          <w:sz w:val="26"/>
          <w:szCs w:val="26"/>
          <w:rtl/>
        </w:rPr>
        <w:t xml:space="preserve">3.2.1.4 مراقبة ومراجعة المخاطر السيبرانية</w:t>
      </w:r>
    </w:p>
    <w:p>
      <w:pPr>
        <w:bidi/>
        <w:spacing w:after="160" w:line="340"/>
        <w:jc w:val="both"/>
      </w:pPr>
      <w:r>
        <w:rPr>
          <w:rFonts w:ascii="Arial" w:cs="Arial" w:eastAsia="Arial" w:hAnsi="Arial"/>
          <w:sz w:val="22"/>
          <w:szCs w:val="22"/>
          <w:rtl/>
        </w:rPr>
        <w:t xml:space="preserve">يُتابَع تقدّم كل خطة لمعالجة مخاطر الأمن السيبراني مقابل الجدول الزمني المتفق عليه للتأكد من تنفيذ الضوابط المختارة، وتُراجَع رسمياً كفاءة تصميم الضوابط المطبّقة حديثاً أو المعدَّلة وفعالية تشغيلها بعد التنفيذ.</w:t>
      </w:r>
    </w:p>
    <w:p>
      <w:pPr>
        <w:pStyle w:val="Heading2"/>
        <w:bidi/>
        <w:spacing w:after="120" w:before="320"/>
        <w:jc w:val="right"/>
      </w:pPr>
      <w:r>
        <w:rPr>
          <w:rFonts w:ascii="Arial" w:cs="Arial" w:eastAsia="Arial" w:hAnsi="Arial"/>
          <w:b/>
          <w:bCs/>
          <w:color w:val="1F3864"/>
          <w:sz w:val="26"/>
          <w:szCs w:val="26"/>
          <w:rtl/>
        </w:rPr>
        <w:t xml:space="preserve">3.2.2 الالتزام بالمتطلبات الرقابية</w:t>
      </w:r>
    </w:p>
    <w:p>
      <w:pPr>
        <w:bidi/>
        <w:spacing w:after="160" w:line="340"/>
        <w:jc w:val="both"/>
      </w:pPr>
      <w:r>
        <w:rPr>
          <w:rFonts w:ascii="Arial" w:cs="Arial" w:eastAsia="Arial" w:hAnsi="Arial"/>
          <w:sz w:val="22"/>
          <w:szCs w:val="22"/>
          <w:rtl/>
        </w:rPr>
        <w:t xml:space="preserve">توجد عملية رسمية تضمن الالتزام بجميع المتطلبات الرقابية ذات الصلة بالأمن السيبراني على مستوى البنك. وتُنفَّذ العملية بشكل ربع سنوي وكلما دخلت متطلبات رقابية جديدة حيّز التنفيذ، وتشارك فيها الإدارة القانونية وإدارة الالتزام وإدارة الأمن السيبراني، وينتج عنها تحديث سياسة الأمن السيبراني ومعاييره وإجراءاته في الوقت المناسب كلما لزم الأمر.</w:t>
      </w:r>
    </w:p>
    <w:p>
      <w:pPr>
        <w:pStyle w:val="Heading2"/>
        <w:bidi/>
        <w:spacing w:after="120" w:before="320"/>
        <w:jc w:val="right"/>
      </w:pPr>
      <w:r>
        <w:rPr>
          <w:rFonts w:ascii="Arial" w:cs="Arial" w:eastAsia="Arial" w:hAnsi="Arial"/>
          <w:b/>
          <w:bCs/>
          <w:color w:val="1F3864"/>
          <w:sz w:val="26"/>
          <w:szCs w:val="26"/>
          <w:rtl/>
        </w:rPr>
        <w:t xml:space="preserve">3.2.3 الالتزام بالمعايير القطاعية المحلية والدولية</w:t>
      </w:r>
    </w:p>
    <w:p>
      <w:pPr>
        <w:bidi/>
        <w:spacing w:after="160" w:line="340"/>
        <w:jc w:val="both"/>
      </w:pPr>
      <w:r>
        <w:rPr>
          <w:rFonts w:ascii="Arial" w:cs="Arial" w:eastAsia="Arial" w:hAnsi="Arial"/>
          <w:sz w:val="22"/>
          <w:szCs w:val="22"/>
          <w:rtl/>
        </w:rPr>
        <w:t xml:space="preserve">يحمل البنك شهادة PCI-DSS من المستوى الأول سارية المفعول، تُجدَّد سنوياً عبر مقيّم أمني مؤهل مستقل (QSA). وجميع أنظمة المدفوعات الحضورية وغير الحضورية معتمدة ومتوافقة مع معيار EMV التقني. كما خضعت بيئة رسائل SWIFT لدى البنك لتقييم رسمي مقابل إطار ضوابط أمن العملاء (CSCF) الصادر عن SWIFT، إصدار مارس 2017، مع تقديم الإقرار الذاتي السنوي إلى SWIFT وإتاحته للبنك المركزي السعودي.</w:t>
      </w:r>
    </w:p>
    <w:p>
      <w:pPr>
        <w:pStyle w:val="Heading2"/>
        <w:bidi/>
        <w:spacing w:after="120" w:before="320"/>
        <w:jc w:val="right"/>
      </w:pPr>
      <w:r>
        <w:rPr>
          <w:rFonts w:ascii="Arial" w:cs="Arial" w:eastAsia="Arial" w:hAnsi="Arial"/>
          <w:b/>
          <w:bCs/>
          <w:color w:val="1F3864"/>
          <w:sz w:val="26"/>
          <w:szCs w:val="26"/>
          <w:rtl/>
        </w:rPr>
        <w:t xml:space="preserve">3.2.4 مراجعة الأمن السيبراني</w:t>
      </w:r>
    </w:p>
    <w:p>
      <w:pPr>
        <w:bidi/>
        <w:spacing w:after="160" w:line="340"/>
        <w:jc w:val="both"/>
      </w:pPr>
      <w:r>
        <w:rPr>
          <w:rFonts w:ascii="Arial" w:cs="Arial" w:eastAsia="Arial" w:hAnsi="Arial"/>
          <w:sz w:val="22"/>
          <w:szCs w:val="22"/>
          <w:rtl/>
        </w:rPr>
        <w:t xml:space="preserve">تُنفَّذ مراجعات الأمن السيبراني دورياً على أصول المعلومات الحرجة، وتخضع الخدمات الموجّهة للعملاء والمتاحة عبر الإنترنت لمراجعة واختبار اختراق سنوي. وتُوثَّق تفاصيل كل مراجعة أمن سيبراني تُنفَّذ، بما في ذلك نتائج المراجعة والملاحظات المحددة والإجراءات الموصى بها، وتُرفع النتائج إلى مالك الأعمال المعني. وتخضع مراجعات الأمن السيبراني لمراجعات متابعة للتحقق من معالجة جميع الملاحظات المحددة، ومن معالجة المخاطر الحرجة بفعالية، ومن إدارة جميع الإجراءات المتفق عليها بشكل مستمر.</w:t>
      </w:r>
    </w:p>
    <w:p>
      <w:pPr>
        <w:pStyle w:val="Heading2"/>
        <w:bidi/>
        <w:spacing w:after="120" w:before="320"/>
        <w:jc w:val="right"/>
      </w:pPr>
      <w:r>
        <w:rPr>
          <w:rFonts w:ascii="Arial" w:cs="Arial" w:eastAsia="Arial" w:hAnsi="Arial"/>
          <w:b/>
          <w:bCs/>
          <w:color w:val="1F3864"/>
          <w:sz w:val="26"/>
          <w:szCs w:val="26"/>
          <w:rtl/>
        </w:rPr>
        <w:t xml:space="preserve">3.2.5 عمليات تدقيق الأمن السيبراني</w:t>
      </w:r>
    </w:p>
    <w:p>
      <w:pPr>
        <w:bidi/>
        <w:spacing w:after="160" w:line="340"/>
        <w:jc w:val="both"/>
      </w:pPr>
      <w:r>
        <w:rPr>
          <w:rFonts w:ascii="Arial" w:cs="Arial" w:eastAsia="Arial" w:hAnsi="Arial"/>
          <w:sz w:val="22"/>
          <w:szCs w:val="22"/>
          <w:rtl/>
        </w:rPr>
        <w:t xml:space="preserve">تُنفَّذ عمليات تدقيق الأمن السيبراني بشكل مستقل من قبل المراجعة الداخلية، وفقاً لمعايير التدقيق المتعارف عليها وإطار الأمن السيبراني الصادر عن البنك المركزي السعودي، وبما يتوافق مع دليل التدقيق الموثّق لدى البنك وخطة التدقيق السنوية.</w:t>
      </w:r>
    </w:p>
    <w:p>
      <w:pPr>
        <w:pStyle w:val="Heading2"/>
        <w:bidi/>
        <w:spacing w:after="120" w:before="320"/>
        <w:jc w:val="right"/>
      </w:pPr>
      <w:r>
        <w:rPr>
          <w:rFonts w:ascii="Arial" w:cs="Arial" w:eastAsia="Arial" w:hAnsi="Arial"/>
          <w:b/>
          <w:bCs/>
          <w:color w:val="1F3864"/>
          <w:sz w:val="26"/>
          <w:szCs w:val="26"/>
          <w:rtl/>
        </w:rPr>
        <w:t xml:space="preserve">3.3.1 الموارد البشرية</w:t>
      </w:r>
    </w:p>
    <w:p>
      <w:pPr>
        <w:bidi/>
        <w:spacing w:after="160" w:line="340"/>
        <w:jc w:val="both"/>
      </w:pPr>
      <w:r>
        <w:rPr>
          <w:rFonts w:ascii="Arial" w:cs="Arial" w:eastAsia="Arial" w:hAnsi="Arial"/>
          <w:sz w:val="22"/>
          <w:szCs w:val="22"/>
          <w:rtl/>
        </w:rPr>
        <w:t xml:space="preserve">تتضمن عملية الموارد البشرية متطلبات محددة ومعتمدة للأمن السيبراني، وتُراقَب فعاليتها وتُقيَّم سنوياً. وتشمل عقود الموظفين مسؤوليات الأمن السيبراني وبنود عدم الإفصاح السارية أثناء فترة التوظيف وبعدها؛ ويتلقى الموظفون توعية بالأمن السيبراني عند بدء عملهم وطوال فترته؛ والإجراءات التأديبية محددة بوضوح عند مخالفة السياسة؛ ويخضع جميع الموظفين الجدد للفحص والتحقق من الخلفية؛ وتضمن إجراءات ما بعد انتهاء الخدمة إلغاء صلاحيات الوصول وإعادة جميع أصول المعلومات المسلَّمة (البطاقات التعريفية والرموز الأمنية والأجهزة).</w:t>
      </w:r>
    </w:p>
    <w:p>
      <w:pPr>
        <w:pStyle w:val="Heading2"/>
        <w:bidi/>
        <w:spacing w:after="120" w:before="320"/>
        <w:jc w:val="right"/>
      </w:pPr>
      <w:r>
        <w:rPr>
          <w:rFonts w:ascii="Arial" w:cs="Arial" w:eastAsia="Arial" w:hAnsi="Arial"/>
          <w:b/>
          <w:bCs/>
          <w:color w:val="1F3864"/>
          <w:sz w:val="26"/>
          <w:szCs w:val="26"/>
          <w:rtl/>
        </w:rPr>
        <w:t xml:space="preserve">3.3.2 الأمن المادي</w:t>
      </w:r>
    </w:p>
    <w:p>
      <w:pPr>
        <w:bidi/>
        <w:spacing w:after="160" w:line="340"/>
        <w:jc w:val="both"/>
      </w:pPr>
      <w:r>
        <w:rPr>
          <w:rFonts w:ascii="Arial" w:cs="Arial" w:eastAsia="Arial" w:hAnsi="Arial"/>
          <w:sz w:val="22"/>
          <w:szCs w:val="22"/>
          <w:rtl/>
        </w:rPr>
        <w:t xml:space="preserve">عملية الأمن المادي محددة ومعتمدة ومطبّقة، وتُراقَب فعاليتها وتُقيَّم دورياً. وتغطي ضوابط الدخول المادي بما في ذلك أمن الزوار، والمراقبة والرصد (كاميرات المراقبة، وتتبّع أجهزة الصراف الآلي عبر نظام تحديد المواقع، وحساسات الاستشعار)، وحماية مراكز البيانات وغرف البيانات، والحماية البيئية (إطفاء الحريق، والتحكم في المناخ، وتعدد مصادر الطاقة)، وحماية أصول المعلومات طوال دورة حياتها بما في ذلك النقل والإتلاف الآمن لتفادي الوصول غير المصرح به أو تسرب البيانات.</w:t>
      </w:r>
    </w:p>
    <w:p>
      <w:pPr>
        <w:pStyle w:val="Heading2"/>
        <w:bidi/>
        <w:spacing w:after="120" w:before="320"/>
        <w:jc w:val="right"/>
      </w:pPr>
      <w:r>
        <w:rPr>
          <w:rFonts w:ascii="Arial" w:cs="Arial" w:eastAsia="Arial" w:hAnsi="Arial"/>
          <w:b/>
          <w:bCs/>
          <w:color w:val="1F3864"/>
          <w:sz w:val="26"/>
          <w:szCs w:val="26"/>
          <w:rtl/>
        </w:rPr>
        <w:t xml:space="preserve">3.3.3 إدارة الأصول</w:t>
      </w:r>
    </w:p>
    <w:p>
      <w:pPr>
        <w:bidi/>
        <w:spacing w:after="160" w:line="340"/>
        <w:jc w:val="both"/>
      </w:pPr>
      <w:r>
        <w:rPr>
          <w:rFonts w:ascii="Arial" w:cs="Arial" w:eastAsia="Arial" w:hAnsi="Arial"/>
          <w:sz w:val="22"/>
          <w:szCs w:val="22"/>
          <w:rtl/>
        </w:rPr>
        <w:t xml:space="preserve">عملية إدارة الأصول محددة ومعتمدة ومطبّقة، وتُراقَب فعاليتها وتُقاس وتُقيَّم دورياً. وتحافظ على سجل أصول موحّد ومحدّث، وتُسند الملكية والعهدة لكل أصل من أصول المعلومات، وتُحيل إلى العمليات ذات الصلة (إدارة المخاطر وإدارة التغيير)، وتحدد متطلبات التصنيف ووضع العلامات والتداول، وتتضمن عملية مستمرة لاكتشاف أصول المعلومات الجديدة على الشبكة.</w:t>
      </w:r>
    </w:p>
    <w:p>
      <w:pPr>
        <w:pStyle w:val="Heading2"/>
        <w:bidi/>
        <w:spacing w:after="120" w:before="320"/>
        <w:jc w:val="right"/>
      </w:pPr>
      <w:r>
        <w:rPr>
          <w:rFonts w:ascii="Arial" w:cs="Arial" w:eastAsia="Arial" w:hAnsi="Arial"/>
          <w:b/>
          <w:bCs/>
          <w:color w:val="1F3864"/>
          <w:sz w:val="26"/>
          <w:szCs w:val="26"/>
          <w:rtl/>
        </w:rPr>
        <w:t xml:space="preserve">3.3.4 معمارية الأمن السيبراني</w:t>
      </w:r>
    </w:p>
    <w:p>
      <w:pPr>
        <w:bidi/>
        <w:spacing w:after="160" w:line="340"/>
        <w:jc w:val="both"/>
      </w:pPr>
      <w:r>
        <w:rPr>
          <w:rFonts w:ascii="Arial" w:cs="Arial" w:eastAsia="Arial" w:hAnsi="Arial"/>
          <w:sz w:val="22"/>
          <w:szCs w:val="22"/>
          <w:rtl/>
        </w:rPr>
        <w:t xml:space="preserve">معمارية الأمن السيبراني محددة ومعتمدة ومطبّقة، ويُراقَب الالتزام بها بشكل مستمر. وتتضمن المعمارية مخططاً استراتيجياً لقدرات وضوابط الأمن السيبراني مبنياً على متطلبات الأعمال، وقد اعتُمدت على النحو المذكور أعلاه، وتتطلب مهندسي أمن سيبراني مؤهلين لتطويرها وصيانتها، وتُضمِّن مبادئ تصميم لتطوير ضوابط الأمن السيبراني وتطبيق متطلباته (مبدأ الأمن منذ التصميم)، وتخضع لمراجعة دورية سنوية.</w:t>
      </w:r>
    </w:p>
    <w:p>
      <w:pPr>
        <w:pStyle w:val="Heading2"/>
        <w:bidi/>
        <w:spacing w:after="120" w:before="320"/>
        <w:jc w:val="right"/>
      </w:pPr>
      <w:r>
        <w:rPr>
          <w:rFonts w:ascii="Arial" w:cs="Arial" w:eastAsia="Arial" w:hAnsi="Arial"/>
          <w:b/>
          <w:bCs/>
          <w:color w:val="1F3864"/>
          <w:sz w:val="26"/>
          <w:szCs w:val="26"/>
          <w:rtl/>
        </w:rPr>
        <w:t xml:space="preserve">3.3.5 إدارة الهوية والدخول</w:t>
      </w:r>
    </w:p>
    <w:p>
      <w:pPr>
        <w:bidi/>
        <w:spacing w:after="160" w:line="340"/>
        <w:jc w:val="both"/>
      </w:pPr>
      <w:r>
        <w:rPr>
          <w:rFonts w:ascii="Arial" w:cs="Arial" w:eastAsia="Arial" w:hAnsi="Arial"/>
          <w:sz w:val="22"/>
          <w:szCs w:val="22"/>
          <w:rtl/>
        </w:rPr>
        <w:t xml:space="preserve">سياسة إدارة الهوية والدخول (IAM)، بما فيها الأدوار والمسؤوليات، محددة ومعتمدة ومطبّقة، ويُراقَب الالتزام بها وتُقاس فعاليتها وتُقيَّم دورياً. وتحدد متطلبات الأعمال للتحكم في الدخول (مبدأ الحاجة إلى الامتلاك والحاجة إلى المعرفة)، وتغطي إدارة دورة حياة دخول المستخدم كاملةً للملتحقين والمنقولين والمغادرين، لكل من الموظفين الداخليين (بمبادرة من الموارد البشرية) والأطراف الخارجية (بمبادرة من الجهة المسؤولة)، وتشترط موافقة رسمية على كل طلب دخول، وتعالج تغييرات الصلاحيات في الوقت المناسب، وتوجب المراجعة الدورية لصلاحيات المستخدمين، وتحتفظ بسجل تدقيق كامل لجميع طلبات الدخول وعمليات الإلغاء. وتُدعم إدارة دخول المستخدمين بالأتمتة وتُمركَز تحت إدارة واحدة للهوية والدخول. وتُفرَض المصادقة متعددة العوامل (MFA) على جميع الأنظمة الحساسة والحرجة، بما يشمل كل عمليات الدخول عن بُعد وكل الصلاحيات المميزة على الأنظمة الحرجة. وتُراجَع الحسابات ذات الصلاحيات المميزة وحسابات الدخول عن بُعد دورياً، وتُفرَض المساءلة الفردية، وتُقيَّد الحسابات المميزة غير الشخصية تقييداً صارماً وتُراقَب وتبقى سرّية وتُغيَّر كلمات مرورها بشكل متكرر وعند نهاية كل جلسة.</w:t>
      </w:r>
    </w:p>
    <w:p>
      <w:pPr>
        <w:pStyle w:val="Heading2"/>
        <w:bidi/>
        <w:spacing w:after="120" w:before="320"/>
        <w:jc w:val="right"/>
      </w:pPr>
      <w:r>
        <w:rPr>
          <w:rFonts w:ascii="Arial" w:cs="Arial" w:eastAsia="Arial" w:hAnsi="Arial"/>
          <w:b/>
          <w:bCs/>
          <w:color w:val="1F3864"/>
          <w:sz w:val="26"/>
          <w:szCs w:val="26"/>
          <w:rtl/>
        </w:rPr>
        <w:t xml:space="preserve">3.3.6 أمن التطبيقات</w:t>
      </w:r>
    </w:p>
    <w:p>
      <w:pPr>
        <w:bidi/>
        <w:spacing w:after="160" w:line="340"/>
        <w:jc w:val="both"/>
      </w:pPr>
      <w:r>
        <w:rPr>
          <w:rFonts w:ascii="Arial" w:cs="Arial" w:eastAsia="Arial" w:hAnsi="Arial"/>
          <w:sz w:val="22"/>
          <w:szCs w:val="22"/>
          <w:rtl/>
        </w:rPr>
        <w:t xml:space="preserve">معايير الأمن السيبراني للتطبيقات محددة ومعتمدة ومطبّقة، ويُراقَب الالتزام بها وتُقاس فعاليتها وتُقيَّم دورياً. ويتبع تطوير جميع التطبيقات دورة حياة تطوير البرمجيات الآمنة (SDLC) المعتمدة لدى البنك. ويغطي المعيار متطلبات البرمجة الآمنة، وضوابط الأمن السيبراني الواجب تطبيقها (معايير الإعدادات، والأحداث التي تُراقَب وتُحفظ، وإدارة الهوية والدخول)، والفصل بين المهام مدعوماً بمصفوفة صلاحيات موثّقة، وحماية البيانات بما يتوافق مع نظام التصنيف، وإدارة الثغرات والتحديثات الأمنية، وإجراءات النسخ الاحتياطي والاستعادة، والمراجعة الدورية للالتزام بالأمن السيبراني.</w:t>
      </w:r>
    </w:p>
    <w:p>
      <w:pPr>
        <w:pStyle w:val="Heading2"/>
        <w:bidi/>
        <w:spacing w:after="120" w:before="320"/>
        <w:jc w:val="right"/>
      </w:pPr>
      <w:r>
        <w:rPr>
          <w:rFonts w:ascii="Arial" w:cs="Arial" w:eastAsia="Arial" w:hAnsi="Arial"/>
          <w:b/>
          <w:bCs/>
          <w:color w:val="1F3864"/>
          <w:sz w:val="26"/>
          <w:szCs w:val="26"/>
          <w:rtl/>
        </w:rPr>
        <w:t xml:space="preserve">3.3.7 إدارة التغيير</w:t>
      </w:r>
    </w:p>
    <w:p>
      <w:pPr>
        <w:bidi/>
        <w:spacing w:after="160" w:line="340"/>
        <w:jc w:val="both"/>
      </w:pPr>
      <w:r>
        <w:rPr>
          <w:rFonts w:ascii="Arial" w:cs="Arial" w:eastAsia="Arial" w:hAnsi="Arial"/>
          <w:sz w:val="22"/>
          <w:szCs w:val="22"/>
          <w:rtl/>
        </w:rPr>
        <w:t xml:space="preserve">عملية إدارة التغيير محددة ومعتمدة ومطبّقة، ويُراقَب الالتزام بها وتُقاس فعاليتها وتُقيَّم دورياً. وتشترط تقييم الأثر والتصنيف والمراجعة لكل تغيير مطلوب؛ والاختبار الأمني بما يشمل اختبار الاختراق ومراجعة الشيفرة البرمجية (مع الحصول على إفادة ضمان مستقلة عند تعذّر الحصول على الشيفرة المصدرية من الموردين الخارجيين)؛ وموافقة مالك الأعمال وإدارة الأمن السيبراني قبل الرفع إلى لجنة اعتماد التغييرات (CAB)؛ والاعتماد الرسمي من اللجنة؛ ومراجعة لاحقة للتنفيذ لضوابط الأمن السيبراني ذات الصلة؛ والفصل الصارم بين بيئات التطوير والاختبار والإنتاج وبين العاملين عليها؛ وإجراء محدد للتغييرات الطارئة؛ وإجراءات موثّقة للتراجع والعودة إلى الوضع السابق.</w:t>
      </w:r>
    </w:p>
    <w:p>
      <w:pPr>
        <w:pStyle w:val="Heading2"/>
        <w:bidi/>
        <w:spacing w:after="120" w:before="320"/>
        <w:jc w:val="right"/>
      </w:pPr>
      <w:r>
        <w:rPr>
          <w:rFonts w:ascii="Arial" w:cs="Arial" w:eastAsia="Arial" w:hAnsi="Arial"/>
          <w:b/>
          <w:bCs/>
          <w:color w:val="1F3864"/>
          <w:sz w:val="26"/>
          <w:szCs w:val="26"/>
          <w:rtl/>
        </w:rPr>
        <w:t xml:space="preserve">3.3.8 أمن البنية التحتية</w:t>
      </w:r>
    </w:p>
    <w:p>
      <w:pPr>
        <w:bidi/>
        <w:spacing w:after="160" w:line="340"/>
        <w:jc w:val="both"/>
      </w:pPr>
      <w:r>
        <w:rPr>
          <w:rFonts w:ascii="Arial" w:cs="Arial" w:eastAsia="Arial" w:hAnsi="Arial"/>
          <w:sz w:val="22"/>
          <w:szCs w:val="22"/>
          <w:rtl/>
        </w:rPr>
        <w:t xml:space="preserve">معايير أمن البنية التحتية محددة ومعتمدة ومطبّقة، ويُراقَب الالتزام بها وتُقاس فعاليتها وتُقيَّم دورياً، وتغطي كامل البنية التحتية في مركز البيانات الرئيسي وموقع التعافي من الكوارث وجميع مواقع المكاتب، وتشمل كل أنواع المكوّنات (أنظمة التشغيل، والخوادم، والأجهزة الافتراضية، وجدران الحماية، وأجهزة الشبكة، وأنظمة كشف ومنع التسلل، والشبكات اللاسلكية، وخوادم البوابات والوسيط والبريد الإلكتروني، والاتصالات الخارجية، وقواعد البيانات، ومجلدات المشاركة، ومحطات العمل، والحواسيب المحمولة، والأجهزة اللوحية، والأجهزة المحمولة، ومقاسم الهاتف). ويغطي المعيار الضوابط المطبّقة (معايير الإعدادات، والأحداث التي تُراقَب وتُحفظ، ومنع تسرب البيانات، وإدارة الهوية والدخول، والصيانة عن بُعد)، والفصل بين المهام عبر مصفوفة صلاحيات، وحماية البيانات بحسب تصنيفها، واستخدام البرمجيات المعتمدة والبروتوكولات الآمنة، وتجزئة الشبكة، والحماية من البرمجيات الخبيثة مع القوائم البيضاء للتطبيقات والحماية من التهديدات المتقدمة المستمرة، وإدارة الثغرات والتحديثات، والحماية من هجمات الحرمان من الخدمة الموزّعة (خدمات تنقية حركة البيانات بسعة نطاق متفق عليها، ومراقبة على مدار الساعة من مركز العمليات الأمنية، واختبار مرتين سنوياً، وتغطية مركز البيانات الرئيسي وموقع التعافي من الكوارث معاً)، وإجراءات النسخ الاحتياطي والاستعادة، والمراجعة الدورية للالتزام.</w:t>
      </w:r>
    </w:p>
    <w:p>
      <w:pPr>
        <w:pStyle w:val="Heading2"/>
        <w:bidi/>
        <w:spacing w:after="120" w:before="320"/>
        <w:jc w:val="right"/>
      </w:pPr>
      <w:r>
        <w:rPr>
          <w:rFonts w:ascii="Arial" w:cs="Arial" w:eastAsia="Arial" w:hAnsi="Arial"/>
          <w:b/>
          <w:bCs/>
          <w:color w:val="1F3864"/>
          <w:sz w:val="26"/>
          <w:szCs w:val="26"/>
          <w:rtl/>
        </w:rPr>
        <w:t xml:space="preserve">3.3.9 التشفير</w:t>
      </w:r>
    </w:p>
    <w:p>
      <w:pPr>
        <w:bidi/>
        <w:spacing w:after="160" w:line="340"/>
        <w:jc w:val="both"/>
      </w:pPr>
      <w:r>
        <w:rPr>
          <w:rFonts w:ascii="Arial" w:cs="Arial" w:eastAsia="Arial" w:hAnsi="Arial"/>
          <w:sz w:val="22"/>
          <w:szCs w:val="22"/>
          <w:rtl/>
        </w:rPr>
        <w:t xml:space="preserve">جرى تحديد معيار رسمي لأمن التشفير واعتماده وتطبيقه على مستوى البنك، ويُراقَب الالتزام به ربع سنوياً وتُقاس فعاليته وتُراجَع سنوياً. ويوثّق المعيار القائمة الكاملة لخوارزميات وبروتوكولات التشفير المعتمدة (AES-256 للبيانات المخزّنة، وTLS 1.3 للبيانات أثناء النقل، وRSA-4096 لتبادل المفاتيح) إلى جانب القيود التقنية والقانونية على استخدامها، والحالات المحددة التي يجب فيها تطبيق كل حل معتمد، ودورة حياة كاملة لإدارة مفاتيح التشفير تشمل التوليد والتخزين الآمن والتدوير وأرشفة المفاتيح المتقاعدة وإجراءً موثّقاً لاستعادة المفاتيح.</w:t>
      </w:r>
    </w:p>
    <w:p>
      <w:pPr>
        <w:pStyle w:val="Heading2"/>
        <w:bidi/>
        <w:spacing w:after="120" w:before="320"/>
        <w:jc w:val="right"/>
      </w:pPr>
      <w:r>
        <w:rPr>
          <w:rFonts w:ascii="Arial" w:cs="Arial" w:eastAsia="Arial" w:hAnsi="Arial"/>
          <w:b/>
          <w:bCs/>
          <w:color w:val="1F3864"/>
          <w:sz w:val="26"/>
          <w:szCs w:val="26"/>
          <w:rtl/>
        </w:rPr>
        <w:t xml:space="preserve">3.3.10 استخدام الأجهزة الشخصية (BYOD)</w:t>
      </w:r>
    </w:p>
    <w:p>
      <w:pPr>
        <w:bidi/>
        <w:spacing w:after="160" w:line="340"/>
        <w:jc w:val="both"/>
      </w:pPr>
      <w:r>
        <w:rPr>
          <w:rFonts w:ascii="Arial" w:cs="Arial" w:eastAsia="Arial" w:hAnsi="Arial"/>
          <w:sz w:val="22"/>
          <w:szCs w:val="22"/>
          <w:rtl/>
        </w:rPr>
        <w:t xml:space="preserve">جرى تحديد معيار للأمن السيبراني لاستخدام الأجهزة الشخصية واعتماده وتطبيقه، ويُراقَب الالتزام به وتُقاس فعاليته وتُقيَّم دورياً. ويحدد المعيار مسؤوليات المستخدمين والتدريب التوعوي الإلزامي، والقيود والتبعات المطبّقة على الأجهزة الشخصية (بما في ذلك كشف كسر حماية الجهاز، والإجراءات المتخذة عند انتهاء الخدمة أو فقدان الجهاز أو سرقته)، والعزل في حاوية آمنة لفصل معلومات العمل عن المعلومات الشخصية، وتنظيم التطبيقات المؤسسية أو العامة التي يُسمح باستخدامها، واستخدام نظام إدارة الأجهزة المحمولة (MDM) لتطبيق ضوابط الدخول والتشفير على حاوية العمل داخل الجهاز الشخصي.</w:t>
      </w:r>
    </w:p>
    <w:p>
      <w:pPr>
        <w:pStyle w:val="Heading2"/>
        <w:bidi/>
        <w:spacing w:after="120" w:before="320"/>
        <w:jc w:val="right"/>
      </w:pPr>
      <w:r>
        <w:rPr>
          <w:rFonts w:ascii="Arial" w:cs="Arial" w:eastAsia="Arial" w:hAnsi="Arial"/>
          <w:b/>
          <w:bCs/>
          <w:color w:val="1F3864"/>
          <w:sz w:val="26"/>
          <w:szCs w:val="26"/>
          <w:rtl/>
        </w:rPr>
        <w:t xml:space="preserve">3.3.11 الإتلاف الآمن لأصول المعلومات</w:t>
      </w:r>
    </w:p>
    <w:p>
      <w:pPr>
        <w:bidi/>
        <w:spacing w:after="160" w:line="340"/>
        <w:jc w:val="both"/>
      </w:pPr>
      <w:r>
        <w:rPr>
          <w:rFonts w:ascii="Arial" w:cs="Arial" w:eastAsia="Arial" w:hAnsi="Arial"/>
          <w:sz w:val="22"/>
          <w:szCs w:val="22"/>
          <w:rtl/>
        </w:rPr>
        <w:t xml:space="preserve">جرى تحديد معيار وإجراء للإتلاف الآمن واعتمادهما وتطبيقهما، ويُراقَب الالتزام بهما وتُقاس فعاليتهما وتُقيَّم دورياً. وتُتلف أصول المعلومات بما يتوافق مع المتطلبات النظامية والرقابية بمجرد انتفاء الحاجة إليها، باستخدام أساليب إتلاف غير قابلة للاسترجاع (المسح الآمن، والمحو الآمن، والحرق، والتقطيع المتقاطع المزدوج) للمعلومات الحساسة، ويُلزَم مزوّدو الخدمة الخارجيون المستخدَمون في الإتلاف أو النقل أو التخزين تعاقدياً بالالتزام بالمعيار، ويُقاس التزامهم دورياً.</w:t>
      </w:r>
    </w:p>
    <w:p>
      <w:pPr>
        <w:pStyle w:val="Heading2"/>
        <w:bidi/>
        <w:spacing w:after="120" w:before="320"/>
        <w:jc w:val="right"/>
      </w:pPr>
      <w:r>
        <w:rPr>
          <w:rFonts w:ascii="Arial" w:cs="Arial" w:eastAsia="Arial" w:hAnsi="Arial"/>
          <w:b/>
          <w:bCs/>
          <w:color w:val="1F3864"/>
          <w:sz w:val="26"/>
          <w:szCs w:val="26"/>
          <w:rtl/>
        </w:rPr>
        <w:t xml:space="preserve">3.3.12 أنظمة المدفوعات</w:t>
      </w:r>
    </w:p>
    <w:p>
      <w:pPr>
        <w:bidi/>
        <w:spacing w:after="160" w:line="340"/>
        <w:jc w:val="both"/>
      </w:pPr>
      <w:r>
        <w:rPr>
          <w:rFonts w:ascii="Arial" w:cs="Arial" w:eastAsia="Arial" w:hAnsi="Arial"/>
          <w:sz w:val="22"/>
          <w:szCs w:val="22"/>
          <w:rtl/>
        </w:rPr>
        <w:t xml:space="preserve">جرى تحديد معيار للأمن السيبراني لأنظمة المدفوعات واعتماده وتطبيقه ومراقبته، وتُقاس فعاليته وتُقيَّم دورياً، بما يتوافق تماماً مع سياسة أمن المعلومات لنظام سريع (الإصدار 1.0، يونيو 2016) والكتاب التقني لقواعد ومعايير مدى، بما في ذلك الجزء الثالث (أ) إطار الأمن (الإصدار 6.0.0، مايو 2016)، والجزء الثالث (ب) متطلبات وحدات الأمان المادية (الإصدار 6.0.0، مايو 2016)، وإجراءات شهادات ساما للبنية التحتية للمفاتيح العامة (الإصدار 6.0.1، أكتوبر 2016).</w:t>
      </w:r>
    </w:p>
    <w:p>
      <w:pPr>
        <w:pStyle w:val="Heading2"/>
        <w:bidi/>
        <w:spacing w:after="120" w:before="320"/>
        <w:jc w:val="right"/>
      </w:pPr>
      <w:r>
        <w:rPr>
          <w:rFonts w:ascii="Arial" w:cs="Arial" w:eastAsia="Arial" w:hAnsi="Arial"/>
          <w:b/>
          <w:bCs/>
          <w:color w:val="1F3864"/>
          <w:sz w:val="26"/>
          <w:szCs w:val="26"/>
          <w:rtl/>
        </w:rPr>
        <w:t xml:space="preserve">3.3.13 الخدمات المصرفية الإلكترونية</w:t>
      </w:r>
    </w:p>
    <w:p>
      <w:pPr>
        <w:bidi/>
        <w:spacing w:after="160" w:line="340"/>
        <w:jc w:val="both"/>
      </w:pPr>
      <w:r>
        <w:rPr>
          <w:rFonts w:ascii="Arial" w:cs="Arial" w:eastAsia="Arial" w:hAnsi="Arial"/>
          <w:sz w:val="22"/>
          <w:szCs w:val="22"/>
          <w:rtl/>
        </w:rPr>
        <w:t xml:space="preserve">جرى تحديد معيار للأمن السيبراني للخدمات المصرفية الإلكترونية واعتماده وتطبيقه ومراقبته، وتُقاس فعاليته وتُقيَّم دورياً. ويغطي تدابير حماية العلامة التجارية بما في ذلك مراقبة وسائل التواصل الاجتماعي؛ وفيما يخص الخدمات المصرفية عبر الإنترنت والهاتف المحمول والهاتف، يوجب التوزيع حصراً عبر متاجر التطبيقات والمواقع الرسمية، وكشف التطبيقات والمواقع الخبيثة وإزالتها، والعزل في بيئة معزولة، وتقنيات منع التخزين المؤقت، وتقنيات الاتصال المضادة لهجمات الوسيط، والمصادقة متعددة العوامل عند التسجيل وفي كل خدمة مصرفية إلكترونية (تسجيل الدخول، وإضافة المستفيدين أو تعديلهم، ومدفوعات الفواتير والجهات الحكومية، والعمليات عالية المخاطر، وإعادة تعيين كلمة المرور)، مع حماية الرموز المادية والبرمجية بكلمة مرور، وإيقاف دخول العميل بعد ثلاث محاولات خاطئة، وعدم معالجة تغيير رقم الجوال إلا عبر الفرع أو الصراف الآلي، وإرسال طلبات وتفعيلات المصادقة متعددة العوامل عبر قنوات مختلفة؛ كما يضمن توافراً عالياً مع إبلاغ البنك المركزي السعودي والعملاء مسبقاً بأي توقف مجدول، ووجود اتفاقيات تعاقدية تحدد الأدوار والمسؤوليات والالتزامات، والحصول على موافقة ساما قبل إطلاق أي خدمة مصرفية إلكترونية جديدة. أما بالنسبة لأجهزة الصراف الآلي ونقاط البيع فيغطي المعيار منع وكشف استغلال البنية التحتية، وتحصين الأجهزة، والحماية من البرمجيات الخبيثة، وشاشات الخصوصية، وإخفاء البيانات، والحجب الجغرافي، والمراقبة بالكاميرات، وإيقاف البطاقة بعد ثلاث محاولات خاطئة للرقم السري، وحلول مكافحة نسخ البطاقات، وحماية لوحة إدخال الرقم السري، وإمكانية الإيقاف عن بُعد. ولا تتضمن الرسائل النصية أي بيانات حساسة عن رصيد الحساب (باستثناء البطاقات الائتمانية)، وتُرسَل إلى الرقم القديم والجديد معاً عند تغيير رقم الجوال، وتُرسَل عند كل طلب مصادقة متعددة العوامل، وعند كل عملية للأفراد، وعند كل إضافة أو تعديل أو تفعيل لمستفيد.</w:t>
      </w:r>
    </w:p>
    <w:p>
      <w:pPr>
        <w:pStyle w:val="Heading2"/>
        <w:bidi/>
        <w:spacing w:after="120" w:before="320"/>
        <w:jc w:val="right"/>
      </w:pPr>
      <w:r>
        <w:rPr>
          <w:rFonts w:ascii="Arial" w:cs="Arial" w:eastAsia="Arial" w:hAnsi="Arial"/>
          <w:b/>
          <w:bCs/>
          <w:color w:val="1F3864"/>
          <w:sz w:val="26"/>
          <w:szCs w:val="26"/>
          <w:rtl/>
        </w:rPr>
        <w:t xml:space="preserve">3.3.14 إدارة أحداث الأمن السيبراني</w:t>
      </w:r>
    </w:p>
    <w:p>
      <w:pPr>
        <w:bidi/>
        <w:spacing w:after="160" w:line="340"/>
        <w:jc w:val="both"/>
      </w:pPr>
      <w:r>
        <w:rPr>
          <w:rFonts w:ascii="Arial" w:cs="Arial" w:eastAsia="Arial" w:hAnsi="Arial"/>
          <w:sz w:val="22"/>
          <w:szCs w:val="22"/>
          <w:rtl/>
        </w:rPr>
        <w:t xml:space="preserve">عملية إدارة الأحداث الأمنية محددة ومعتمدة ومطبّقة، وتُقاس فعاليتها وتُقيَّم دورياً، ويدعمها معيار محدد لمراقبة الأحداث الأمنية يغطي جميع الأحداث الإلزامية بحسب تصنيف الأصول. ويعمل مركز عمليات أمنية (SOC) مخصص على مدار الساعة طوال أيام الأسبوع بكوادر مؤهلة تخضع لتدريب مستمر، من مساحة عمل مقيّدة الدخول، ويتولى كشف الشيفرات الخبيثة والأحداث المشبوهة والتعامل معها، وتطبيق تحليل حزم الشبكة، وحماية السجلات، وتنفيذ المراقبة الدورية للالتزام، وتشغيل منصة مؤتمتة ومركزية لإدارة معلومات وأحداث الأمن (SIEM)، ورفع تقارير الحوادث، والخضوع لاختبارات دورية مستقلة من فريق أحمر لقياس فعاليته.</w:t>
      </w:r>
    </w:p>
    <w:p>
      <w:pPr>
        <w:pStyle w:val="Heading2"/>
        <w:bidi/>
        <w:spacing w:after="120" w:before="320"/>
        <w:jc w:val="right"/>
      </w:pPr>
      <w:r>
        <w:rPr>
          <w:rFonts w:ascii="Arial" w:cs="Arial" w:eastAsia="Arial" w:hAnsi="Arial"/>
          <w:b/>
          <w:bCs/>
          <w:color w:val="1F3864"/>
          <w:sz w:val="26"/>
          <w:szCs w:val="26"/>
          <w:rtl/>
        </w:rPr>
        <w:t xml:space="preserve">3.3.15 إدارة حوادث الأمن السيبراني</w:t>
      </w:r>
    </w:p>
    <w:p>
      <w:pPr>
        <w:bidi/>
        <w:spacing w:after="160" w:line="340"/>
        <w:jc w:val="both"/>
      </w:pPr>
      <w:r>
        <w:rPr>
          <w:rFonts w:ascii="Arial" w:cs="Arial" w:eastAsia="Arial" w:hAnsi="Arial"/>
          <w:sz w:val="22"/>
          <w:szCs w:val="22"/>
          <w:rtl/>
        </w:rPr>
        <w:t xml:space="preserve">عملية إدارة حوادث الأمن السيبراني محددة ومعتمدة ومطبّقة ومتوافقة بالكامل مع عملية إدارة الحوادث المؤسسية في البنك، وتُقاس فعاليتها وتُقيَّم دورياً. ويتولى فريق استجابة للحوادث معيّن ومؤهل وخاضع لتدريب مستمر، يمتلك قدرات كافية ومعتمدة في التحليل الجنائي الرقمي ومساحة عمل مقيّدة لفريق الاستجابة، تصنيفَ الحوادث والتعامل معها ضمن أطر زمنية محددة مع تسجيل التقدّم ومتابعته، وحماية الأدلة والسجلات ذات الصلة، وإجراء التحليل الجنائي وتحليل الأسباب الجذرية بعد الحادثة، ورفع التحسينات المقترحة إلى رئيس الأمن السيبراني ولجنة الأمن السيبراني، والاحتفاظ بسجل لحوادث الأمن السيبراني. ويُبلَّغ قسم الإشراف على مخاطر تقنية المعلومات في البنك المركزي السعودي فور تحديد أي حادثة مصنفة متوسطة أو عالية، ويحصل البنك على عدم ممانعة ساما قبل أي تعامل إعلامي متعلق بحادثة، ويُقدَّم تقرير رسمي عن الحادثة إلى ساما بعد استئناف العمليات يشمل عنوان الحادثة وتصنيفها وتاريخ ووقت وقوعها واكتشافها وأصول المعلومات المتأثرة والتفاصيل التقنية وتحليل الأسباب الجذرية والإجراءات التصحيحية المنفَّذة والمخطط لها ووصف الأثر والتكاليف التقديرية.</w:t>
      </w:r>
    </w:p>
    <w:p>
      <w:pPr>
        <w:pStyle w:val="Heading2"/>
        <w:bidi/>
        <w:spacing w:after="120" w:before="320"/>
        <w:jc w:val="right"/>
      </w:pPr>
      <w:r>
        <w:rPr>
          <w:rFonts w:ascii="Arial" w:cs="Arial" w:eastAsia="Arial" w:hAnsi="Arial"/>
          <w:b/>
          <w:bCs/>
          <w:color w:val="1F3864"/>
          <w:sz w:val="26"/>
          <w:szCs w:val="26"/>
          <w:rtl/>
        </w:rPr>
        <w:t xml:space="preserve">3.3.16 إدارة التهديدات</w:t>
      </w:r>
    </w:p>
    <w:p>
      <w:pPr>
        <w:bidi/>
        <w:spacing w:after="160" w:line="340"/>
        <w:jc w:val="both"/>
      </w:pPr>
      <w:r>
        <w:rPr>
          <w:rFonts w:ascii="Arial" w:cs="Arial" w:eastAsia="Arial" w:hAnsi="Arial"/>
          <w:sz w:val="22"/>
          <w:szCs w:val="22"/>
          <w:rtl/>
        </w:rPr>
        <w:t xml:space="preserve">عملية إدارة معلومات التهديدات محددة ومعتمدة ومطبّقة، وتُقاس فعاليتها وتُقيَّم دورياً. وتعتمد على مصادر داخلية (ضوابط الدخول، وسجلات التطبيقات والبنية التحتية، وأنظمة كشف ومنع التسلل، ونظام إدارة معلومات وأحداث الأمن، والإدارات المساندة كالقانونية والتدقيق ومكافحة الاحتيال والالتزام) ومصادر خارجية موثوقة (البنك المركزي السعودي، والجهات الحكومية، والمنتديات الأمنية، ومورّدي الحلول الأمنية، وخدمات الإشعار المتخصصة)، وتتبع منهجية محددة لتحليل معلومات التهديدات دورياً، وتوثّق أسلوب العمل والجهات الفاعلة والدوافع ونوع التهديد، وتقيّم مدى ارتباط المعلومات المستخلصة وقابليتها للتنفيذ لمتابعتها من مركز العمليات الأمنية وإدارة المخاطر، وتشارك المعلومات ذات الصلة مع الأطراف المعنية بما فيها ساما وأعضاء منظومة تبادل المعلومات في القطاع المصرفي.</w:t>
      </w:r>
    </w:p>
    <w:p>
      <w:pPr>
        <w:pStyle w:val="Heading2"/>
        <w:bidi/>
        <w:spacing w:after="120" w:before="320"/>
        <w:jc w:val="right"/>
      </w:pPr>
      <w:r>
        <w:rPr>
          <w:rFonts w:ascii="Arial" w:cs="Arial" w:eastAsia="Arial" w:hAnsi="Arial"/>
          <w:b/>
          <w:bCs/>
          <w:color w:val="1F3864"/>
          <w:sz w:val="26"/>
          <w:szCs w:val="26"/>
          <w:rtl/>
        </w:rPr>
        <w:t xml:space="preserve">3.3.17 إدارة الثغرات</w:t>
      </w:r>
    </w:p>
    <w:p>
      <w:pPr>
        <w:bidi/>
        <w:spacing w:after="160" w:line="340"/>
        <w:jc w:val="both"/>
      </w:pPr>
      <w:r>
        <w:rPr>
          <w:rFonts w:ascii="Arial" w:cs="Arial" w:eastAsia="Arial" w:hAnsi="Arial"/>
          <w:sz w:val="22"/>
          <w:szCs w:val="22"/>
          <w:rtl/>
        </w:rPr>
        <w:t xml:space="preserve">جرى تحديد عملية رسمية لإدارة الثغرات واعتمادها وتطبيقها، وتُقاس فعاليتها وتُقيَّم ربع سنوياً. وتغطي جميع أصول المعلومات، مع تحديد تواتر الفحص على أساس المخاطر (أسبوعياً للأنظمة المتصلة بالإنترنت، وشهرياً للأنظمة الداخلية)، وتصنّف الثغرات المكتشفة بحسب خطورتها، وتحدد أطراً زمنية للمعالجة حسب التصنيف (الحرجة: 7 أيام، المرتفعة: 30 يوماً، المتوسطة: 90 يوماً، المنخفضة: 180 يوماً)، وترتب أولويات المعالجة وفق تصنيف الأصل، وتدير نشر التحديثات الأمنية عبر منصة مركزية مؤتمتة مع نشر تدريجي وإمكانية التراجع. ويُشترط تعاقدياً المستوى ذاته من الحماية من جميع الأطراف الخارجية التي تتعامل مع أصول معلومات البنك.</w:t>
      </w:r>
    </w:p>
    <w:p>
      <w:pPr>
        <w:pStyle w:val="Heading2"/>
        <w:bidi/>
        <w:spacing w:after="120" w:before="320"/>
        <w:jc w:val="right"/>
      </w:pPr>
      <w:r>
        <w:rPr>
          <w:rFonts w:ascii="Arial" w:cs="Arial" w:eastAsia="Arial" w:hAnsi="Arial"/>
          <w:b/>
          <w:bCs/>
          <w:color w:val="1F3864"/>
          <w:sz w:val="26"/>
          <w:szCs w:val="26"/>
          <w:rtl/>
        </w:rPr>
        <w:t xml:space="preserve">3.4.1 إدارة العقود والموردين</w:t>
      </w:r>
    </w:p>
    <w:p>
      <w:pPr>
        <w:bidi/>
        <w:spacing w:after="160" w:line="340"/>
        <w:jc w:val="both"/>
      </w:pPr>
      <w:r>
        <w:rPr>
          <w:rFonts w:ascii="Arial" w:cs="Arial" w:eastAsia="Arial" w:hAnsi="Arial"/>
          <w:sz w:val="22"/>
          <w:szCs w:val="22"/>
          <w:rtl/>
        </w:rPr>
        <w:t xml:space="preserve">متطلبات الأمن السيبراني محددة ومعتمدة ومطبّقة ومُبلَّغة ضمن عمليات إدارة العقود والموردين في البنك، ويُراقَب الالتزام بها وتُقاس فعاليتها وتُقيَّم دورياً. وتشارك إدارة الأمن السيبراني بفعالية في العناية الواجبة تجاه الموردين، وتُطبَّق متطلبات أمن سيبراني أساسية على كل مورّد، ويحتفظ البنك بالحق التعاقدي في مراجعة الموردين وتدقيقهم دورياً. وتتضمن عملية إدارة العقود تقييماً لمخاطر الأمن السيبراني كجزء من الشراء، ومتطلبات أمن سيبراني محددة ضمن عملية المنافسة، وتقييم عروض الموردين مقابل تلك المتطلبات، واختباراً قائماً على المخاطر للمتطلبات المتفق عليها، وعملية محددة للتواصل والتصعيد عند حوادث الأمن السيبراني، ومتطلبات للخروج من العقد أو إنهائه أو تجديده (بما في ذلك اتفاقيات حفظ الشيفرة المصدرية لدى طرف ثالث عند الاقتضاء)، واتفاقية سرية متبادلة. وتشمل إدارة الموردين (مستوى الخدمة) رفع التقارير الدورية ومراجعة وتقييم متطلبات الأمن السيبراني المتفق عليها في اتفاقيات مستوى الخدمة.</w:t>
      </w:r>
    </w:p>
    <w:p>
      <w:pPr>
        <w:pStyle w:val="Heading2"/>
        <w:bidi/>
        <w:spacing w:after="120" w:before="320"/>
        <w:jc w:val="right"/>
      </w:pPr>
      <w:r>
        <w:rPr>
          <w:rFonts w:ascii="Arial" w:cs="Arial" w:eastAsia="Arial" w:hAnsi="Arial"/>
          <w:b/>
          <w:bCs/>
          <w:color w:val="1F3864"/>
          <w:sz w:val="26"/>
          <w:szCs w:val="26"/>
          <w:rtl/>
        </w:rPr>
        <w:t xml:space="preserve">3.4.2 الإسناد الخارجي</w:t>
      </w:r>
    </w:p>
    <w:p>
      <w:pPr>
        <w:bidi/>
        <w:spacing w:after="160" w:line="340"/>
        <w:jc w:val="both"/>
      </w:pPr>
      <w:r>
        <w:rPr>
          <w:rFonts w:ascii="Arial" w:cs="Arial" w:eastAsia="Arial" w:hAnsi="Arial"/>
          <w:sz w:val="22"/>
          <w:szCs w:val="22"/>
          <w:rtl/>
        </w:rPr>
        <w:t xml:space="preserve">متطلبات الأمن السيبراني ضمن سياسة الإسناد الخارجي وعملياته محددة ومعتمدة ومطبّقة ومُبلَّغة على مستوى البنك، ويُقاس الالتزام بها ويُقيَّم دورياً. وتشترط عملية الإسناد الخارجي الحصول على موافقة مسبقة من البنك المركزي السعودي قبل أي ترتيب إسناد جوهري، ومشاركة إلزامية لإدارة الأمن السيبراني طوال العملية، والالتزام الكامل بتعميم ساما بشأن الإسناد الخارجي.</w:t>
      </w:r>
    </w:p>
    <w:p>
      <w:pPr>
        <w:pStyle w:val="Heading2"/>
        <w:bidi/>
        <w:spacing w:after="120" w:before="320"/>
        <w:jc w:val="right"/>
      </w:pPr>
      <w:r>
        <w:rPr>
          <w:rFonts w:ascii="Arial" w:cs="Arial" w:eastAsia="Arial" w:hAnsi="Arial"/>
          <w:b/>
          <w:bCs/>
          <w:color w:val="1F3864"/>
          <w:sz w:val="26"/>
          <w:szCs w:val="26"/>
          <w:rtl/>
        </w:rPr>
        <w:t xml:space="preserve">3.4.3 الحوسبة السحابية</w:t>
      </w:r>
    </w:p>
    <w:p>
      <w:pPr>
        <w:bidi/>
        <w:spacing w:after="160" w:line="340"/>
        <w:jc w:val="both"/>
      </w:pPr>
      <w:r>
        <w:rPr>
          <w:rFonts w:ascii="Arial" w:cs="Arial" w:eastAsia="Arial" w:hAnsi="Arial"/>
          <w:sz w:val="22"/>
          <w:szCs w:val="22"/>
          <w:rtl/>
        </w:rPr>
        <w:t xml:space="preserve">جرى تحديد سياسة للحوسبة السحابية تشمل الخدمات السحابية الهجينة والعامة، واعتمادها وتطبيقها وتبليغها، ويُراقَب الالتزام بها بشكل مستمر وتُقاس فعاليتها وتُراجَع سنوياً. وقبل تبنّي أي خدمة سحابية يُجرى تقييم لمخاطر الأمن السيبراني ومراجعة عناية واجبة لمزوّد الخدمة، وتُؤخذ موافقة البنك المركزي السعودي قبل توقيع أي عقد أو استخدام الخدمة، ويكون هناك عقد موقّع يتضمن جميع بنود الأمن السيبراني المطلوبة قبل الاستخدام. ومن حيث المبدأ لا تُستخدم إلا الخدمات السحابية المستضافة داخل المملكة العربية السعودية؛ وأي استثناء يتطلب موافقة مسبقة صريحة من ساما. وتمنع العقود مزوّد الخدمة السحابية من استخدام بيانات البنك لأي غرض ثانوي، وتلزمه بتطبيق ومراقبة الضوابط التي حددها تقييم المخاطر، وتشترط الفصل المنطقي لبيانات البنك في جميع الأوقات بحيث تبقى محددة وقابلة للتمييز بوضوح عن بيانات العملاء الآخرين. ويُدرَج استخدام الخدمات السحابية ضمن سياسة استمرارية الأعمال في البنك واختباراتها، ويحتفظ البنك بحقوق تعاقدية في تنفيذ مراجعات وعمليات تدقيق وفحص للأمن السيبراني لدى المزوّد، وتضمن بنود الخروج حقوق الإنهاء وإعادة جميع البيانات عند الإنهاء وحذف بيانات البنك لدى المزوّد بشكل نهائي وغير قابل للاسترجاع بعد ذلك.</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2026-08-02T09:20:15.595Z</dcterms:created>
  <dcterms:modified xsi:type="dcterms:W3CDTF">2026-08-02T09:20:15.608Z</dcterms:modified>
</cp:coreProperties>
</file>

<file path=docProps/custom.xml><?xml version="1.0" encoding="utf-8"?>
<Properties xmlns="http://schemas.openxmlformats.org/officeDocument/2006/custom-properties" xmlns:vt="http://schemas.openxmlformats.org/officeDocument/2006/docPropsVTypes"/>
</file>