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سياسة أمن المعلومات - شركة أكمي</w:t>
      </w:r>
    </w:p>
    <w:p>
      <w:r>
        <w:t>الإصدار 3.2 - معتمدة من مجلس الإدارة</w:t>
      </w:r>
    </w:p>
    <w:p>
      <w:pPr>
        <w:pStyle w:val="Heading2"/>
      </w:pPr>
      <w:r>
        <w:t>1. الحوكمة</w:t>
      </w:r>
    </w:p>
    <w:p>
      <w:r>
        <w:t>تُعتمد سياسة أمن المعلومات سنوياً من لجنة المخاطر المنبثقة عن مجلس الإدارة. تم تشكيل لجنة الأمن السيبراني برئاسة عضو مستقل من الإدارة العليا. يرفع رئيس الأمن السيبراني تقاريره مباشرة إلى الرئيس التنفيذي ويقدم إحاطات ربع سنوية لمجلس الإدارة.</w:t>
      </w:r>
    </w:p>
    <w:p>
      <w:pPr>
        <w:pStyle w:val="Heading2"/>
      </w:pPr>
      <w:r>
        <w:t>2. الأدوار والمسؤوليات</w:t>
      </w:r>
    </w:p>
    <w:p>
      <w:r>
        <w:t>تحدد الوثيقة مسؤوليات مجلس الإدارة ولجنة الأمن السيبراني ورئيس الأمن السيبراني والمراجعة الداخلية وعموم الموظفين. يخضع تعيين رئيس الأمن السيبراني لعدم ممانعة البنك المركزي السعودي ويستوفي متطلبات الجنسية المقررة.</w:t>
      </w:r>
    </w:p>
    <w:p>
      <w:pPr>
        <w:pStyle w:val="Heading2"/>
      </w:pPr>
      <w:r>
        <w:t>3. استراتيجية الأمن السيبراني</w:t>
      </w:r>
    </w:p>
    <w:p>
      <w:r>
        <w:t>تحتفظ المؤسسة بخارطة طريق أمنية للأعوام 2023-2025 متوائمة مع أهداف العمل والمتطلبات النظامية، وتوضح الوضع المستقبلي المنشود والجداول الزمنية لتنفيذ المبادرات، وتُراجع سنوياً من الإدارة العليا.</w:t>
      </w:r>
    </w:p>
    <w:p>
      <w:pPr>
        <w:pStyle w:val="Heading2"/>
      </w:pPr>
      <w:r>
        <w:t>4. أمن الموارد البشرية</w:t>
      </w:r>
    </w:p>
    <w:p>
      <w:r>
        <w:t>يخضع جميع الموظفين الجدد للتحقق من السجل الجنائي والمؤهلات العلمية قبل التعيين، مع فحوصات معززة للوظائف ذات الصلاحيات المميزة. يوقع الموظفون اتفاقيات عدم إفشاء، ويكملون وحدة توعية بالأمن السيبراني عند الالتحاق.</w:t>
      </w:r>
    </w:p>
    <w:p>
      <w:pPr>
        <w:pStyle w:val="Heading2"/>
      </w:pPr>
      <w:r>
        <w:t>5. أمن الأطراف الخارجية</w:t>
      </w:r>
    </w:p>
    <w:p>
      <w:r>
        <w:t>تتضمن العقود القياسية مع الموردين الملحق (ج) لمتطلبات أمن المعلومات، وهو إلزامي لأي مورد يصل إلى أنظمة الإنتاج. تُجرى تقييمات مخاطر الموردين عند التعاقد وعند التجديد.</w:t>
      </w:r>
    </w:p>
    <w:p>
      <w:pPr>
        <w:pStyle w:val="Heading2"/>
      </w:pPr>
      <w:r>
        <w:t>6. إدارة الهوية والوصول</w:t>
      </w:r>
    </w:p>
    <w:p>
      <w:r>
        <w:t>المصادقة متعددة العوامل إلزامية لجميع اتصالات الشبكة الافتراضية الخاصة ولأي حساب يتمتع بصلاحيات إدارية، ويتم فرضها عبر مزود الهوية المؤسسي. تُلغى صلاحيات الوصول خلال خمسة أيام عمل من انتهاء الخدمة.</w:t>
      </w:r>
    </w:p>
    <w:p>
      <w:pPr>
        <w:pStyle w:val="Heading2"/>
      </w:pPr>
      <w:r>
        <w:t>7. إدارة الحوادث</w:t>
      </w:r>
    </w:p>
    <w:p>
      <w:r>
        <w:t>تحدد خطة الاستجابة للحوادث (الملحق د) تصنيفاً رباعي المستويات لشدة الحوادث، ومصفوفة تصعيد، ومتطلب إشعار البنك المركزي السعودي خلال 72 ساعة للحوادث الجوهرية.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