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Al-Falak Digital Bank - Information Security Policy</w:t>
      </w:r>
    </w:p>
    <w:p>
      <w:r>
        <w:rPr>
          <w:i/>
        </w:rPr>
        <w:t>Document Owner: Cyber Security Function | Version: 4.2 | Last Board Approval: 2026-02-01</w:t>
      </w:r>
    </w:p>
    <w:p>
      <w:pPr>
        <w:pStyle w:val="Heading2"/>
      </w:pPr>
      <w:r>
        <w:t>1. Cyber Security Governance</w:t>
      </w:r>
    </w:p>
    <w:p>
      <w:r>
        <w:t>The Board of Directors has mandated a Cyber Security Committee, chartered and formally approved, which is headed by an independent senior manager from a control function (the Chief Risk Officer), separate from the IT and cyber security functions. The committee includes senior managers from all relevant departments (COO, CIO, Compliance Officer, and heads of key business departments), the Chief Information Security Officer (CISO), and Internal Audit attends as a non-voting observer. The committee charter defines its objectives, roles and responsibilities, a minimum quorum for meetings, and a fixed quarterly meeting frequency. A dedicated Cyber Security function has been established, fully independent from the Information Technology function, with its own separate reporting line, budget, and staff performance evaluation process, to avoid any conflict of interest. The Cyber Security function reports directly to the CEO. The CISO is a full-time, senior-management-level, Saudi national appointee, sufficiently qualified (CISSP-certified with over 12 years of experience), and was assigned following SAMA's formal no-objection. The Board allocates a dedicated annual budget sufficient to execute all planned cyber security activities.</w:t>
      </w:r>
    </w:p>
    <w:p>
      <w:pPr>
        <w:pStyle w:val="Heading2"/>
      </w:pPr>
      <w:r>
        <w:t>2. Compliance with International Payment Industry Standards</w:t>
      </w:r>
    </w:p>
    <w:p>
      <w:r>
        <w:t>Al-Falak Digital Bank maintains current PCI-DSS Level 1 certification, renewed annually by an independent Qualified Security Assessor (QSA). All card-present and card-not-present payment systems are certified EMV-compliant per the EMV technical standard. The bank's SWIFT messaging environment has been formally assessed against the SWIFT Customer Security Controls Framework (CSCF), March 2017 version, with the annual self-attestation submitted to SWIFT and made available to SAMA.</w:t>
      </w:r>
    </w:p>
    <w:p>
      <w:pPr>
        <w:pStyle w:val="Heading2"/>
      </w:pPr>
      <w:r>
        <w:t>3. Cryptography Standard</w:t>
      </w:r>
    </w:p>
    <w:p>
      <w:r>
        <w:t>A formal Cryptographic Security Standard has been defined, approved by the Cyber Security Committee, and implemented across the bank. Compliance with the standard is monitored quarterly by the cyber security function, and its effectiveness is measured and reviewed annually as part of the internal cyber security review program. The standard documents: (a) the full list of approved cryptographic algorithms and protocols (AES-256 for data at rest, TLS 1.3 for data in transit, RSA-4096 for key exchange) along with technical and legal restrictions on their use; (b) the specific circumstances and systems where each approved cryptographic solution must be applied; and (c) a complete encryption key management lifecycle covering generation, secure storage, rotation every 90 days, archiving of retired keys, and a documented key recovery procedure in case of loss.</w:t>
      </w:r>
    </w:p>
    <w:p>
      <w:pPr>
        <w:pStyle w:val="Heading2"/>
      </w:pPr>
      <w:r>
        <w:t>4. Vulnerability Management</w:t>
      </w:r>
    </w:p>
    <w:p>
      <w:r>
        <w:t>A formal Vulnerability Management process has been defined, approved by the Cyber Security Committee, and implemented. Its effectiveness is measured and evaluated on a quarterly basis. The process covers all information assets (applications, servers, network devices, and endpoints), with scan frequency determined on a risk basis (weekly for internet-facing systems, monthly for internal systems). Identified vulnerabilities are classified by severity (Critical, High, Medium, Low), with defined remediation timelines for each classification (Critical: 7 days, High: 30 days, Medium: 90 days, Low: 180 days), and remediation is prioritized according to asset classification. Patch management is handled through a centralized, automated deployment platform with staged rollout and rollback capability.</w:t>
      </w:r>
    </w:p>
    <w:p>
      <w:pPr>
        <w:pStyle w:val="Heading2"/>
      </w:pPr>
      <w:r>
        <w:t>5. Cloud Computing Policy</w:t>
      </w:r>
    </w:p>
    <w:p>
      <w:r>
        <w:t>A formal Cloud Computing Policy for hybrid and public cloud services has been defined, approved by the Cyber Security Committee, implemented, and communicated to all relevant staff. Compliance with the policy is monitored continuously, and its effectiveness is measured and reviewed annually. Before adopting any cloud service, a cyber security risk assessment and due diligence review of the cloud provider is conducted, SAMA's approval is obtained prior to signing any contract or using the service, and a signed contract including all required cyber security clauses is in place before use. In principle, only cloud services hosted within Saudi Arabia are used; any exception requires explicit prior approval from SAMA. Contracts explicitly prohibit the cloud provider from using the bank's data for any secondary purpose. The cloud provider is contractually required to implement and monitor the cyber security controls determined in the risk assessment, and to logically segregate the bank's data at all times so that it can be clearly identified and distinguished from other tenants' data. Cloud usage is included within the bank's business continuity policy and testing. The bank retains the contractual right to perform cyber security reviews, audits, and examinations at the cloud provider. Exit clauses guarantee the bank's termination rights, return of all data upon termination, and irreversible deletion of the bank's data by the provider after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