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Al-Rawabi Finance Company</w:t>
      </w:r>
    </w:p>
    <w:p>
      <w:pPr>
        <w:pStyle w:val="Heading1"/>
      </w:pPr>
      <w:r>
        <w:t>Information Security Policy (Internal)</w:t>
      </w:r>
    </w:p>
    <w:p>
      <w:r>
        <w:t>Document Owner: IT Department  |  Version: 2.1  |  Last Reviewed: 2025</w:t>
      </w:r>
    </w:p>
    <w:p>
      <w:pPr>
        <w:pStyle w:val="Heading2"/>
      </w:pPr>
      <w:r>
        <w:t>1. Governance</w:t>
      </w:r>
    </w:p>
    <w:p>
      <w:r>
        <w:t>Al-Rawabi Finance Company has established an internal IT Security Committee that meets on an informal, as-needed basis to discuss security matters. The committee is chaired by the Head of IT and includes representatives from Operations and Compliance. There is currently no formal charter, no fixed meeting frequency, and no dedicated Chief Information Security Officer (CISO) position; security responsibilities are handled by the IT Manager alongside their regular duties.</w:t>
      </w:r>
    </w:p>
    <w:p>
      <w:pPr>
        <w:pStyle w:val="Heading2"/>
      </w:pPr>
      <w:r>
        <w:t>2. Information Security Policy</w:t>
      </w:r>
    </w:p>
    <w:p>
      <w:r>
        <w:t>This Information Security Policy document is reviewed annually and approved by the General Manager. It is published on the internal SharePoint site and all employees are required to acknowledge having read it during onboarding.</w:t>
      </w:r>
    </w:p>
    <w:p>
      <w:pPr>
        <w:pStyle w:val="Heading2"/>
      </w:pPr>
      <w:r>
        <w:t>3. Risk Management</w:t>
      </w:r>
    </w:p>
    <w:p>
      <w:r>
        <w:t>The company does not currently have a formal, documented cyber security risk management process. Risk-related decisions (such as whether to adopt a new vendor or system) are made informally by the IT Manager on a case-by-case basis, without a structured risk register, risk appetite statement, or periodic risk assessment schedule.</w:t>
      </w:r>
    </w:p>
    <w:p>
      <w:pPr>
        <w:pStyle w:val="Heading2"/>
      </w:pPr>
      <w:r>
        <w:t>4. Human Resources and Awareness</w:t>
      </w:r>
    </w:p>
    <w:p>
      <w:r>
        <w:t>New employees receive a one-time security awareness briefing during onboarding covering password hygiene, phishing recognition, and acceptable use of company systems. There is currently no recurring annual training program, and no specialized technical training is provided to IT staff on cyber security topics.</w:t>
      </w:r>
    </w:p>
    <w:p>
      <w:pPr>
        <w:pStyle w:val="Heading2"/>
      </w:pPr>
      <w:r>
        <w:t>5. Identity and Access Management</w:t>
      </w:r>
    </w:p>
    <w:p>
      <w:r>
        <w:t>All employee accounts require multi-factor authentication (MFA) for access to email, VPN, and core banking systems. Access rights are assigned based on job role (role-based access control) and are reviewed by the IT Manager on a quarterly basis. Access for departing employees is revoked within 24 hours of their last working day, as confirmed by HR.</w:t>
      </w:r>
    </w:p>
    <w:p>
      <w:pPr>
        <w:pStyle w:val="Heading2"/>
      </w:pPr>
      <w:r>
        <w:t>6. Cryptography</w:t>
      </w:r>
    </w:p>
    <w:p>
      <w:r>
        <w:t>All customer data is encrypted at rest using AES-256 and in transit using TLS 1.2 or higher. Encryption key management is handled through the core banking vendor's built-in key management module, which was approved by IT during the original system procurement.</w:t>
      </w:r>
    </w:p>
    <w:p>
      <w:pPr>
        <w:pStyle w:val="Heading2"/>
      </w:pPr>
      <w:r>
        <w:t>7. Physical Security</w:t>
      </w:r>
    </w:p>
    <w:p>
      <w:r>
        <w:t>The head office data center is protected by badge-based access control, CCTV coverage, and a visitor sign-in log. Server room access is restricted to IT staff only.</w:t>
      </w:r>
    </w:p>
    <w:p>
      <w:pPr>
        <w:pStyle w:val="Heading2"/>
      </w:pPr>
      <w:r>
        <w:t>8. Cyber Security Incident Management</w:t>
      </w:r>
    </w:p>
    <w:p>
      <w:r>
        <w:t>Employees are instructed to report any suspected security incident to the IT helpdesk by email or phone. There is no formally documented incident response plan, no defined incident severity classification, and no dedicated incident response team; incidents are handled reactively by whichever IT staff member is available.</w:t>
      </w:r>
    </w:p>
    <w:p>
      <w:pPr>
        <w:pStyle w:val="Heading2"/>
      </w:pPr>
      <w:r>
        <w:t>9. Third-Party and Vendor Management</w:t>
      </w:r>
    </w:p>
    <w:p>
      <w:r>
        <w:t>All vendors with access to company systems are required to sign a standard Non-Disclosure Agreement (NDA) prior to engagement. No formal security risk assessment or security questionnaire is currently performed on vendors before or during the engagement.</w:t>
      </w:r>
    </w:p>
    <w:p>
      <w:pPr>
        <w:pStyle w:val="Heading2"/>
      </w:pPr>
      <w:r>
        <w:t>10. Change Management</w:t>
      </w:r>
    </w:p>
    <w:p>
      <w:r>
        <w:t>System changes to production environments require sign-off from the IT Manager via email before deployment. Changes are logged in a shared spreadsheet. There is no formal Change Advisory Board (CAB) or rollback testing requirement.</w:t>
      </w:r>
    </w:p>
    <w:p>
      <w:pPr>
        <w:pStyle w:val="Heading2"/>
      </w:pPr>
      <w:r>
        <w:t>11. Payment and Electronic Banking Services</w:t>
      </w:r>
    </w:p>
    <w:p>
      <w:r>
        <w:t>The company's mobile banking application is distributed exclusively through the official Apple App Store and Google Play Store. Transaction monitoring for anomalous patterns is performed by the core banking vendor's built-in fraud detection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