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  <w:jc w:val="center"/>
      </w:pPr>
      <w:r>
        <w:rPr>
          <w:rFonts w:ascii="等线" w:hAnsi="等线" w:cs="等线" w:eastAsia="等线"/>
          <w:b/>
          <w:color w:val="6F35E9"/>
          <w:sz w:val="64"/>
        </w:rPr>
        <w:t>职航智管</w:t>
      </w:r>
    </w:p>
    <w:p>
      <w:pPr>
        <w:spacing w:before="0" w:after="360" w:line="240" w:lineRule="auto"/>
        <w:jc w:val="center"/>
      </w:pPr>
      <w:r>
        <w:rPr>
          <w:rFonts w:ascii="等线" w:hAnsi="等线" w:cs="等线" w:eastAsia="等线"/>
          <w:b/>
          <w:color w:val="211A38"/>
          <w:sz w:val="42"/>
        </w:rPr>
        <w:t>求职训练与职业成长服务系统</w:t>
      </w:r>
    </w:p>
    <w:p>
      <w:pPr>
        <w:spacing w:before="0" w:after="520" w:line="240" w:lineRule="auto"/>
        <w:jc w:val="center"/>
      </w:pPr>
      <w:r>
        <w:rPr>
          <w:rFonts w:ascii="等线" w:hAnsi="等线" w:cs="等线" w:eastAsia="等线"/>
          <w:b/>
          <w:color w:val="625C72"/>
          <w:sz w:val="30"/>
        </w:rPr>
        <w:t>比赛作品介绍文档</w:t>
      </w:r>
    </w:p>
    <w:p>
      <w:pPr>
        <w:spacing w:before="0" w:after="440" w:line="240" w:lineRule="auto"/>
        <w:jc w:val="center"/>
      </w:pPr>
      <w:r>
        <w:rPr>
          <w:rFonts w:ascii="等线" w:hAnsi="等线" w:cs="等线" w:eastAsia="等线"/>
          <w:b w:val="0"/>
          <w:color w:val="6F35E9"/>
          <w:sz w:val="21"/>
        </w:rPr>
        <w:t>评审维度：技术创新 30%｜场景落地 30%｜开源治理 20%｜长期发展 20%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01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assist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01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1  就业助手与 Agent 执行过程（脱敏演示界面）</w:t>
      </w:r>
    </w:p>
    <w:p>
      <w:pPr>
        <w:spacing w:before="0" w:after="40" w:line="240" w:lineRule="auto"/>
        <w:jc w:val="center"/>
      </w:pPr>
      <w:r>
        <w:rPr>
          <w:rFonts w:ascii="等线" w:hAnsi="等线" w:cs="等线" w:eastAsia="等线"/>
          <w:b w:val="0"/>
          <w:color w:val="625C72"/>
          <w:sz w:val="20"/>
        </w:rPr>
        <w:t>文档版本  V1.0</w:t>
      </w:r>
    </w:p>
    <w:p>
      <w:pPr>
        <w:spacing w:before="0" w:after="40" w:line="240" w:lineRule="auto"/>
        <w:jc w:val="center"/>
      </w:pPr>
      <w:r>
        <w:rPr>
          <w:rFonts w:ascii="等线" w:hAnsi="等线" w:cs="等线" w:eastAsia="等线"/>
          <w:b w:val="0"/>
          <w:color w:val="625C72"/>
          <w:sz w:val="20"/>
        </w:rPr>
        <w:t>编制日期  2026-10-25</w:t>
      </w:r>
    </w:p>
    <w:p>
      <w:pPr>
        <w:spacing w:before="0" w:after="40" w:line="240" w:lineRule="auto"/>
        <w:jc w:val="center"/>
      </w:pPr>
      <w:r>
        <w:rPr>
          <w:rFonts w:ascii="等线" w:hAnsi="等线" w:cs="等线" w:eastAsia="等线"/>
          <w:b w:val="0"/>
          <w:color w:val="C2410C"/>
          <w:sz w:val="20"/>
        </w:rPr>
        <w:t>提交链接：代码仓库【待填写】｜演示视频【待填写】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一 项目概览</w:t>
      </w:r>
    </w:p>
    <w:p>
      <w:pPr>
        <w:spacing w:before="0" w:after="160" w:line="300" w:lineRule="auto"/>
      </w:pPr>
      <w:r>
        <w:rPr>
          <w:rFonts w:ascii="等线" w:hAnsi="等线" w:cs="等线" w:eastAsia="等线"/>
          <w:b w:val="0"/>
          <w:color w:val="211A38"/>
          <w:sz w:val="22"/>
        </w:rPr>
        <w:t>职航智管面向高校毕业生和就业辅导人员，把就业画像、四周计划、岗位匹配、简历优化、模拟面试、投递管理、学习成长、入职后训练和反馈回流组织成一个可追踪的业务闭环。系统的核心边界是：模型负责理解与提出建议，后端负责事实、权限、工具执行和审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评审维度</w:t>
            </w:r>
          </w:p>
        </w:tc>
        <w:tc>
          <w:tcPr>
            <w:tcW w:type="dxa" w:w="3855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本项目回答的问题</w:t>
            </w:r>
          </w:p>
        </w:tc>
        <w:tc>
          <w:tcPr>
            <w:tcW w:type="dxa" w:w="4082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现有证据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技术创新 30%</w:t>
            </w:r>
          </w:p>
        </w:tc>
        <w:tc>
          <w:tcPr>
            <w:tcW w:type="dxa" w:w="385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如何让 Agent 在真实业务中可控、可解释、可追溯？</w:t>
            </w:r>
          </w:p>
        </w:tc>
        <w:tc>
          <w:tcPr>
            <w:tcW w:type="dxa" w:w="408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多 Agent 编排、工具目录、契约校验、持久会话、事件记录</w:t>
            </w:r>
          </w:p>
        </w:tc>
      </w:tr>
      <w:tr>
        <w:tc>
          <w:tcPr>
            <w:tcW w:type="dxa" w:w="1814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场景落地 30%</w:t>
            </w:r>
          </w:p>
        </w:tc>
        <w:tc>
          <w:tcPr>
            <w:tcW w:type="dxa" w:w="385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是否覆盖学生、辅导员和入职后训练的实际任务？</w:t>
            </w:r>
          </w:p>
        </w:tc>
        <w:tc>
          <w:tcPr>
            <w:tcW w:type="dxa" w:w="408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学生工作台、班级概览、帮扶闭环、职场交付工作台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开源治理 20%</w:t>
            </w:r>
          </w:p>
        </w:tc>
        <w:tc>
          <w:tcPr>
            <w:tcW w:type="dxa" w:w="385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代码是否能被运行、理解、复现和继续维护？</w:t>
            </w:r>
          </w:p>
        </w:tc>
        <w:tc>
          <w:tcPr>
            <w:tcW w:type="dxa" w:w="408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README、Docker Compose、环境模板、测试、数据库迁移、部署文档</w:t>
            </w:r>
          </w:p>
        </w:tc>
      </w:tr>
      <w:tr>
        <w:tc>
          <w:tcPr>
            <w:tcW w:type="dxa" w:w="1814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长期发展 20%</w:t>
            </w:r>
          </w:p>
        </w:tc>
        <w:tc>
          <w:tcPr>
            <w:tcW w:type="dxa" w:w="385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项目如何从演示版本走向可运营产品？</w:t>
            </w:r>
          </w:p>
        </w:tc>
        <w:tc>
          <w:tcPr>
            <w:tcW w:type="dxa" w:w="408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版本化量表、风险边界、故障转移、数据保留策略和迭代路线</w:t>
            </w:r>
          </w:p>
        </w:tc>
      </w:tr>
    </w:tbl>
    <w:p>
      <w:pPr>
        <w:spacing w:before="200" w:after="80" w:line="276" w:lineRule="auto"/>
      </w:pPr>
      <w:r>
        <w:rPr>
          <w:rFonts w:ascii="等线" w:hAnsi="等线" w:cs="等线" w:eastAsia="等线"/>
          <w:b/>
          <w:color w:val="6F35E9"/>
          <w:sz w:val="24"/>
        </w:rPr>
        <w:t>材料边界</w:t>
      </w:r>
    </w:p>
    <w:p>
      <w:pPr>
        <w:pStyle w:val="ListBullet"/>
        <w:spacing w:after="60" w:line="269" w:lineRule="auto"/>
        <w:ind w:left="255" w:hanging="142"/>
      </w:pPr>
      <w:r>
        <w:rPr>
          <w:rFonts w:ascii="等线" w:hAnsi="等线" w:cs="等线" w:eastAsia="等线"/>
          <w:b w:val="0"/>
          <w:color w:val="211A38"/>
          <w:sz w:val="20"/>
        </w:rPr>
        <w:t>文中“演示数据”用于说明系统如何工作，不代表全国就业统计、真实用户规模或就业成效。</w:t>
      </w:r>
    </w:p>
    <w:p>
      <w:pPr>
        <w:pStyle w:val="ListBullet"/>
        <w:spacing w:after="60" w:line="269" w:lineRule="auto"/>
        <w:ind w:left="255" w:hanging="142"/>
      </w:pPr>
      <w:r>
        <w:rPr>
          <w:rFonts w:ascii="等线" w:hAnsi="等线" w:cs="等线" w:eastAsia="等线"/>
          <w:b w:val="0"/>
          <w:color w:val="211A38"/>
          <w:sz w:val="20"/>
        </w:rPr>
        <w:t>当前本地测试使用 local-demo/local-rules；在线模型、OCR、语音和视觉服务是否可用以部署环境为准。</w:t>
      </w:r>
    </w:p>
    <w:p>
      <w:pPr>
        <w:pStyle w:val="ListBullet"/>
        <w:spacing w:after="60" w:line="269" w:lineRule="auto"/>
        <w:ind w:left="255" w:hanging="142"/>
      </w:pPr>
      <w:r>
        <w:rPr>
          <w:rFonts w:ascii="等线" w:hAnsi="等线" w:cs="等线" w:eastAsia="等线"/>
          <w:b w:val="0"/>
          <w:color w:val="211A38"/>
          <w:sz w:val="20"/>
        </w:rPr>
        <w:t>代码仓库链接、评审账号和演示视频链接尚未提供，已统一留为待填写项。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二 评审维度对照表</w:t>
      </w:r>
    </w:p>
    <w:p>
      <w:pPr>
        <w:spacing w:before="0" w:after="160" w:line="300" w:lineRule="auto"/>
      </w:pPr>
      <w:r>
        <w:rPr>
          <w:rFonts w:ascii="等线" w:hAnsi="等线" w:cs="等线" w:eastAsia="等线"/>
          <w:b w:val="0"/>
          <w:color w:val="211A38"/>
          <w:sz w:val="22"/>
        </w:rPr>
        <w:t>根据比赛页面给出的四项评分维度，本作品将功能证据、技术实现和后续治理放在同一条证据链中。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531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608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评审关注点</w:t>
            </w:r>
          </w:p>
        </w:tc>
        <w:tc>
          <w:tcPr>
            <w:tcW w:type="dxa" w:w="3572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项目回应</w:t>
            </w:r>
          </w:p>
        </w:tc>
        <w:tc>
          <w:tcPr>
            <w:tcW w:type="dxa" w:w="2041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建议展示材料</w:t>
            </w:r>
          </w:p>
        </w:tc>
      </w:tr>
      <w:tr>
        <w:tc>
          <w:tcPr>
            <w:tcW w:type="dxa" w:w="153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技术创新 30%</w:t>
            </w:r>
          </w:p>
        </w:tc>
        <w:tc>
          <w:tcPr>
            <w:tcW w:type="dxa" w:w="2608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是否解决明确问题，是否有技术优势</w:t>
            </w:r>
          </w:p>
        </w:tc>
        <w:tc>
          <w:tcPr>
            <w:tcW w:type="dxa" w:w="357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证据驱动的多 Agent 协作；后端工具授权；流式持久会话；面试和职场训练分域</w:t>
            </w:r>
          </w:p>
        </w:tc>
        <w:tc>
          <w:tcPr>
            <w:tcW w:type="dxa" w:w="204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架构图、Agent 执行截图、工具目录、代码仓库</w:t>
            </w:r>
          </w:p>
        </w:tc>
      </w:tr>
      <w:tr>
        <w:tc>
          <w:tcPr>
            <w:tcW w:type="dxa" w:w="153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场景落地 30%</w:t>
            </w:r>
          </w:p>
        </w:tc>
        <w:tc>
          <w:tcPr>
            <w:tcW w:type="dxa" w:w="2608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是否真实、可运行、可测试</w:t>
            </w:r>
          </w:p>
        </w:tc>
        <w:tc>
          <w:tcPr>
            <w:tcW w:type="dxa" w:w="357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学生执行、辅导员帮扶、入职后交付三条场景链；支持浏览器操作和结构化结果</w:t>
            </w:r>
          </w:p>
        </w:tc>
        <w:tc>
          <w:tcPr>
            <w:tcW w:type="dxa" w:w="204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学生/辅导员截图、演示视频、测试记录</w:t>
            </w:r>
          </w:p>
        </w:tc>
      </w:tr>
      <w:tr>
        <w:tc>
          <w:tcPr>
            <w:tcW w:type="dxa" w:w="153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开源治理 20%</w:t>
            </w:r>
          </w:p>
        </w:tc>
        <w:tc>
          <w:tcPr>
            <w:tcW w:type="dxa" w:w="2608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协议、依赖、文档、Issue/PR 是否清晰</w:t>
            </w:r>
          </w:p>
        </w:tc>
        <w:tc>
          <w:tcPr>
            <w:tcW w:type="dxa" w:w="357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已有 README、环境变量模板、Docker Compose、迁移脚本和自动化测试；公共仓库待填写</w:t>
            </w:r>
          </w:p>
        </w:tc>
        <w:tc>
          <w:tcPr>
            <w:tcW w:type="dxa" w:w="204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README、部署文档、测试结果、仓库链接</w:t>
            </w:r>
          </w:p>
        </w:tc>
      </w:tr>
      <w:tr>
        <w:tc>
          <w:tcPr>
            <w:tcW w:type="dxa" w:w="153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长期发展 20%</w:t>
            </w:r>
          </w:p>
        </w:tc>
        <w:tc>
          <w:tcPr>
            <w:tcW w:type="dxa" w:w="2608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持续维护、治理和组织支持</w:t>
            </w:r>
          </w:p>
        </w:tc>
        <w:tc>
          <w:tcPr>
            <w:tcW w:type="dxa" w:w="357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风险规则、量表版本、数据保留、故障转移和分阶段路线；上线前仍需补充运营指标</w:t>
            </w:r>
          </w:p>
        </w:tc>
        <w:tc>
          <w:tcPr>
            <w:tcW w:type="dxa" w:w="204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路线图、风险边界、版本计划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2  本次验证结果：后端 63/63、前端组件 25/25、API 流程 22/22、风险边界 15/15；现有浏览器回归仍有 5 项待处理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三 技术创新：把 Agent 放进可控的业务边界</w:t>
      </w:r>
    </w:p>
    <w:p>
      <w:pPr>
        <w:spacing w:before="0" w:after="160" w:line="300" w:lineRule="auto"/>
      </w:pPr>
      <w:r>
        <w:rPr>
          <w:rFonts w:ascii="等线" w:hAnsi="等线" w:cs="等线" w:eastAsia="等线"/>
          <w:b w:val="0"/>
          <w:color w:val="211A38"/>
          <w:sz w:val="22"/>
        </w:rPr>
        <w:t>本项目的创新重点不是把模型回答做得更像聊天，而是把模型放进一个由业务事实、权限、工具和审计共同约束的运行环境。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3  系统架构：学生/辅导员工作区、Agent、业务服务和数据层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创新点</w:t>
            </w:r>
          </w:p>
        </w:tc>
        <w:tc>
          <w:tcPr>
            <w:tcW w:type="dxa" w:w="4535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3515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评审可验证证据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证据驱动</w:t>
            </w:r>
          </w:p>
        </w:tc>
        <w:tc>
          <w:tcPr>
            <w:tcW w:type="dxa" w:w="453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画像、岗位、任务、申请和面试结果作为业务事实；回答携带来源片段</w:t>
            </w:r>
          </w:p>
        </w:tc>
        <w:tc>
          <w:tcPr>
            <w:tcW w:type="dxa" w:w="351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就业助手回答与引用；岗位匹配五维证据；每周复盘读取事件</w:t>
            </w:r>
          </w:p>
        </w:tc>
      </w:tr>
      <w:tr>
        <w:tc>
          <w:tcPr>
            <w:tcW w:type="dxa" w:w="170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可控编排</w:t>
            </w:r>
          </w:p>
        </w:tc>
        <w:tc>
          <w:tcPr>
            <w:tcW w:type="dxa" w:w="453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主 Agent 规划步骤，专业 Agent 处理单一职责，不能直接改数据库</w:t>
            </w:r>
          </w:p>
        </w:tc>
        <w:tc>
          <w:tcPr>
            <w:tcW w:type="dxa" w:w="351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Agent 运行详情、工具目录和专业 Agent 步骤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授权工具</w:t>
            </w:r>
          </w:p>
        </w:tc>
        <w:tc>
          <w:tcPr>
            <w:tcW w:type="dxa" w:w="453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角色、资源归属、参数契约和风险等级由后端重新校验</w:t>
            </w:r>
          </w:p>
        </w:tc>
        <w:tc>
          <w:tcPr>
            <w:tcW w:type="dxa" w:w="351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20 个只读、9 个普通写、3 个高风险拒绝入口的目录盘点</w:t>
            </w:r>
          </w:p>
        </w:tc>
      </w:tr>
      <w:tr>
        <w:tc>
          <w:tcPr>
            <w:tcW w:type="dxa" w:w="170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持久可追溯</w:t>
            </w:r>
          </w:p>
        </w:tc>
        <w:tc>
          <w:tcPr>
            <w:tcW w:type="dxa" w:w="453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会话、消息、运行状态、工具调用和动作提案写入服务端</w:t>
            </w:r>
          </w:p>
        </w:tc>
        <w:tc>
          <w:tcPr>
            <w:tcW w:type="dxa" w:w="351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刷新后消息保持；工具输入输出、耗时和失败状态可查看</w:t>
            </w:r>
          </w:p>
        </w:tc>
      </w:tr>
    </w:tbl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四 技术创新：Agent、工具和风险等级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4  Agent 运行流程：问题理解、专业 Agent、授权工具、业务状态和持久事件</w:t>
      </w:r>
    </w:p>
    <w:p>
      <w:pPr>
        <w:spacing w:before="0" w:after="140" w:line="288" w:lineRule="auto"/>
      </w:pPr>
      <w:r>
        <w:rPr>
          <w:rFonts w:ascii="等线" w:hAnsi="等线" w:cs="等线" w:eastAsia="等线"/>
          <w:b w:val="0"/>
          <w:color w:val="211A38"/>
          <w:sz w:val="21"/>
        </w:rPr>
        <w:t>系统允许模型提出工具候选，但不允许模型创建工具、扩大权限或绕过后端规则。普通写操作可以进入动作提案，高风险删除、批量修改和代替学生向外部平台提交等动作保持二次确认或拒绝。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inven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5  注册工具按风险分层：只读 20、普通写 9、高风险拒绝入口 3</w:t>
      </w:r>
    </w:p>
    <w:p>
      <w:pPr>
        <w:pStyle w:val="ListBullet"/>
        <w:spacing w:after="60" w:line="269" w:lineRule="auto"/>
        <w:ind w:left="255" w:hanging="142"/>
      </w:pPr>
      <w:r>
        <w:rPr>
          <w:rFonts w:ascii="等线" w:hAnsi="等线" w:cs="等线" w:eastAsia="等线"/>
          <w:b w:val="0"/>
          <w:color w:val="211A38"/>
          <w:sz w:val="20"/>
        </w:rPr>
        <w:t>结构化契约：Agent 计划、工具参数、工具输出和回答均有 Pydantic 契约。</w:t>
      </w:r>
    </w:p>
    <w:p>
      <w:pPr>
        <w:pStyle w:val="ListBullet"/>
        <w:spacing w:after="60" w:line="269" w:lineRule="auto"/>
        <w:ind w:left="255" w:hanging="142"/>
      </w:pPr>
      <w:r>
        <w:rPr>
          <w:rFonts w:ascii="等线" w:hAnsi="等线" w:cs="等线" w:eastAsia="等线"/>
          <w:b w:val="0"/>
          <w:color w:val="211A38"/>
          <w:sz w:val="20"/>
        </w:rPr>
        <w:t>Provider 故障转移：在线模型不可用时可使用本地规则，但不会把失败伪装成在线模型成功。</w:t>
      </w:r>
    </w:p>
    <w:p>
      <w:pPr>
        <w:pStyle w:val="ListBullet"/>
        <w:spacing w:after="60" w:line="269" w:lineRule="auto"/>
        <w:ind w:left="255" w:hanging="142"/>
      </w:pPr>
      <w:r>
        <w:rPr>
          <w:rFonts w:ascii="等线" w:hAnsi="等线" w:cs="等线" w:eastAsia="等线"/>
          <w:b w:val="0"/>
          <w:color w:val="211A38"/>
          <w:sz w:val="20"/>
        </w:rPr>
        <w:t>安全边界：摄像头表达分析只作训练参考，不用于心理诊断、录用判断、性别判断或外貌评价。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五 场景落地：学生从目标到行动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148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dashboard_mask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1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6  学生工作台：目标岗位、任务、投递漏斗和帮扶反馈集中展示（演示数据）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用户任务</w:t>
            </w:r>
          </w:p>
        </w:tc>
        <w:tc>
          <w:tcPr>
            <w:tcW w:type="dxa" w:w="4082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页面链路</w:t>
            </w:r>
          </w:p>
        </w:tc>
        <w:tc>
          <w:tcPr>
            <w:tcW w:type="dxa" w:w="3402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输出结果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建立可核对的画像</w:t>
            </w:r>
          </w:p>
        </w:tc>
        <w:tc>
          <w:tcPr>
            <w:tcW w:type="dxa" w:w="408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材料/文本 → 能力证据 → 待确认画像 → 正式档案</w:t>
            </w:r>
          </w:p>
        </w:tc>
        <w:tc>
          <w:tcPr>
            <w:tcW w:type="dxa" w:w="340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优势、差距、约束和来源片段</w:t>
            </w:r>
          </w:p>
        </w:tc>
      </w:tr>
      <w:tr>
        <w:tc>
          <w:tcPr>
            <w:tcW w:type="dxa" w:w="2268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执行四周计划</w:t>
            </w:r>
          </w:p>
        </w:tc>
        <w:tc>
          <w:tcPr>
            <w:tcW w:type="dxa" w:w="408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目标岗位 → 计划 → 周任务 → 截止日期 → 验收标准</w:t>
            </w:r>
          </w:p>
        </w:tc>
        <w:tc>
          <w:tcPr>
            <w:tcW w:type="dxa" w:w="340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可执行任务，而不是泛化建议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完成岗位准备</w:t>
            </w:r>
          </w:p>
        </w:tc>
        <w:tc>
          <w:tcPr>
            <w:tcW w:type="dxa" w:w="408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岗位库 → 五维匹配 → 简历建议 → 模拟面试</w:t>
            </w:r>
          </w:p>
        </w:tc>
        <w:tc>
          <w:tcPr>
            <w:tcW w:type="dxa" w:w="340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匹配证据、补齐动作和训练反馈</w:t>
            </w:r>
          </w:p>
        </w:tc>
      </w:tr>
      <w:tr>
        <w:tc>
          <w:tcPr>
            <w:tcW w:type="dxa" w:w="2268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形成复盘闭环</w:t>
            </w:r>
          </w:p>
        </w:tc>
        <w:tc>
          <w:tcPr>
            <w:tcW w:type="dxa" w:w="408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投递事件 → 每周复盘 → 下周三项行动</w:t>
            </w:r>
          </w:p>
        </w:tc>
        <w:tc>
          <w:tcPr>
            <w:tcW w:type="dxa" w:w="340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下一轮行动有真实记录依据</w:t>
            </w:r>
          </w:p>
        </w:tc>
      </w:tr>
    </w:tbl>
    <w:p>
      <w:pPr>
        <w:spacing w:before="0" w:after="0" w:line="276" w:lineRule="auto"/>
      </w:pPr>
      <w:r>
        <w:rPr>
          <w:rFonts w:ascii="等线" w:hAnsi="等线" w:cs="等线" w:eastAsia="等线"/>
          <w:b w:val="0"/>
          <w:color w:val="625C72"/>
          <w:sz w:val="18"/>
        </w:rPr>
        <w:t>演示样本说明：本地演示库包含 24 名构造学生、85 条申请记录和 96 项计划任务；这些数字不代表实际用户或就业统计。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六 场景落地：辅导员从风险到帮扶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51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selor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5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7  辅导员班级概览：学生数、申请记录和风险事实（演示数据）</w:t>
      </w:r>
    </w:p>
    <w:p>
      <w:pPr>
        <w:spacing w:before="0" w:after="140" w:line="288" w:lineRule="auto"/>
      </w:pPr>
      <w:r>
        <w:rPr>
          <w:rFonts w:ascii="等线" w:hAnsi="等线" w:cs="等线" w:eastAsia="等线"/>
          <w:b w:val="0"/>
          <w:color w:val="211A38"/>
          <w:sz w:val="21"/>
        </w:rPr>
        <w:t>辅导员端将学生状态从“人工收集”转为“事实可查、风险可解释、任务可验收”。风险规则只提供线索，辅导员仍需查看触发事实并人工确认，不自动给学生排名、处分或限制资源。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649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3402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人工责任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事实读取</w:t>
            </w:r>
          </w:p>
        </w:tc>
        <w:tc>
          <w:tcPr>
            <w:tcW w:type="dxa" w:w="4649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读取任务、投递、面试和反馈记录</w:t>
            </w:r>
          </w:p>
        </w:tc>
        <w:tc>
          <w:tcPr>
            <w:tcW w:type="dxa" w:w="340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确认记录是否完整、是否需要补充</w:t>
            </w:r>
          </w:p>
        </w:tc>
      </w:tr>
      <w:tr>
        <w:tc>
          <w:tcPr>
            <w:tcW w:type="dxa" w:w="170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风险提示</w:t>
            </w:r>
          </w:p>
        </w:tc>
        <w:tc>
          <w:tcPr>
            <w:tcW w:type="dxa" w:w="4649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根据无投递、任务逾期等规则生成风险事实</w:t>
            </w:r>
          </w:p>
        </w:tc>
        <w:tc>
          <w:tcPr>
            <w:tcW w:type="dxa" w:w="340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判断是否需要帮扶，不把规则当结论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任务闭环</w:t>
            </w:r>
          </w:p>
        </w:tc>
        <w:tc>
          <w:tcPr>
            <w:tcW w:type="dxa" w:w="4649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创建帮扶任务，学生提交反馈，辅导员确认完成</w:t>
            </w:r>
          </w:p>
        </w:tc>
        <w:tc>
          <w:tcPr>
            <w:tcW w:type="dxa" w:w="340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核验反馈和结果证据，必要时继续跟进</w:t>
            </w:r>
          </w:p>
        </w:tc>
      </w:tr>
      <w:tr>
        <w:tc>
          <w:tcPr>
            <w:tcW w:type="dxa" w:w="170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质量回流</w:t>
            </w:r>
          </w:p>
        </w:tc>
        <w:tc>
          <w:tcPr>
            <w:tcW w:type="dxa" w:w="4649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入职回访、企业评价和课程改进数据分开保存</w:t>
            </w:r>
          </w:p>
        </w:tc>
        <w:tc>
          <w:tcPr>
            <w:tcW w:type="dxa" w:w="340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按权限查看并解释数据使用范围</w:t>
            </w:r>
          </w:p>
        </w:tc>
      </w:tr>
    </w:tbl>
    <w:p>
      <w:pPr>
        <w:spacing w:before="0" w:after="0" w:line="276" w:lineRule="auto"/>
      </w:pPr>
      <w:r>
        <w:rPr>
          <w:rFonts w:ascii="等线" w:hAnsi="等线" w:cs="等线" w:eastAsia="等线"/>
          <w:b w:val="0"/>
          <w:color w:val="625C72"/>
          <w:sz w:val="18"/>
        </w:rPr>
        <w:t>本次补充浏览器检查完成了“学生提交帮扶反馈 → 辅导员确认完成”，移动端视口也检查了无横向溢出。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七 场景落地：面试训练与入职后工作训练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16000" cy="5285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528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8  模拟面试场次报告：6 道核心题 + 2 次追问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16000" cy="3768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3768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9  职场工作台：任务简报、验收标准、交付物与复盘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35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3515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模拟面试</w:t>
            </w:r>
          </w:p>
        </w:tc>
        <w:tc>
          <w:tcPr>
            <w:tcW w:type="dxa" w:w="453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岗位上下文、动态追问、流式回答和四维评分</w:t>
            </w:r>
          </w:p>
        </w:tc>
        <w:tc>
          <w:tcPr>
            <w:tcW w:type="dxa" w:w="351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摄像头可选；评分仅供表达训练，不代表录用判断</w:t>
            </w:r>
          </w:p>
        </w:tc>
      </w:tr>
      <w:tr>
        <w:tc>
          <w:tcPr>
            <w:tcW w:type="dxa" w:w="170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职场训练</w:t>
            </w:r>
          </w:p>
        </w:tc>
        <w:tc>
          <w:tcPr>
            <w:tcW w:type="dxa" w:w="453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任务澄清、行动计划、交付物提交和结构化评审</w:t>
            </w:r>
          </w:p>
        </w:tc>
        <w:tc>
          <w:tcPr>
            <w:tcW w:type="dxa" w:w="351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AI 只能生成工作草案，学生核对后主动提交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学习成长</w:t>
            </w:r>
          </w:p>
        </w:tc>
        <w:tc>
          <w:tcPr>
            <w:tcW w:type="dxa" w:w="453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能力差距、课程、训练任务和考试结果</w:t>
            </w:r>
          </w:p>
        </w:tc>
        <w:tc>
          <w:tcPr>
            <w:tcW w:type="dxa" w:w="351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完成状态必须由实际学习记录或证据支持</w:t>
            </w:r>
          </w:p>
        </w:tc>
      </w:tr>
    </w:tbl>
    <w:p>
      <w:pPr>
        <w:spacing w:before="0" w:after="0" w:line="276" w:lineRule="auto"/>
      </w:pPr>
      <w:r>
        <w:rPr>
          <w:rFonts w:ascii="等线" w:hAnsi="等线" w:cs="等线" w:eastAsia="等线"/>
          <w:b w:val="0"/>
          <w:color w:val="625C72"/>
          <w:sz w:val="18"/>
        </w:rPr>
        <w:t>产品区分了入职前模拟面试和入职后职场训练，避免把面试回答、工作交付物和就业结果混为一谈。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八 可运行性与工程交付</w:t>
      </w:r>
    </w:p>
    <w:p>
      <w:pPr>
        <w:spacing w:before="0" w:after="160" w:line="288" w:lineRule="auto"/>
      </w:pPr>
      <w:r>
        <w:rPr>
          <w:rFonts w:ascii="等线" w:hAnsi="等线" w:cs="等线" w:eastAsia="等线"/>
          <w:b w:val="0"/>
          <w:color w:val="211A38"/>
          <w:sz w:val="21"/>
        </w:rPr>
        <w:t>项目提供 Windows 本地启动脚本和 Docker Compose 配置，后端使用 FastAPI，前端使用 React/TypeScript，数据层支持 SQLite 本地演示或 PostgreSQL 部署。异步 AI 任务由 Worker 和 Redis 承载，OCR、向量、语音和视觉能力按服务状态启用。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工程项</w:t>
            </w:r>
          </w:p>
        </w:tc>
        <w:tc>
          <w:tcPr>
            <w:tcW w:type="dxa" w:w="4706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当前实现</w:t>
            </w:r>
          </w:p>
        </w:tc>
        <w:tc>
          <w:tcPr>
            <w:tcW w:type="dxa" w:w="3345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提交前说明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环境配置</w:t>
            </w:r>
          </w:p>
        </w:tc>
        <w:tc>
          <w:tcPr>
            <w:tcW w:type="dxa" w:w="4706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.env.example、local launcher、Docker Compose</w:t>
            </w:r>
          </w:p>
        </w:tc>
        <w:tc>
          <w:tcPr>
            <w:tcW w:type="dxa" w:w="334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公共部署前必须替换密钥和演示密码</w:t>
            </w:r>
          </w:p>
        </w:tc>
      </w:tr>
      <w:tr>
        <w:tc>
          <w:tcPr>
            <w:tcW w:type="dxa" w:w="170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数据与迁移</w:t>
            </w:r>
          </w:p>
        </w:tc>
        <w:tc>
          <w:tcPr>
            <w:tcW w:type="dxa" w:w="4706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SQLAlchemy 模型、Alembic 迁移、演示种子</w:t>
            </w:r>
          </w:p>
        </w:tc>
        <w:tc>
          <w:tcPr>
            <w:tcW w:type="dxa" w:w="334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迁移状态需在目标环境复验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测试验证</w:t>
            </w:r>
          </w:p>
        </w:tc>
        <w:tc>
          <w:tcPr>
            <w:tcW w:type="dxa" w:w="4706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后端 63/63、前端组件 25/25、API 22/22、规则边界 15/15</w:t>
            </w:r>
          </w:p>
        </w:tc>
        <w:tc>
          <w:tcPr>
            <w:tcW w:type="dxa" w:w="334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现有浏览器回归仍有 5 项待修订</w:t>
            </w:r>
          </w:p>
        </w:tc>
      </w:tr>
      <w:tr>
        <w:tc>
          <w:tcPr>
            <w:tcW w:type="dxa" w:w="170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可观测性</w:t>
            </w:r>
          </w:p>
        </w:tc>
        <w:tc>
          <w:tcPr>
            <w:tcW w:type="dxa" w:w="4706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审计日志、Agent 用量、运行状态、错误与耗时</w:t>
            </w:r>
          </w:p>
        </w:tc>
        <w:tc>
          <w:tcPr>
            <w:tcW w:type="dxa" w:w="334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生产环境需接入持续监控与告警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隐私控制</w:t>
            </w:r>
          </w:p>
        </w:tc>
        <w:tc>
          <w:tcPr>
            <w:tcW w:type="dxa" w:w="4706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JWT/RBAC、资源归属、日志脱敏、摄像头原始帧不落库</w:t>
            </w:r>
          </w:p>
        </w:tc>
        <w:tc>
          <w:tcPr>
            <w:tcW w:type="dxa" w:w="334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上线前补充数据保留期限与主体授权流程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10  工程架构与部署边界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九 开源治理：让代码可运行、可理解、可继续维护</w:t>
      </w:r>
    </w:p>
    <w:p>
      <w:pPr>
        <w:spacing w:before="0" w:after="160" w:line="288" w:lineRule="auto"/>
      </w:pPr>
      <w:r>
        <w:rPr>
          <w:rFonts w:ascii="等线" w:hAnsi="等线" w:cs="等线" w:eastAsia="等线"/>
          <w:b w:val="0"/>
          <w:color w:val="211A38"/>
          <w:sz w:val="21"/>
        </w:rPr>
        <w:t>比赛要求提交代码仓库链接。当前工作区没有配置公开 Git remote，因此材料不伪造仓库地址；提交前应将仓库链接补入清单，并确认仓库内容与演示版本一致。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71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治理对象</w:t>
            </w:r>
          </w:p>
        </w:tc>
        <w:tc>
          <w:tcPr>
            <w:tcW w:type="dxa" w:w="4422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当前已有</w:t>
            </w:r>
          </w:p>
        </w:tc>
        <w:tc>
          <w:tcPr>
            <w:tcW w:type="dxa" w:w="3458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发布前动作</w:t>
            </w:r>
          </w:p>
        </w:tc>
      </w:tr>
      <w:tr>
        <w:tc>
          <w:tcPr>
            <w:tcW w:type="dxa" w:w="187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运行文档</w:t>
            </w:r>
          </w:p>
        </w:tc>
        <w:tc>
          <w:tcPr>
            <w:tcW w:type="dxa" w:w="442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README、Windows 启动脚本、Docker Compose、部署说明</w:t>
            </w:r>
          </w:p>
        </w:tc>
        <w:tc>
          <w:tcPr>
            <w:tcW w:type="dxa" w:w="3458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在仓库首页放置一条可复现启动路径</w:t>
            </w:r>
          </w:p>
        </w:tc>
      </w:tr>
      <w:tr>
        <w:tc>
          <w:tcPr>
            <w:tcW w:type="dxa" w:w="187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依赖与配置</w:t>
            </w:r>
          </w:p>
        </w:tc>
        <w:tc>
          <w:tcPr>
            <w:tcW w:type="dxa" w:w="442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backend/frontend package 配置、.env.example</w:t>
            </w:r>
          </w:p>
        </w:tc>
        <w:tc>
          <w:tcPr>
            <w:tcW w:type="dxa" w:w="3458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禁止提交密钥、数据库文件、个人简历和演示密码</w:t>
            </w:r>
          </w:p>
        </w:tc>
      </w:tr>
      <w:tr>
        <w:tc>
          <w:tcPr>
            <w:tcW w:type="dxa" w:w="187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质量门禁</w:t>
            </w:r>
          </w:p>
        </w:tc>
        <w:tc>
          <w:tcPr>
            <w:tcW w:type="dxa" w:w="442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pytest、Vitest、Playwright、构建脚本</w:t>
            </w:r>
          </w:p>
        </w:tc>
        <w:tc>
          <w:tcPr>
            <w:tcW w:type="dxa" w:w="3458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把核心测试接入 CI，记录失败原因而非只展示通过数</w:t>
            </w:r>
          </w:p>
        </w:tc>
      </w:tr>
      <w:tr>
        <w:tc>
          <w:tcPr>
            <w:tcW w:type="dxa" w:w="187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Issue/PR</w:t>
            </w:r>
          </w:p>
        </w:tc>
        <w:tc>
          <w:tcPr>
            <w:tcW w:type="dxa" w:w="442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当前未提供公开仓库链接</w:t>
            </w:r>
          </w:p>
        </w:tc>
        <w:tc>
          <w:tcPr>
            <w:tcW w:type="dxa" w:w="3458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建立 bug、feature、security 模板，要求复现步骤和影响范围</w:t>
            </w:r>
          </w:p>
        </w:tc>
      </w:tr>
      <w:tr>
        <w:tc>
          <w:tcPr>
            <w:tcW w:type="dxa" w:w="187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版本与变更</w:t>
            </w:r>
          </w:p>
        </w:tc>
        <w:tc>
          <w:tcPr>
            <w:tcW w:type="dxa" w:w="442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源码内有本地版本与迁移记录</w:t>
            </w:r>
          </w:p>
        </w:tc>
        <w:tc>
          <w:tcPr>
            <w:tcW w:type="dxa" w:w="3458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为评审版本打 tag，发布 CHANGELOG 和已知限制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11  质量验证记录；浏览器回归未通过项已保留在项目说明中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十 长期发展：从演示闭环到可运营服务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71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345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可验收结果</w:t>
            </w:r>
          </w:p>
        </w:tc>
      </w:tr>
      <w:tr>
        <w:tc>
          <w:tcPr>
            <w:tcW w:type="dxa" w:w="187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阶段一｜提交前</w:t>
            </w:r>
          </w:p>
        </w:tc>
        <w:tc>
          <w:tcPr>
            <w:tcW w:type="dxa" w:w="453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完成公开仓库、评审链接、脱敏素材和可复现演示</w:t>
            </w:r>
          </w:p>
        </w:tc>
        <w:tc>
          <w:tcPr>
            <w:tcW w:type="dxa" w:w="334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评委可打开仓库、PDF 和视频；部署说明能在干净环境启动</w:t>
            </w:r>
          </w:p>
        </w:tc>
      </w:tr>
      <w:tr>
        <w:tc>
          <w:tcPr>
            <w:tcW w:type="dxa" w:w="187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阶段二｜试点</w:t>
            </w:r>
          </w:p>
        </w:tc>
        <w:tc>
          <w:tcPr>
            <w:tcW w:type="dxa" w:w="453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与高校就业部门共同校准风险规则、面试量表和权限流程</w:t>
            </w:r>
          </w:p>
        </w:tc>
        <w:tc>
          <w:tcPr>
            <w:tcW w:type="dxa" w:w="334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形成授权数据字典、人工复核记录和版本化量表</w:t>
            </w:r>
          </w:p>
        </w:tc>
      </w:tr>
      <w:tr>
        <w:tc>
          <w:tcPr>
            <w:tcW w:type="dxa" w:w="1871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阶段三｜运营</w:t>
            </w:r>
          </w:p>
        </w:tc>
        <w:tc>
          <w:tcPr>
            <w:tcW w:type="dxa" w:w="453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完善岗位来源适配、任务队列、监控和数据保留</w:t>
            </w:r>
          </w:p>
        </w:tc>
        <w:tc>
          <w:tcPr>
            <w:tcW w:type="dxa" w:w="334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有来源新鲜度、失败重试、告警、成本与审计指标</w:t>
            </w:r>
          </w:p>
        </w:tc>
      </w:tr>
      <w:tr>
        <w:tc>
          <w:tcPr>
            <w:tcW w:type="dxa" w:w="1871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阶段四｜扩展</w:t>
            </w:r>
          </w:p>
        </w:tc>
        <w:tc>
          <w:tcPr>
            <w:tcW w:type="dxa" w:w="453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支持更多学校和角色，沉淀课程改进与就业质量反馈</w:t>
            </w:r>
          </w:p>
        </w:tc>
        <w:tc>
          <w:tcPr>
            <w:tcW w:type="dxa" w:w="334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多租户隔离、租户级权限、跨班级汇总和可解释导出</w:t>
            </w:r>
          </w:p>
        </w:tc>
      </w:tr>
    </w:tbl>
    <w:p>
      <w:pPr>
        <w:spacing w:before="240" w:after="160" w:line="288" w:lineRule="auto"/>
      </w:pPr>
      <w:r>
        <w:rPr>
          <w:rFonts w:ascii="等线" w:hAnsi="等线" w:cs="等线" w:eastAsia="等线"/>
          <w:b/>
          <w:color w:val="6F35E9"/>
          <w:sz w:val="22"/>
        </w:rPr>
        <w:t>长期发展不以扩大 Agent 自动执行权限为目标，而以更可靠的事实、清晰的授权、更低的重复工作和可审计的服务质量为目标。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12  演示申请阶段数据：仅用于说明流程分析，不代表真实就业转化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十一 风险、边界与改进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57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4649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当前控制</w:t>
            </w:r>
          </w:p>
        </w:tc>
        <w:tc>
          <w:tcPr>
            <w:tcW w:type="dxa" w:w="3345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7"/>
              </w:rPr>
              <w:t>仍需补强</w:t>
            </w:r>
          </w:p>
        </w:tc>
      </w:tr>
      <w:tr>
        <w:tc>
          <w:tcPr>
            <w:tcW w:type="dxa" w:w="1757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个人材料泄露</w:t>
            </w:r>
          </w:p>
        </w:tc>
        <w:tc>
          <w:tcPr>
            <w:tcW w:type="dxa" w:w="4649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JWT/RBAC、资源归属校验、日志脱敏、摄像头原始帧不保存</w:t>
            </w:r>
          </w:p>
        </w:tc>
        <w:tc>
          <w:tcPr>
            <w:tcW w:type="dxa" w:w="334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上线前完成主体授权、数据保留和删除流程</w:t>
            </w:r>
          </w:p>
        </w:tc>
      </w:tr>
      <w:tr>
        <w:tc>
          <w:tcPr>
            <w:tcW w:type="dxa" w:w="1757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模型编造经历</w:t>
            </w:r>
          </w:p>
        </w:tc>
        <w:tc>
          <w:tcPr>
            <w:tcW w:type="dxa" w:w="4649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引用原文、草稿确认、结构化契约、未匹配来源时提示</w:t>
            </w:r>
          </w:p>
        </w:tc>
        <w:tc>
          <w:tcPr>
            <w:tcW w:type="dxa" w:w="334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扩充证据评测集和人工抽检机制</w:t>
            </w:r>
          </w:p>
        </w:tc>
      </w:tr>
      <w:tr>
        <w:tc>
          <w:tcPr>
            <w:tcW w:type="dxa" w:w="1757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Agent 越权操作</w:t>
            </w:r>
          </w:p>
        </w:tc>
        <w:tc>
          <w:tcPr>
            <w:tcW w:type="dxa" w:w="4649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工具白名单、角色/资源/参数/风险校验、二次确认</w:t>
            </w:r>
          </w:p>
        </w:tc>
        <w:tc>
          <w:tcPr>
            <w:tcW w:type="dxa" w:w="334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公开仓库后增加安全审查和威胁模型</w:t>
            </w:r>
          </w:p>
        </w:tc>
      </w:tr>
      <w:tr>
        <w:tc>
          <w:tcPr>
            <w:tcW w:type="dxa" w:w="1757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外部岗位过期</w:t>
            </w:r>
          </w:p>
        </w:tc>
        <w:tc>
          <w:tcPr>
            <w:tcW w:type="dxa" w:w="4649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保存来源 URL、时间和可信等级，提示原页面核验</w:t>
            </w:r>
          </w:p>
        </w:tc>
        <w:tc>
          <w:tcPr>
            <w:tcW w:type="dxa" w:w="334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增加适配器监控、过期处理和失败告警</w:t>
            </w:r>
          </w:p>
        </w:tc>
      </w:tr>
      <w:tr>
        <w:tc>
          <w:tcPr>
            <w:tcW w:type="dxa" w:w="1757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服务资源消耗</w:t>
            </w:r>
          </w:p>
        </w:tc>
        <w:tc>
          <w:tcPr>
            <w:tcW w:type="dxa" w:w="4649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Worker、超时、重试、任务状态、死信记录</w:t>
            </w:r>
          </w:p>
        </w:tc>
        <w:tc>
          <w:tcPr>
            <w:tcW w:type="dxa" w:w="334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7"/>
              </w:rPr>
              <w:t>增加并发压测、成本预算和容量监控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boundari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13  五条风险规则的阈值边界验证：15/15 通过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十二 演示路径与提交清单</w:t>
      </w:r>
    </w:p>
    <w:p>
      <w:pPr>
        <w:spacing w:before="0" w:after="160" w:line="288" w:lineRule="auto"/>
      </w:pPr>
      <w:r>
        <w:rPr>
          <w:rFonts w:ascii="等线" w:hAnsi="等线" w:cs="等线" w:eastAsia="等线"/>
          <w:b w:val="0"/>
          <w:color w:val="211A38"/>
          <w:sz w:val="21"/>
        </w:rPr>
        <w:t>推荐现场演示顺序：登录 → 学生工作台 → 就业画像/四周计划 → 岗位匹配 → 就业助手执行详情 → 模拟面试 → 职场训练 → 辅导员概览 → 帮扶验收。每段只展示一个可验证结果，避免等待外部服务。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提交项</w:t>
            </w:r>
          </w:p>
        </w:tc>
        <w:tc>
          <w:tcPr>
            <w:tcW w:type="dxa" w:w="4082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402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最终填写/检查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代码仓库链接</w:t>
            </w:r>
          </w:p>
        </w:tc>
        <w:tc>
          <w:tcPr>
            <w:tcW w:type="dxa" w:w="408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待填写；当前项目未配置公开 remote</w:t>
            </w:r>
          </w:p>
        </w:tc>
        <w:tc>
          <w:tcPr>
            <w:tcW w:type="dxa" w:w="340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补充 HTTPS 仓库 URL，并确认可访问、可运行、无密钥</w:t>
            </w:r>
          </w:p>
        </w:tc>
      </w:tr>
      <w:tr>
        <w:tc>
          <w:tcPr>
            <w:tcW w:type="dxa" w:w="2268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作品介绍文档</w:t>
            </w:r>
          </w:p>
        </w:tc>
        <w:tc>
          <w:tcPr>
            <w:tcW w:type="dxa" w:w="408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本 PDF / DOCX</w:t>
            </w:r>
          </w:p>
        </w:tc>
        <w:tc>
          <w:tcPr>
            <w:tcW w:type="dxa" w:w="340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上传 PDF，控制文件大小，确认图片和文字可读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演示视频链接</w:t>
            </w:r>
          </w:p>
        </w:tc>
        <w:tc>
          <w:tcPr>
            <w:tcW w:type="dxa" w:w="408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待填写；本地存在职航智管.mp4 和 7月23日.mp4</w:t>
            </w:r>
          </w:p>
        </w:tc>
        <w:tc>
          <w:tcPr>
            <w:tcW w:type="dxa" w:w="340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上传指定视频平台，补充可访问链接和时长</w:t>
            </w:r>
          </w:p>
        </w:tc>
      </w:tr>
      <w:tr>
        <w:tc>
          <w:tcPr>
            <w:tcW w:type="dxa" w:w="2268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账号与权限</w:t>
            </w:r>
          </w:p>
        </w:tc>
        <w:tc>
          <w:tcPr>
            <w:tcW w:type="dxa" w:w="408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本地演示账号仅供开发环境</w:t>
            </w:r>
          </w:p>
        </w:tc>
        <w:tc>
          <w:tcPr>
            <w:tcW w:type="dxa" w:w="3402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在评审环境创建专用账号，禁止把密码写入公开视频或公开仓库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脱敏检查</w:t>
            </w:r>
          </w:p>
        </w:tc>
        <w:tc>
          <w:tcPr>
            <w:tcW w:type="dxa" w:w="408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现有截图已使用演示数据，仍需逐页复核</w:t>
            </w:r>
          </w:p>
        </w:tc>
        <w:tc>
          <w:tcPr>
            <w:tcW w:type="dxa" w:w="3402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检查姓名、学校、教师、学号、手机号、邮箱和真实简历原文</w:t>
            </w:r>
          </w:p>
        </w:tc>
      </w:tr>
    </w:tbl>
    <w:p>
      <w:pPr>
        <w:spacing w:before="240" w:after="160" w:line="276" w:lineRule="auto"/>
      </w:pPr>
      <w:r>
        <w:rPr>
          <w:rFonts w:ascii="等线" w:hAnsi="等线" w:cs="等线" w:eastAsia="等线"/>
          <w:b/>
          <w:color w:val="6F35E9"/>
          <w:sz w:val="22"/>
        </w:rPr>
        <w:t>评审材料提交地址：代码【待填写】｜介绍 PDF【当前文档】｜演示视频【待填写】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559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assist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等线" w:hAnsi="等线" w:cs="等线" w:eastAsia="等线"/>
          <w:b w:val="0"/>
          <w:color w:val="625C72"/>
          <w:sz w:val="17"/>
        </w:rPr>
        <w:t>图 14  现场讲解重点：回答、依据和工具执行过程在同一界面</w:t>
      </w:r>
    </w:p>
    <w:p>
      <w:r>
        <w:br w:type="page"/>
      </w:r>
    </w:p>
    <w:p>
      <w:pPr>
        <w:keepNext/>
        <w:spacing w:before="120" w:after="140" w:line="240" w:lineRule="auto"/>
      </w:pPr>
      <w:r>
        <w:rPr>
          <w:rFonts w:ascii="等线" w:hAnsi="等线" w:cs="等线" w:eastAsia="等线"/>
          <w:b/>
          <w:color w:val="211A38"/>
          <w:sz w:val="40"/>
        </w:rPr>
        <w:t>附录 事实口径与证据索引</w:t>
      </w:r>
    </w:p>
    <w:p>
      <w:pPr>
        <w:pStyle w:val="ListBullet"/>
        <w:spacing w:after="60" w:line="269" w:lineRule="auto"/>
        <w:ind w:left="255" w:hanging="142"/>
      </w:pPr>
      <w:r>
        <w:rPr>
          <w:rFonts w:ascii="等线" w:hAnsi="等线" w:cs="等线" w:eastAsia="等线"/>
          <w:b w:val="0"/>
          <w:color w:val="211A38"/>
          <w:sz w:val="20"/>
        </w:rPr>
        <w:t>测试记录来源：output/ppt-evidence-2026-10-20；后端 63/63、前端组件 25/25、API 22/22、风险规则边界 15/15。</w:t>
      </w:r>
    </w:p>
    <w:p>
      <w:pPr>
        <w:pStyle w:val="ListBullet"/>
        <w:spacing w:after="60" w:line="269" w:lineRule="auto"/>
        <w:ind w:left="255" w:hanging="142"/>
      </w:pPr>
      <w:r>
        <w:rPr>
          <w:rFonts w:ascii="等线" w:hAnsi="等线" w:cs="等线" w:eastAsia="等线"/>
          <w:b w:val="0"/>
          <w:color w:val="211A38"/>
          <w:sz w:val="20"/>
        </w:rPr>
        <w:t>演示库口径：24 名人工构造学生、6 个演示岗位、85 条申请记录、96 项计划任务、9 条风险事件。</w:t>
      </w:r>
    </w:p>
    <w:p>
      <w:pPr>
        <w:pStyle w:val="ListBullet"/>
        <w:spacing w:after="60" w:line="269" w:lineRule="auto"/>
        <w:ind w:left="255" w:hanging="142"/>
      </w:pPr>
      <w:r>
        <w:rPr>
          <w:rFonts w:ascii="等线" w:hAnsi="等线" w:cs="等线" w:eastAsia="等线"/>
          <w:b w:val="0"/>
          <w:color w:val="211A38"/>
          <w:sz w:val="20"/>
        </w:rPr>
        <w:t>匹配与面试分数是 local-demo/local-rules 演示输出，不是算法准确率、录用概率或真实能力提升。</w:t>
      </w:r>
    </w:p>
    <w:p>
      <w:pPr>
        <w:pStyle w:val="ListBullet"/>
        <w:spacing w:after="60" w:line="269" w:lineRule="auto"/>
        <w:ind w:left="255" w:hanging="142"/>
      </w:pPr>
      <w:r>
        <w:rPr>
          <w:rFonts w:ascii="等线" w:hAnsi="等线" w:cs="等线" w:eastAsia="等线"/>
          <w:b w:val="0"/>
          <w:color w:val="211A38"/>
          <w:sz w:val="20"/>
        </w:rPr>
        <w:t>现有浏览器回归仍有 5 项待处理：多记录选择器、旧断言文案和移动端职场流程超时；未在本文中隐藏。</w:t>
      </w:r>
    </w:p>
    <w:p>
      <w:pPr>
        <w:pStyle w:val="ListBullet"/>
        <w:spacing w:after="60" w:line="269" w:lineRule="auto"/>
        <w:ind w:left="255" w:hanging="142"/>
      </w:pPr>
      <w:r>
        <w:rPr>
          <w:rFonts w:ascii="等线" w:hAnsi="等线" w:cs="等线" w:eastAsia="等线"/>
          <w:b w:val="0"/>
          <w:color w:val="211A38"/>
          <w:sz w:val="20"/>
        </w:rPr>
        <w:t>本地运行环境、代码仓库和视频链接不是公开提交地址；最终提交前由项目方替换待填写项。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535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附件</w:t>
            </w:r>
          </w:p>
        </w:tc>
        <w:tc>
          <w:tcPr>
            <w:tcW w:type="dxa" w:w="5216"/>
            <w:shd w:fill="6F35E9" w:val="clear"/>
            <w:tcBorders>
              <w:top w:val="single" w:sz="8" w:color="6F35E9"/>
              <w:left w:val="single" w:sz="8" w:color="6F35E9"/>
              <w:bottom w:val="single" w:sz="8" w:color="6F35E9"/>
              <w:right w:val="single" w:sz="8" w:color="6F35E9"/>
              <w:insideH w:val="single" w:sz="8" w:color="6F35E9"/>
              <w:insideV w:val="single" w:sz="8" w:color="6F35E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等线" w:hAnsi="等线" w:cs="等线" w:eastAsia="等线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README.md / docs/workplace-workbench.md</w:t>
            </w:r>
          </w:p>
        </w:tc>
        <w:tc>
          <w:tcPr>
            <w:tcW w:type="dxa" w:w="5216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运行方式、工作台边界和工程说明</w:t>
            </w:r>
          </w:p>
        </w:tc>
      </w:tr>
      <w:tr>
        <w:tc>
          <w:tcPr>
            <w:tcW w:type="dxa" w:w="453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docs/deliverables/assets/</w:t>
            </w:r>
          </w:p>
        </w:tc>
        <w:tc>
          <w:tcPr>
            <w:tcW w:type="dxa" w:w="5216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架构图、Agent 流程图和产品截图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output/ppt-evidence-2026-10-20/</w:t>
            </w:r>
          </w:p>
        </w:tc>
        <w:tc>
          <w:tcPr>
            <w:tcW w:type="dxa" w:w="5216"/>
            <w:shd w:fill="FFFF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测试日志、JSON 数据和脱敏截图</w:t>
            </w:r>
          </w:p>
        </w:tc>
      </w:tr>
      <w:tr>
        <w:tc>
          <w:tcPr>
            <w:tcW w:type="dxa" w:w="4535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职航智管.mp4 / 7月23日.mp4</w:t>
            </w:r>
          </w:p>
        </w:tc>
        <w:tc>
          <w:tcPr>
            <w:tcW w:type="dxa" w:w="5216"/>
            <w:shd w:fill="F6F2FF" w:val="clear"/>
            <w:tcBorders>
              <w:top w:val="single" w:sz="8" w:color="E6DFFF"/>
              <w:left w:val="single" w:sz="8" w:color="E6DFFF"/>
              <w:bottom w:val="single" w:sz="8" w:color="E6DFFF"/>
              <w:right w:val="single" w:sz="8" w:color="E6DFFF"/>
              <w:insideH w:val="single" w:sz="8" w:color="E6DFFF"/>
              <w:insideV w:val="single" w:sz="8" w:color="E6D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等线" w:hAnsi="等线" w:cs="等线" w:eastAsia="等线"/>
                <w:b w:val="0"/>
                <w:color w:val="211A38"/>
                <w:sz w:val="18"/>
              </w:rPr>
              <w:t>本地演示视频，上传后补充公开链接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cs="等线" w:eastAsia="等线"/>
        <w:b w:val="0"/>
        <w:color w:val="625C72"/>
        <w:sz w:val="16"/>
      </w:rPr>
      <w:t>2026-10-25  |  评审材料  |  演示数据与实测边界见文中说明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等线" w:hAnsi="等线" w:cs="等线" w:eastAsia="等线"/>
        <w:b w:val="0"/>
        <w:color w:val="6F35E9"/>
        <w:sz w:val="17"/>
      </w:rPr>
      <w:t>职航智管｜比赛项目介绍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