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740" w:after="680" w:line="320" w:lineRule="exact"/>
      </w:pPr>
      <w:r>
        <w:rPr>
          <w:rFonts w:ascii="等线" w:hAnsi="等线" w:cs="等线" w:eastAsia="等线"/>
          <w:b w:val="0"/>
          <w:color w:val="5B37C8"/>
          <w:sz w:val="20"/>
        </w:rPr>
        <w:t>技术创新 30%  场景落地 30%  开源治理 20%  长期发展 20%</w:t>
      </w:r>
    </w:p>
    <w:p>
      <w:pPr>
        <w:pStyle w:val="Title"/>
        <w:widowControl w:val="0"/>
        <w:spacing w:before="0" w:after="280" w:line="660" w:lineRule="exact"/>
      </w:pPr>
      <w:r>
        <w:rPr>
          <w:rFonts w:ascii="等线" w:hAnsi="等线" w:cs="等线" w:eastAsia="等线"/>
          <w:b/>
          <w:color w:val="000000"/>
          <w:sz w:val="46"/>
        </w:rPr>
        <w:t>职航智管求职训练与职业成长服务系统</w:t>
      </w:r>
    </w:p>
    <w:p>
      <w:pPr>
        <w:widowControl w:val="0"/>
        <w:spacing w:before="0" w:after="440" w:line="500" w:lineRule="exact"/>
      </w:pPr>
      <w:r>
        <w:rPr>
          <w:rFonts w:ascii="等线" w:hAnsi="等线" w:cs="等线" w:eastAsia="等线"/>
          <w:b/>
          <w:color w:val="000000"/>
          <w:sz w:val="36"/>
        </w:rPr>
        <w:t>比赛作品介绍详细版</w:t>
      </w:r>
    </w:p>
    <w:p>
      <w:pPr>
        <w:widowControl w:val="0"/>
        <w:spacing w:before="0" w:after="400" w:line="350" w:lineRule="exact"/>
      </w:pPr>
      <w:r>
        <w:rPr>
          <w:rFonts w:ascii="等线" w:hAnsi="等线" w:cs="等线" w:eastAsia="等线"/>
          <w:b w:val="0"/>
          <w:color w:val="535963"/>
          <w:sz w:val="22"/>
        </w:rPr>
        <w:t>V1.0  ·  项目架构、业务流程、验证证据与维护方案</w:t>
      </w:r>
    </w:p>
    <w:p>
      <w:pPr>
        <w:widowControl w:val="0"/>
        <w:spacing w:before="0" w:after="160" w:line="280" w:lineRule="exact"/>
      </w:pPr>
      <w:r>
        <w:rPr>
          <w:rFonts w:ascii="等线" w:hAnsi="等线" w:cs="等线" w:eastAsia="等线"/>
          <w:b w:val="0"/>
          <w:color w:val="535963"/>
          <w:sz w:val="18"/>
        </w:rPr>
        <w:t>编制 2026-10-25  修订 2026-10-26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20000"/>
            <wp:docPr id="1" name="Picture 1" descr="真实界面与独立演示记录，保留原服务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真实界面与独立演示记录，保留原服务状态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/>
          <w:color w:val="000000"/>
          <w:sz w:val="24"/>
        </w:rPr>
        <w:t>阅读说明</w:t>
      </w:r>
    </w:p>
    <w:p>
      <w:pPr>
        <w:widowControl w:val="0"/>
        <w:spacing w:before="0" w:after="18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本文按照四项评分维度组织材料，提供24章实现、验证与治理说明。正文引用的测试与演示记录保留原日期；本次编制不将历史结果写成新版本的完整验证。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535963"/>
          <w:sz w:val="20"/>
        </w:rPr>
        <w:t>代码仓库与视频公开链接待提交前填写；评审凭据通过赛事指定安全渠道提供。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01 项目概览与评审导读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职航智管是一套通过浏览器访问的求职训练与职业成长服务系统，服务对象包括高校毕业生、就业辅导员和负责质量管理的工作人员。系统将材料整理、目标确认、计划执行、岗位准备、面试训练、投递复盘和入职回访串联起来，使每次建议能够关联业务记录，每个需要落实的行动能够找到责任人和结果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比赛截图要求提交可运行的代码仓库、作品介绍文档和演示视频链接。作品介绍至少需要说明项目背景、技术架构、应用场景与创新点；评审由技术创新、场景落地、开源治理和长期发展四部分组成。本详细版同时展示实现方式、验证证据和仍需补齐的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876"/>
        <w:gridCol w:w="3118"/>
      </w:tblGrid>
      <w:tr>
        <w:trPr>
          <w:cantSplit/>
          <w:tblHeader/>
        </w:trPr>
        <w:tc>
          <w:tcPr>
            <w:tcW w:type="dxa" w:w="1757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4876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重点回答</w:t>
            </w:r>
          </w:p>
        </w:tc>
        <w:tc>
          <w:tcPr>
            <w:tcW w:type="dxa" w:w="311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本稿主要章节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技术创新 30%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语言理解如何连接受控的业务执行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04—08 架构、编排、授权、状态与数据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场景落地 30%</w:t>
            </w:r>
          </w:p>
        </w:tc>
        <w:tc>
          <w:tcPr>
            <w:tcW w:type="dxa" w:w="4876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谁在何种场景中完成哪些任务</w:t>
            </w:r>
          </w:p>
        </w:tc>
        <w:tc>
          <w:tcPr>
            <w:tcW w:type="dxa" w:w="311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09—15 学生训练、辅导员帮扶与回访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开源治理 20%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代码如何被复现、审查和继续维护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16、19、20 部署、许可、贡献与发布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长期发展 20%</w:t>
            </w:r>
          </w:p>
        </w:tc>
        <w:tc>
          <w:tcPr>
            <w:tcW w:type="dxa" w:w="4876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试点、运营和持续改进如何推进</w:t>
            </w:r>
          </w:p>
        </w:tc>
        <w:tc>
          <w:tcPr>
            <w:tcW w:type="dxa" w:w="311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18、21、22 风险、计划和验收指标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项目状态的四种口径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“源码实现”表示已找到相应模块或配置；“历史实测”指2026-10-20及2026-10-22保存的测试和浏览器证据；“本次核对”指2026-10-25的源码与文档检查；“后续计划”表示尚未落地的治理或运营工作。四者不能互相替代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截至本次核对，服务器演示首页与/api/health均返回HTTP 200；这只证明基础入口可达，不证明评审账号、在线模型或全部流程均正常。公开代码仓库和视频链接仍待补充。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实现或证据依据：比赛要求截图；README.md；frontend/src/app/router.tsx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02 项目背景与需求分析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毕业生求职通常跨越多份材料、多条岗位和多个阶段。画像、简历、投递、笔试、面试、学习任务各自更新时，指导者很难快速还原学生当前最需要解决的问题。通用对话助手能提供建议，但如果没有资源上下文、明确的执行范围和结果记录，下一次对话仍可能从头开始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职航智管将需求具体化为三个问题：学生下一步做什么，辅导员为什么需要跟进，以及后续训练是否回应了前一轮的差距。项目没有开展可量化的全国用户调研，因此不使用“多数学生”“效率提升百分比”等缺少样本支持的结论。以下需求来自项目建模的就业指导业务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969"/>
        <w:gridCol w:w="4252"/>
      </w:tblGrid>
      <w:tr>
        <w:trPr>
          <w:cantSplit/>
          <w:tblHeader/>
        </w:trPr>
        <w:tc>
          <w:tcPr>
            <w:tcW w:type="dxa" w:w="1531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396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业务问题</w:t>
            </w:r>
          </w:p>
        </w:tc>
        <w:tc>
          <w:tcPr>
            <w:tcW w:type="dxa" w:w="425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对应设计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材料散落，目标和准备动作缺少关联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确认画像，保留证据，按周组织任务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辅导员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需要从进展信息定位值得跟进的学生</w:t>
            </w:r>
          </w:p>
        </w:tc>
        <w:tc>
          <w:tcPr>
            <w:tcW w:type="dxa" w:w="425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读取班级范围内的记录，解释风险触发事实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就业管理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需要知道帮扶发生了什么以及是否完成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学生反馈、人工验收、质量汇总和审计记录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入职后学习者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会回答问题不代表会完成工作任务</w:t>
            </w:r>
          </w:p>
        </w:tc>
        <w:tc>
          <w:tcPr>
            <w:tcW w:type="dxa" w:w="425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单独设置工作简报、交付物、评审和复盘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设计目标与范围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近期目标是形成可运行、可解释的业务原型，降低跨页面整理上下文和重复记录的成本；中期目标是在授权试点中验证任务质量与服务稳定性。实际就业率、录用率或训练收益需要长期样本与人工复核，不能由演示分数推断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系统不代替学生向外部招聘网站投递，不把风险规则当作学生能力结论，也不把工作训练中的虚构情景描述当作真实任职经历。公开岗位采集和模型接口均受到来源时效、网络与服务状态限制。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096500"/>
            <wp:docPr id="2" name="Picture 2" descr="从业务事实到行动反馈的设计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9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从业务事实到行动反馈的设计路径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实现或证据依据：README.md；docs/workplace-workbench.md；backend/app/dashboard/router.py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03 用户角色与端到端场景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学生端、辅导员端和企业评价入口使用不同的访问方式。前端按角色展示导航，服务端再校验接口权限和资源归属；页面不可见本身不构成访问控制。角色为admin的账号仅在实现允许的管理接口中使用，不能据此推定系统已经具备完整的多租户管理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4422"/>
        <w:gridCol w:w="3685"/>
      </w:tblGrid>
      <w:tr>
        <w:trPr>
          <w:cantSplit/>
          <w:tblHeader/>
        </w:trPr>
        <w:tc>
          <w:tcPr>
            <w:tcW w:type="dxa" w:w="164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442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主要工作区</w:t>
            </w:r>
          </w:p>
        </w:tc>
        <w:tc>
          <w:tcPr>
            <w:tcW w:type="dxa" w:w="368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访问边界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画像、计划、学习、岗位、面试、投递、入职跟踪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处理本人记录；模型不能扩大范围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辅导员</w:t>
            </w:r>
          </w:p>
        </w:tc>
        <w:tc>
          <w:tcPr>
            <w:tcW w:type="dxa" w:w="442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班级概览、学生进展、帮扶、质量、运行统计</w:t>
            </w:r>
          </w:p>
        </w:tc>
        <w:tc>
          <w:tcPr>
            <w:tcW w:type="dxa" w:w="368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按班级与学生归属规则读取授权对象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系统管理角色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被接口允许的治理、配置与统计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依赖具体接口权限，不默认公开全部数据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企业评价填写者</w:t>
            </w:r>
          </w:p>
        </w:tc>
        <w:tc>
          <w:tcPr>
            <w:tcW w:type="dxa" w:w="442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一次性邀请页面</w:t>
            </w:r>
          </w:p>
        </w:tc>
        <w:tc>
          <w:tcPr>
            <w:tcW w:type="dxa" w:w="368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仅填写对应邀请，不能浏览学生工作台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示例场景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演示学生A的目标岗位为数据分析师。画像显示Python与SQL基础，但项目结果需要补充可核实证据。学生先查看四周计划和岗位匹配，再进行一次模拟面试；如果任务或申请长时间没有推进，辅导员可读取触发事实，创建具体任务，由学生反馈、辅导员验收。进入录用阶段后，学生可建立就业记录，参与入职回访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上述路径跨越学生、辅导员与企业反馈，但各环节均需独立的事实和授权：生成计划不等于任务完成，提交反馈不等于验收通过，申请标记录用也不等于已经入职。系统通过单独的记录和状态表达这些区别。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780800" cy="2592000"/>
            <wp:docPr id="3" name="Picture 3" descr="学生工作台局部，人工构造演示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8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学生工作台局部，人工构造演示记录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实现或证据依据：frontend/src/app/router.tsx；backend/app/auth/models.py；backend/app/students/service.py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04 总体技术架构与职责划分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系统采用前后端分离结构。React与TypeScript负责页面和交互，FastAPI负责身份校验、业务接口与事务，SQLAlchemy负责数据访问。Agent网关通过结构化契约连接模型供应商或本地规则实现。模型服务是可替换组件，业务事实和权限仍由后端维护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5016000" cy="2052000"/>
            <wp:docPr id="4" name="Picture 4" descr="前端、API、Agent与数据层之间的职责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前端、API、Agent与数据层之间的职责边界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969"/>
        <w:gridCol w:w="4422"/>
      </w:tblGrid>
      <w:tr>
        <w:trPr>
          <w:cantSplit/>
          <w:tblHeader/>
        </w:trPr>
        <w:tc>
          <w:tcPr>
            <w:tcW w:type="dxa" w:w="1361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层次</w:t>
            </w:r>
          </w:p>
        </w:tc>
        <w:tc>
          <w:tcPr>
            <w:tcW w:type="dxa" w:w="396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主要组件</w:t>
            </w:r>
          </w:p>
        </w:tc>
        <w:tc>
          <w:tcPr>
            <w:tcW w:type="dxa" w:w="442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明确职责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交互层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React、Router、React Query、ECharts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页面导航、请求状态、会话事件与结果展示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业务层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FastAPI、Pydantic、JWT/RBAC</w:t>
            </w:r>
          </w:p>
        </w:tc>
        <w:tc>
          <w:tcPr>
            <w:tcW w:type="dxa" w:w="442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资源归属、参数契约、状态变更与错误返回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编排层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主Agent、专业Agent、工具注册表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拆任务、获取证据、汇总结论或动作提案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数据层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SQLAlchemy、SQLite或PostgreSQL</w:t>
            </w:r>
          </w:p>
        </w:tc>
        <w:tc>
          <w:tcPr>
            <w:tcW w:type="dxa" w:w="442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业务事实、消息、步骤、工具及事件记录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可选服务层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Embedding、OCR、ASR/TTS、Emotion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按部署模式和服务就绪状态提供能力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地演示使用SQLite，部署配置支持PostgreSQL和pgvector；两者不是同一种性能验证环境。Worker从任务表领取任务并处理耗时工作，Redis用于部署中的辅助能力。全量服务拓扑与低资源服务器演示版分别说明，不能把配置文件存在等同于所有模型容器已启动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实现或证据依据：backend/app/main.py；frontend/package.json；backend/pyproject.toml；docker-compose.yml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05 主智能体与专业智能体协同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一个包含职业规划和投递管理的问题，往往需要同时读取画像、目标、任务与申请记录。主智能体先将问题转成结构化计划，再组织专业智能体处理相应任务，最终汇总为回答。计划中的步骤有唯一标识与依赖关系，契约会拒绝重复步骤和引用尚未出现步骤的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175"/>
        <w:gridCol w:w="3628"/>
      </w:tblGrid>
      <w:tr>
        <w:trPr>
          <w:cantSplit/>
          <w:tblHeader/>
        </w:trPr>
        <w:tc>
          <w:tcPr>
            <w:tcW w:type="dxa" w:w="294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专业领域</w:t>
            </w:r>
          </w:p>
        </w:tc>
        <w:tc>
          <w:tcPr>
            <w:tcW w:type="dxa" w:w="317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职责示例</w:t>
            </w:r>
          </w:p>
        </w:tc>
        <w:tc>
          <w:tcPr>
            <w:tcW w:type="dxa" w:w="362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依赖的业务事实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career / job / resume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规划方向、岗位比较、简历建议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画像、计划、岗位和简历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application / interview</w:t>
            </w:r>
          </w:p>
        </w:tc>
        <w:tc>
          <w:tcPr>
            <w:tcW w:type="dxa" w:w="317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申请进展、面试准备和复盘</w:t>
            </w:r>
          </w:p>
        </w:tc>
        <w:tc>
          <w:tcPr>
            <w:tcW w:type="dxa" w:w="36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阶段事件、面试回答与评分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counselor / learning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帮扶线索、学习任务与测验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班级范围、风险、课程与结果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workplace / intelligence / employment</w:t>
            </w:r>
          </w:p>
        </w:tc>
        <w:tc>
          <w:tcPr>
            <w:tcW w:type="dxa" w:w="317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工作交付、岗位来源、入职反馈</w:t>
            </w:r>
          </w:p>
        </w:tc>
        <w:tc>
          <w:tcPr>
            <w:tcW w:type="dxa" w:w="36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情景简报、采集状态、就业记录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一次可复核的运行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2026-10-20保存的本地回放使用问题“请结合我的就业画像、求职计划和最近投递记录，告诉我本周最优先的三项行动，并说明依据”。career步骤读取profile.get、plan.get和tasks.list；application步骤读取applications.list。2个专业步骤、4个只读调用均完成，provider为local-rules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这次回放证明了从真实业务记录读取、工具记录保存到回答持久化的流程。它没有调用在线大模型，因此不能用该次耗时或输出评价在线模型推理能力。专业领域数量表示契约支持的10类名称，不等于每个领域都经过了同样深度的独立测评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592421" cy="2160000"/>
            <wp:docPr id="5" name="Picture 5" descr="就业助手与可展开执行记录，保留原有服务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2421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就业助手与可展开执行记录，保留原有服务状态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实现或证据依据：backend/app/agents/conversation_contracts.py；backend/app/chat/orchestrator.py；backend/app/agents/service.py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06 工具授权与人工确认机制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专业智能体请求工具后，系统重新检查执行身份、学生归属、专业领域、参数和返回结构。目录过滤只能减少模型可选项，实际执行仍需服务端校验。工具的风险级别来自注册定义，不接受模型通过参数自行降低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139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检查阶段</w:t>
            </w:r>
          </w:p>
        </w:tc>
        <w:tc>
          <w:tcPr>
            <w:tcW w:type="dxa" w:w="413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实现行为</w:t>
            </w:r>
          </w:p>
        </w:tc>
        <w:tc>
          <w:tcPr>
            <w:tcW w:type="dxa" w:w="385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失败结果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身份与归属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核对用户有效、角色一致、学生归属允许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拒绝越权请求，不读取其他学生数据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工具与领域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只解析已注册名称，检查专业领域</w:t>
            </w:r>
          </w:p>
        </w:tc>
        <w:tc>
          <w:tcPr>
            <w:tcW w:type="dxa" w:w="385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拒绝未知工具或领域不匹配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输入输出契约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Pydantic校验参数与返回结构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返回错误码，避免把异常结构当业务结论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写操作确认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confirm模式先生成提案；auto仍检查风险</w:t>
            </w:r>
          </w:p>
        </w:tc>
        <w:tc>
          <w:tcPr>
            <w:tcW w:type="dxa" w:w="385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高风险入口不会因自动模式变为可执行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执行与撤销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记录状态、结果、操作者；可逆工具带撤销数据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不支持撤销的工具返回明确错误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历史目录盘点为32个定义：20个只读、9个普通写、3个高风险入口。3个高风险入口绑定拒绝处理器，表示明确禁止的动作边界，不表示已实现删除、批量修改或外部代投。普通写动作的确认也不意味着可修改任意资源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000" cy="1800000"/>
            <wp:docPr id="6" name="Picture 6" descr="工具定义的风险分层，数据来自2026-10-20盘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工具定义的风险分层，数据来自2026-10-20盘点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写动作使用幂等键识别重复请求，成功后关联业务结果与审计记录；失败保留错误状态。撤销只适用于声明可逆且存在撤销处理器的工具，并再次校验操作者权限。评审时可从只读调用、待确认提案和拒绝入口三个例子检查边界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实现或证据依据：backend/app/tools/registry.py；backend/app/tools/authorization.py；backend/app/chat/actions.py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07 会话持久化与异步运行状态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会话不仅保存文字，还关联用户消息、运行实例、专业步骤、工具调用和动作提案。发送消息时需提供Idempotency-Key：同一会话重复提交相同键会返回已接受的运行，而不是创建新的业务动作。数据库还约束一个会话同时只有一个queued或running运行。</w:t>
      </w:r>
    </w:p>
    <w:p>
      <w:pPr>
        <w:keepLines/>
        <w:widowControl w:val="0"/>
        <w:spacing w:before="0" w:after="140" w:line="280" w:lineRule="exact"/>
      </w:pPr>
      <w:r>
        <w:rPr>
          <w:rFonts w:ascii="Consolas" w:hAnsi="Consolas" w:cs="等线" w:eastAsia="等线"/>
          <w:b w:val="0"/>
          <w:color w:val="363947"/>
          <w:sz w:val="18"/>
        </w:rPr>
        <w:t>POST /api/chat/sessions/{session_id}/messages</w:t>
      </w:r>
      <w:r>
        <w:rPr>
          <w:rFonts w:ascii="Consolas" w:hAnsi="Consolas"/>
          <w:sz w:val="18"/>
        </w:rPr>
        <w:br/>
      </w:r>
      <w:r>
        <w:rPr>
          <w:rFonts w:ascii="Consolas" w:hAnsi="Consolas" w:cs="等线" w:eastAsia="等线"/>
          <w:b w:val="0"/>
          <w:color w:val="363947"/>
          <w:sz w:val="18"/>
        </w:rPr>
        <w:t>Idempotency-Key: 由客户端为本次发送生成的唯一值</w:t>
      </w:r>
      <w:r>
        <w:rPr>
          <w:rFonts w:ascii="Consolas" w:hAnsi="Consolas"/>
          <w:sz w:val="18"/>
        </w:rPr>
        <w:br/>
      </w:r>
      <w:r>
        <w:rPr>
          <w:rFonts w:ascii="Consolas" w:hAnsi="Consolas" w:cs="等线" w:eastAsia="等线"/>
          <w:b w:val="0"/>
          <w:color w:val="363947"/>
          <w:sz w:val="18"/>
        </w:rPr>
        <w:t>返回：message_id、run_id、events_url、status=queued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消息接受后，后端创建AI任务并保存run.queued事件；Worker处理后推进步骤和工具状态。浏览器通过SSE按事件序号读取事件，并用after游标继续拉取；运行详情接口用于回看结论、参数、错误与耗时。任务状态和页面流式文字是两种信息，页面中断不应直接推断任务已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572"/>
        <w:gridCol w:w="3175"/>
      </w:tblGrid>
      <w:tr>
        <w:trPr>
          <w:cantSplit/>
          <w:tblHeader/>
        </w:trPr>
        <w:tc>
          <w:tcPr>
            <w:tcW w:type="dxa" w:w="300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记录</w:t>
            </w:r>
          </w:p>
        </w:tc>
        <w:tc>
          <w:tcPr>
            <w:tcW w:type="dxa" w:w="357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关键字段或约束</w:t>
            </w:r>
          </w:p>
        </w:tc>
        <w:tc>
          <w:tcPr>
            <w:tcW w:type="dxa" w:w="317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ChatSession / ChatMessage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owner、mode、status；session+request_key唯一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恢复会话并避免重复消息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AgentRun / AgentStep</w:t>
            </w:r>
          </w:p>
        </w:tc>
        <w:tc>
          <w:tcPr>
            <w:tcW w:type="dxa" w:w="357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status、provider、plan、依赖、时间</w:t>
            </w:r>
          </w:p>
        </w:tc>
        <w:tc>
          <w:tcPr>
            <w:tcW w:type="dxa" w:w="317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解释运行是否完成、在哪一步结束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ToolCall / ActionProposal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工具版本、风险、幂等键、确认状态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保存候选动作与实际执行区别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运行事件</w:t>
            </w:r>
          </w:p>
        </w:tc>
        <w:tc>
          <w:tcPr>
            <w:tcW w:type="dxa" w:w="357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单调序号、事件类型和载荷</w:t>
            </w:r>
          </w:p>
        </w:tc>
        <w:tc>
          <w:tcPr>
            <w:tcW w:type="dxa" w:w="317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流式显示、断线后按序继续读取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恢复与失败处理的实际边界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历史浏览器检查中，刷新前后同一问题的用户消息均为2条，未重复或丢失；这项检查只覆盖消息恢复。历史执行面板刷新后没有自动还原至先前展开的工具详情，不能在材料中声称整个面板恢复已通过。超时、租约和失败重试机制也需要在目标部署环境继续验证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实现或证据依据：backend/app/chat/router.py；backend/app/chat/models.py；backend/app/chat/events.py；backend/app/ai/service.py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08 数据模型与证据链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数据组织以业务对象和状态为中心。画像与简历记录提供个人事实；岗位和来源记录提供需求事实；计划、任务、申请事件与训练结果提供过程事实；会话和审计记录说明建议及动作如何产生。向量检索是获取片段的方法，不能替代资源权限和事实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4139"/>
        <w:gridCol w:w="3402"/>
      </w:tblGrid>
      <w:tr>
        <w:trPr>
          <w:cantSplit/>
          <w:tblHeader/>
        </w:trPr>
        <w:tc>
          <w:tcPr>
            <w:tcW w:type="dxa" w:w="2211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对象组</w:t>
            </w:r>
          </w:p>
        </w:tc>
        <w:tc>
          <w:tcPr>
            <w:tcW w:type="dxa" w:w="413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关系与字段</w:t>
            </w:r>
          </w:p>
        </w:tc>
        <w:tc>
          <w:tcPr>
            <w:tcW w:type="dxa" w:w="340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防止的误读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画像与简历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学生归属、版本、解析状态、原文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草稿不等于确认经历，解析失败不等于上传失败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岗位与来源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岗位描述、URL、主机、时间、状态</w:t>
            </w:r>
          </w:p>
        </w:tc>
        <w:tc>
          <w:tcPr>
            <w:tcW w:type="dxa" w:w="340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演示岗位不等于当前公开招聘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计划与任务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目标、周次、截止日期、状态、验收要求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计划已生成不等于任务已完成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申请与事件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当前阶段、from/to、发生时间</w:t>
            </w:r>
          </w:p>
        </w:tc>
        <w:tc>
          <w:tcPr>
            <w:tcW w:type="dxa" w:w="340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当前分布不等于累计漏斗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面试与交付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回答、评价、量表、revision、场次报告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单轮分不等于均分，草案不等于交付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运行与审计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会话、运行、工具、确认者、结果</w:t>
            </w:r>
          </w:p>
        </w:tc>
        <w:tc>
          <w:tcPr>
            <w:tcW w:type="dxa" w:w="340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模型建议不等于已执行的业务事实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知识片段的设计包括内容、来源、时间、适用范围和资源归属。源码中向量字段配置为1024维；服务器演示版未部署BGE-M3服务，不能用“数据库包含向量字段”声称已经完成语义检索。检索没有结果时，应提示缺少可引用材料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096500"/>
            <wp:docPr id="7" name="Picture 7" descr="一条建议从原始材料到确认动作的证据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9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一条建议从原始材料到确认动作的证据链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入职评价与个人资料分开处理，按审核状态和样本阈值决定是否显示汇总。默认企业画像要求至少3条审核通过样本，这只是当前源码阈值，并不能替代上线时对小样本识别风险的评估。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实现或证据依据：backend/app/core/models.py；backend/app/chat/models.py；backend/app/applications/models.py；backend/app/ai/models.py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09 画像确认与四周行动计划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学生可以直接提供简历文本和求职偏好，先查看画像草稿中的能力、证据、差距与约束，再决定是否确认。此流程避免把模型推断自动写成个人事实。计划生成依赖已确认画像和目标方向，输出主目标、备选岗位以及包含截止日期和验收标准的分周任务。</w:t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输入、操作和可验收结果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419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输入或操作</w:t>
            </w:r>
          </w:p>
        </w:tc>
        <w:tc>
          <w:tcPr>
            <w:tcW w:type="dxa" w:w="385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画像草稿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本人经历、技能、目标城市与行业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可核对的结论和原文证据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画像确认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学生检查草稿并主动确认</w:t>
            </w:r>
          </w:p>
        </w:tc>
        <w:tc>
          <w:tcPr>
            <w:tcW w:type="dxa" w:w="385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正式画像版本发生变化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四周计划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画像摘要、目标岗位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主目标、备选方向和按周任务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任务推进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按任务要求准备材料或训练</w:t>
            </w:r>
          </w:p>
        </w:tc>
        <w:tc>
          <w:tcPr>
            <w:tcW w:type="dxa" w:w="385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记录可回看的完成事实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252992" cy="2340000"/>
            <wp:docPr id="8" name="Picture 8" descr="已确认目标与四周任务，截止日期和样例记录均为演示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992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已确认目标与四周任务，截止日期和样例记录均为演示数据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以数据分析师场景为例，学生画像显示Python和SQL基础，但量化结果证据不足。计划可先安排补充简历证据，再筛选岗位、完成面试训练和复盘。相同模板并不保证适合所有专业；试点应由辅导员抽检任务是否明确、可完成、能被核验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画像与计划是两个独立确认环节。若材料无法解析，应先补充可读文本，不得将失败状态隐藏为“已分析”。本项目在2026-10-22的实际DOCX上传中出现解析失败，详细限制在测试与风险章节保留。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实现或证据依据：backend/app/students/router.py；backend/app/students/service.py；backend/app/plans/router.py；frontend/src/features/student/PlanPage.tsx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10 岗位分析与简历版本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岗位匹配将“是否适合”拆成硬性条件、技能、经历、偏好与发展方向五个维度。每个维度同时展示分数与输入依据，学生再决定补充材料或开展训练。公开来源另外保存采集状态与新鲜度；用户需要返回原页面核实职位仍然有效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9195" cy="2268000"/>
            <wp:docPr id="9" name="Picture 9" descr="匹配分与引用并列展示，local-demo预设分数仅用于流程演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9195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匹配分与引用并列展示，local-demo预设分数仅用于流程演示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历史演示返回82、86、72、78、80五个维度分，综合80/100。数值来自本地规则适配器的预设结果，不能表达为80%准确率、录用率或模型效果。在正式评估中，需要使用获得授权的简历与岗位样本，保存人工比较结果并说明样本量。</w:t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简历建议的保存边界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后端支持基于本人简历与目标岗位产生修改草稿，再确认形成版本；接口保存原文、建议与理由。当前页面主要展示文件列表、解析状态和“询问Agent”上下文入口，不能把后端存在确认接口写成已经完成独立的可视化编辑器。任何量化成果、公司名称与责任范围均需由学生本人核实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2026-10-20独立演示库中公共岗位和启用来源均为0，6条岗位属于演示数据。后续新增公开来源配置不应与该历史样本混算。抓取失败、字段缺失或内容过期是来源侧的真实状态，不能用自动补写文本掩盖。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实现或证据依据：backend/app/jobs/router.py；backend/app/agents/local.py；backend/app/resumes/router.py；backend/app/intelligence/service.py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11 模拟面试与可选多模态训练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模拟面试把岗位要求、简历原文与回答关联到场次。默认结构包括6个核心问题、最多2个追问；数据库配置的情景可以改变题目结构。前端按开始、增量、评价与完成事件更新显示，后端保留回答、逐轮评价、追问及场次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98"/>
        <w:gridCol w:w="3912"/>
      </w:tblGrid>
      <w:tr>
        <w:trPr>
          <w:cantSplit/>
          <w:tblHeader/>
        </w:trPr>
        <w:tc>
          <w:tcPr>
            <w:tcW w:type="dxa" w:w="2041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评分维度</w:t>
            </w:r>
          </w:p>
        </w:tc>
        <w:tc>
          <w:tcPr>
            <w:tcW w:type="dxa" w:w="379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检查内容</w:t>
            </w:r>
          </w:p>
        </w:tc>
        <w:tc>
          <w:tcPr>
            <w:tcW w:type="dxa" w:w="391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用户改进方向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内容完整度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是否说明背景、任务、行动和结果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补齐缺失的业务要素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岗位相关性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回答是否回应岗位要求</w:t>
            </w:r>
          </w:p>
        </w:tc>
        <w:tc>
          <w:tcPr>
            <w:tcW w:type="dxa" w:w="391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选择与职责相关的本人经历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表达结构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顺序和重点是否清楚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先结论再依据，明确本人贡献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证据质量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是否有可核实方法和结果</w:t>
            </w:r>
          </w:p>
        </w:tc>
        <w:tc>
          <w:tcPr>
            <w:tcW w:type="dxa" w:w="391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区分观察事实与未经验证的推测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268000" cy="1548000"/>
            <wp:docPr id="10" name="Picture 10" descr="8轮构造回答的场次均分：76、78、75、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8000" cy="15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8轮构造回答的场次均分：76、78、75、76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上图使用unified-v1场次均分；单轮面板可能显示不同分数。结果来自local-demo，不代表人类评分一致性、训练前后提升或录用判断。量表质量需要采用人工标注样本、多轮对比和版本记录进一步校准。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全量服务设计支持语音输入、问题朗读和可选摄像头采样。摄像头约每秒发送一帧，最多保留20条统计记录，不保存原始视频或图像；无清晰人脸时不计分。服务器演示版未部署这些本地模型，因此只能展示文字问题和文字回答，不能生成假的表情分析结果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实现或证据依据：backend/app/interviews/router.py；backend/app/interviews/service.py；services/emotion/app.py；frontend/src/features/student/interview-api.ts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12 学习任务与入职后工作交付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学习成长模块将能力差距关联课程、任务和测验；任务可以记录完成说明与证据。测验保存作答、评分与复习记录，为后续训练提供上下文。能力维度或数据量不足时，界面应显示不足提示，不画没有依据的成长曲线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职场训练另行处理入职后任务，不复用面试回答来冒充工作结果。情景简报包含角色、阶段、目标、协作对象、交付物、期限、验收标准和约束。学生可以保存草案、提交交付物，并查看结构化评审和版本历史。至少提交一份交付物后，才允许完成会话复盘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761893" cy="2052000"/>
            <wp:docPr id="11" name="Picture 11" descr="工作情景局部：从简报、验收标准到交付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pla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1893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工作情景局部：从简报、验收标准到交付物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58"/>
        <w:gridCol w:w="4139"/>
      </w:tblGrid>
      <w:tr>
        <w:trPr>
          <w:cantSplit/>
          <w:tblHeader/>
        </w:trPr>
        <w:tc>
          <w:tcPr>
            <w:tcW w:type="dxa" w:w="215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345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形成的记录</w:t>
            </w:r>
          </w:p>
        </w:tc>
        <w:tc>
          <w:tcPr>
            <w:tcW w:type="dxa" w:w="413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当前验证程度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课程与学习任务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状态、完成说明、证据链接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页面与接口实现，仍需内容质量复核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测验与复习</w:t>
            </w:r>
          </w:p>
        </w:tc>
        <w:tc>
          <w:tcPr>
            <w:tcW w:type="dxa" w:w="345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试卷、答案、提交结果、错题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代码已实现，非所有题型均完成实调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职场交付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revision、评审、复盘报告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历史桌面E2E通过1条交付流程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5个职场情景是配置数量，不代表5个场景都经过验证。AI生成的内容只作为草案，学生需核对任务事实后提交；不得向外部业务系统自动提交，也不得将演示情景写入本人真实工作履历。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实现或证据依据：backend/app/growth/service.py；backend/app/workplace/service.py；docs/workplace-workbench.md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13 申请状态与每周复盘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申请记录保存岗位、学生及当前阶段，阶段变化另外形成事件。服务端按状态转换规则处理请求，而不是允许页面任意写入状态。收藏可以变为已投递或关闭；已投递可到笔试、面试或关闭；笔试可到面试或关闭；面试可到录用或关闭；录用可关闭。关闭状态不再继续流转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453500"/>
            <wp:docPr id="12" name="Picture 12" descr="源码定义的申请状态转换与业务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st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源码定义的申请状态转换与业务边界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005"/>
        <w:gridCol w:w="4195"/>
      </w:tblGrid>
      <w:tr>
        <w:trPr>
          <w:cantSplit/>
          <w:tblHeader/>
        </w:trPr>
        <w:tc>
          <w:tcPr>
            <w:tcW w:type="dxa" w:w="2551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300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当前记录数</w:t>
            </w:r>
          </w:p>
        </w:tc>
        <w:tc>
          <w:tcPr>
            <w:tcW w:type="dxa" w:w="419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曾到达该阶段的申请数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收藏 / 入库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85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已投递</w:t>
            </w:r>
          </w:p>
        </w:tc>
        <w:tc>
          <w:tcPr>
            <w:tcW w:type="dxa" w:w="300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68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笔试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面试</w:t>
            </w:r>
          </w:p>
        </w:tc>
        <w:tc>
          <w:tcPr>
            <w:tcW w:type="dxa" w:w="300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录用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16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表内全部是人工构造演示记录。当前列互斥、合计85；累计列按申请ID去重，同一记录可计入多个阶段。85条记录包含收藏，不能写成85次实际投递；16条录用状态也不代表16名真实用户获得录用。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每周复盘读取最近七天的阶段事件，计算投递、笔试、面试和录用等指标，再给出最多三项优先动作。它与全量当前状态分布具有不同时间窗口和分母。评审演示应说明这一差别，避免将看板、复盘和历史累计数直接比较为效果提升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实现或证据依据：backend/app/applications/service.py；backend/app/applications/models.py；backend/app/reviews/router.py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14 班级风险与帮扶验收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辅导员在授权班级范围内查看学生进展与风险事实，决定是否进一步沟通或布置任务。规则返回触发原因、数值和级别，便于人工核对；风险不作为录用预测，不自动对学生排名、处分或限制服务。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814"/>
        <w:gridCol w:w="2268"/>
      </w:tblGrid>
      <w:tr>
        <w:trPr>
          <w:cantSplit/>
          <w:tblHeader/>
        </w:trPr>
        <w:tc>
          <w:tcPr>
            <w:tcW w:type="dxa" w:w="566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规则</w:t>
            </w:r>
          </w:p>
        </w:tc>
        <w:tc>
          <w:tcPr>
            <w:tcW w:type="dxa" w:w="181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阈值</w:t>
            </w:r>
          </w:p>
        </w:tc>
        <w:tc>
          <w:tcPr>
            <w:tcW w:type="dxa" w:w="226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级别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建档后未确认目标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≥7天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关注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连续无投递</w:t>
            </w:r>
          </w:p>
        </w:tc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≥14天</w:t>
            </w:r>
          </w:p>
        </w:tc>
        <w:tc>
          <w:tcPr>
            <w:tcW w:type="dxa" w:w="226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需干预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计划任务逾期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≥3项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关注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申请达到阈值但未进入面试</w:t>
            </w:r>
          </w:p>
        </w:tc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≥20条</w:t>
            </w:r>
          </w:p>
        </w:tc>
        <w:tc>
          <w:tcPr>
            <w:tcW w:type="dxa" w:w="226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需干预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连续面试未通过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≥3次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需干预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规则函数具有5类判断，但当前调度代码将连续面试未通过数固定为0，申请未面试规则也需进一步核对收藏是否计入分母。因此，15个函数阈值用例通过，只证明规则函数按输入触发，不证明5类事实都已自动采集并持续运行。服务器演示配置还关闭了定时扫描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28167" cy="1548000"/>
            <wp:docPr id="13" name="Picture 13" descr="学生反馈后，辅导员人工核验完成的演示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en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8167" cy="15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学生反馈后，辅导员人工核验完成的演示任务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帮扶接口状态为assigned→submitted→resolved：学生提交反馈时核对本人归属和当前状态；辅导员确认完成时核对学生范围并要求已提交。历史浏览器完成过此链路，记录保留真实反馈和验收结果。按当前源码，该接口没有显示独立的截止日期字段，材料不把计划任务字段套用到帮扶任务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风险事件数与风险学生数要分开。历史24人演示样本中每人仅一条风险事件，9条恰好对应9人；真实班级可能一人多条，汇总需按学生去重，避免驾驶舱图形因直接相减而出现误解。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实现或证据依据：backend/app/risks/rules.py；backend/app/core/scheduler.py；backend/app/interventions/router.py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15 入职回访与就业质量反馈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学生只有在申请进入录用阶段后，才能将相应记录关联为就业记录，补充入职日期和是否授权企业评价。系统组织7、30、90、180天回访，将学生主观反馈、企业评价和面试经验分开保存；它们不是一份可以直接互相替代的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025"/>
        <w:gridCol w:w="3912"/>
      </w:tblGrid>
      <w:tr>
        <w:trPr>
          <w:cantSplit/>
          <w:tblHeader/>
        </w:trPr>
        <w:tc>
          <w:tcPr>
            <w:tcW w:type="dxa" w:w="181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数据</w:t>
            </w:r>
          </w:p>
        </w:tc>
        <w:tc>
          <w:tcPr>
            <w:tcW w:type="dxa" w:w="402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内容示例</w:t>
            </w:r>
          </w:p>
        </w:tc>
        <w:tc>
          <w:tcPr>
            <w:tcW w:type="dxa" w:w="391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使用限制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学生反馈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岗位一致性、带教、工作强度、成长空间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基于本人体验，不公开个人原始材料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企业评价</w:t>
            </w:r>
          </w:p>
        </w:tc>
        <w:tc>
          <w:tcPr>
            <w:tcW w:type="dxa" w:w="402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适岗、专业技能、沟通协作、任务质量</w:t>
            </w:r>
          </w:p>
        </w:tc>
        <w:tc>
          <w:tcPr>
            <w:tcW w:type="dxa" w:w="391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通过对应邀请提交，禁止复用邀请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面试经验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流程、题目、建议与待改进事项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审核后提供参考，避免泄露第三方隐私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企业画像汇总</w:t>
            </w:r>
          </w:p>
        </w:tc>
        <w:tc>
          <w:tcPr>
            <w:tcW w:type="dxa" w:w="402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审核通过样本的维度均分与建议</w:t>
            </w:r>
          </w:p>
        </w:tc>
        <w:tc>
          <w:tcPr>
            <w:tcW w:type="dxa" w:w="391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达到默认3条阈值后才显示相关汇总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482828" cy="2196000"/>
            <wp:docPr id="14" name="Picture 14" descr="入职跟踪的真实页面，未录用样本中没有可建立的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2828" cy="21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入职跟踪的真实页面，未录用样本中没有可建立的记录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邀请使用一次性令牌，令牌只用于对应记录，不应在公开截图或仓库中出现。企业画像通过审核状态与最小样本阈值减少小样本披露，但默认阈值不代表已完成正式隐私评估；上线前还需要确认访问范围、删除流程和反馈用途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本次只核对代码和已有页面，没有新增真实企业回访样本，也没有用构造评分推断培养效果。课程改进属于长期用途，应在授权试点中说明数据如何汇总、由谁复核、是否允许纠正或撤回。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实现或证据依据：backend/app/employment/router.py；backend/app/employment/service.py；frontend/src/features/public/EmployerReviewPage.tsx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16 部署模式与复现路径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项目提供全量本地与低资源服务器演示两种部署思路。全量版包含模型服务配置；服务器演示版保留业务数据库与轻量Worker，调用外部模型API，主动禁用未部署的OCR、向量、语音、视觉及对话附件任务。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628"/>
        <w:gridCol w:w="3628"/>
      </w:tblGrid>
      <w:tr>
        <w:trPr>
          <w:cantSplit/>
          <w:tblHeader/>
        </w:trPr>
        <w:tc>
          <w:tcPr>
            <w:tcW w:type="dxa" w:w="249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能力</w:t>
            </w:r>
          </w:p>
        </w:tc>
        <w:tc>
          <w:tcPr>
            <w:tcW w:type="dxa" w:w="362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全量本地配置</w:t>
            </w:r>
          </w:p>
        </w:tc>
        <w:tc>
          <w:tcPr>
            <w:tcW w:type="dxa" w:w="362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server-demo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业务页面与数据库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本地SQLite或部署PostgreSQL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PostgreSQL、Redis、API、Nginx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Agent</w:t>
            </w:r>
          </w:p>
        </w:tc>
        <w:tc>
          <w:tcPr>
            <w:tcW w:type="dxa" w:w="36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在线适配器或local演示按配置选择</w:t>
            </w:r>
          </w:p>
        </w:tc>
        <w:tc>
          <w:tcPr>
            <w:tcW w:type="dxa" w:w="36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在线API；失败时不回退本地规则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OCR / BGE-M3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满足资源并启动服务后可启用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未部署；后端拒绝相应任务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语音 / 摄像头</w:t>
            </w:r>
          </w:p>
        </w:tc>
        <w:tc>
          <w:tcPr>
            <w:tcW w:type="dxa" w:w="36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服务与授权同时满足才可用</w:t>
            </w:r>
          </w:p>
        </w:tc>
        <w:tc>
          <w:tcPr>
            <w:tcW w:type="dxa" w:w="36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未部署，页面禁用相关入口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对话附件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解析与向量服务就绪才开放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入口与任务均限制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服务器演示版启动方式</w:t>
      </w:r>
    </w:p>
    <w:p>
      <w:pPr>
        <w:keepLines/>
        <w:widowControl w:val="0"/>
        <w:spacing w:before="0" w:after="140" w:line="280" w:lineRule="exact"/>
      </w:pPr>
      <w:r>
        <w:rPr>
          <w:rFonts w:ascii="Consolas" w:hAnsi="Consolas" w:cs="等线" w:eastAsia="等线"/>
          <w:b w:val="0"/>
          <w:color w:val="363947"/>
          <w:sz w:val="18"/>
        </w:rPr>
        <w:t>docker compose --env-file .env.server-demo -f docker-compose.server-demo.yml up -d --build</w:t>
      </w:r>
      <w:r>
        <w:rPr>
          <w:rFonts w:ascii="Consolas" w:hAnsi="Consolas"/>
          <w:sz w:val="18"/>
        </w:rPr>
        <w:br/>
      </w:r>
      <w:r>
        <w:rPr>
          <w:rFonts w:ascii="Consolas" w:hAnsi="Consolas" w:cs="等线" w:eastAsia="等线"/>
          <w:b w:val="0"/>
          <w:color w:val="363947"/>
          <w:sz w:val="18"/>
        </w:rPr>
        <w:t>docker compose --env-file .env.server-demo -f docker-compose.server-demo.yml ps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启动前按照环境模板填写随机密钥、数据库密码、加密密钥、专用演示密码和可用模型API；前端以server-demo模式构建。对已有数据库不要运行down -v，以免删除卷。正式公开使用前需要域名、TLS、备份恢复及资源监控。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2026-10-25只读检查http://111.228.30.194/与/api/health均返回200，健康体为status=ok。没有进行账号登录、在线模型调用、压力测试或数据写入；该地址仍需项目方确认用于正式评审。仓库URL与视频URL继续留空。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本地开发应显式将VITE_API_PROXY_TARGET指向实际API端口；当前Vite默认代理为8080，不能照搬旧README中8000的描述而不检查。复现说明应同时写出浏览器入口、API端口、部署模式和使用的Provider。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实现或证据依据：docs/server-demo-deployment.md；docker-compose.server-demo.yml；frontend/vite.config.ts；README.md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17 验证结果与证据范围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章引用已保存的历史证据。2026-10-25主要进行源码核对和文档渲染，没有把旧日志重新命名为今日测试，也没有再次运行全部后端、前端和E2E测试。以下结果可用于了解此前版本的验证范围，正式提交版本仍需复测并记录时间与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5102"/>
      </w:tblGrid>
      <w:tr>
        <w:trPr>
          <w:cantSplit/>
          <w:tblHeader/>
        </w:trPr>
        <w:tc>
          <w:tcPr>
            <w:tcW w:type="dxa" w:w="181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验证时间</w:t>
            </w:r>
          </w:p>
        </w:tc>
        <w:tc>
          <w:tcPr>
            <w:tcW w:type="dxa" w:w="283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510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结果与边界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2026-10-20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后端与前端组件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后端63/63、组件25/25；不是业务准确率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2026-10-20</w:t>
            </w:r>
          </w:p>
        </w:tc>
        <w:tc>
          <w:tcPr>
            <w:tcW w:type="dxa" w:w="283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本地API与规则</w:t>
            </w:r>
          </w:p>
        </w:tc>
        <w:tc>
          <w:tcPr>
            <w:tcW w:type="dxa" w:w="510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22/22流程用例，15/15阈值用例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2026-10-20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现有浏览器串行回归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1/6通过；5项未通过保留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2026-10-20</w:t>
            </w:r>
          </w:p>
        </w:tc>
        <w:tc>
          <w:tcPr>
            <w:tcW w:type="dxa" w:w="283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补充浏览器与样本一致性</w:t>
            </w:r>
          </w:p>
        </w:tc>
        <w:tc>
          <w:tcPr>
            <w:tcW w:type="dxa" w:w="510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14项操作检查；24/24构造学生规则对齐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2026-10-22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真实DOCX上传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HTTP201保存文件，解析状态失败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2026-10-25</w:t>
            </w:r>
          </w:p>
        </w:tc>
        <w:tc>
          <w:tcPr>
            <w:tcW w:type="dxa" w:w="283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服务器基础连通</w:t>
            </w:r>
          </w:p>
        </w:tc>
        <w:tc>
          <w:tcPr>
            <w:tcW w:type="dxa" w:w="510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首页及健康接口200；未检查登录与模型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264000" cy="1836000"/>
            <wp:docPr id="15" name="Picture 15" descr="2026-10-20的测试数量，保留未通过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4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0" w:after="120" w:line="250" w:lineRule="exact"/>
        <w:jc w:val="center"/>
      </w:pPr>
      <w:r>
        <w:rPr>
          <w:rFonts w:ascii="等线" w:hAnsi="等线" w:cs="等线" w:eastAsia="等线"/>
          <w:b w:val="0"/>
          <w:color w:val="535963"/>
          <w:sz w:val="17"/>
        </w:rPr>
        <w:t>2026-10-20的测试数量，保留未通过项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浏览器未通过项包括：风险文案出现多条导致唯一定位失败2项；UI“技能”与旧断言“技能匹配”不一致2项；移动端职场流程超时1项。补充浏览器脚本完成的流程不能覆盖或删除这些失败。测试集内缺少目标场景的用例时，已有测试通过也不能推定该场景正常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本地读取接口还记录过5个接口各20次顺序GET，全部200；这不是并发压测，也不含在线模型、OCR、语音或视觉耗时。本稿不采用这些延迟作为生产性能承诺。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实现或证据依据：output/ppt-evidence-2026-10-20/backend-tests-current.xml；output/ppt-evidence-2026-10-20/data_summary.json；output/copyright-20261022/capture.log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18 已知问题与风险处置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项目目前具有可运行原型和部分实测证据，也存在应在参赛提交或试点前处理的问题。以下为代码与历史记录能支持的具体缺口，避免只写“持续优化稳定性”而没有触发条件、影响和验收方式。本次整理文档没有修改这些功能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494"/>
        <w:gridCol w:w="4422"/>
      </w:tblGrid>
      <w:tr>
        <w:trPr>
          <w:cantSplit/>
          <w:tblHeader/>
        </w:trPr>
        <w:tc>
          <w:tcPr>
            <w:tcW w:type="dxa" w:w="283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问题或触发</w:t>
            </w:r>
          </w:p>
        </w:tc>
        <w:tc>
          <w:tcPr>
            <w:tcW w:type="dxa" w:w="249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442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建议处置与验收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DOCX上传保存后解析失败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材料存在，但后续分析缺少原文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核对路径类型与解析器参数；用真实文件复测成功/失败分支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规则函数与定时事实未完全对齐</w:t>
            </w:r>
          </w:p>
        </w:tc>
        <w:tc>
          <w:tcPr>
            <w:tcW w:type="dxa" w:w="249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函数测试通过不代表所有风险自动更新</w:t>
            </w:r>
          </w:p>
        </w:tc>
        <w:tc>
          <w:tcPr>
            <w:tcW w:type="dxa" w:w="442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补齐面试失败事实与申请统计分母；验证扫描与界面一致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风险事件与风险人数混算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一人多条时图形或人数可能误导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按学生聚合后展示，并加一人多风险测试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历史执行面板刷新不自动恢复</w:t>
            </w:r>
          </w:p>
        </w:tc>
        <w:tc>
          <w:tcPr>
            <w:tcW w:type="dxa" w:w="249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消息存在但详情面板需要重新进入</w:t>
            </w:r>
          </w:p>
        </w:tc>
        <w:tc>
          <w:tcPr>
            <w:tcW w:type="dxa" w:w="442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复原run关联状态；检查消息与详情恢复的不同用例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浏览器回归仍有5项失败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缺少完整提交版本端到端通过证据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修订选择器与文案，定位移动超时后复跑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上传路径的一个静态线索是save_upload返回存储引用字符串，而parse_resume按Path调用suffix，接口会捕获异常并标记failed。该线索与2026-10-22的实际失败相符，但仍需通过修复后的真实文件回归确认；不能只在说明书把状态改成“成功”。</w:t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上线前的风险处置原则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个人材料应限制访问与日志内容；模型建议保留来源和确认；公开岗位显示时效；服务器接入TLS并隔离真实凭据；数据删除、模型调用成本和异步失败需要可操作的处理流程。摄像头模块只作训练参考，不能扩大为心理诊断或录用评价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实现或证据依据：backend/app/resumes/router.py；backend/app/resumes/parser.py；backend/app/core/scheduler.py；frontend/src/features/counselor/CounselorDashboard.tsx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19 开源现状与依赖许可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当前仓库没有配置公开Git remote，项目根目录也没有找到LICENSE、NOTICE、CONTRIBUTING、SECURITY或公开协作模板。代码在本地可查看，不等于已经完成开源发布。比赛开源治理20%的要求，需要项目方落实仓库访问、许可选择和依赖说明，文档本身不能代替这些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742"/>
        <w:gridCol w:w="4082"/>
      </w:tblGrid>
      <w:tr>
        <w:trPr>
          <w:cantSplit/>
          <w:tblHeader/>
        </w:trPr>
        <w:tc>
          <w:tcPr>
            <w:tcW w:type="dxa" w:w="192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374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当前证据</w:t>
            </w:r>
          </w:p>
        </w:tc>
        <w:tc>
          <w:tcPr>
            <w:tcW w:type="dxa" w:w="408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发布前需要确认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项目业务源码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存在前后端、服务与迁移目录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权利主体与对外授权范围；选择实际许可证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框架与运行依赖</w:t>
            </w:r>
          </w:p>
        </w:tc>
        <w:tc>
          <w:tcPr>
            <w:tcW w:type="dxa" w:w="374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package.json、pyproject、requirements</w:t>
            </w:r>
          </w:p>
        </w:tc>
        <w:tc>
          <w:tcPr>
            <w:tcW w:type="dxa" w:w="408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固定评审版本，汇总许可证与必要声明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模型及语音/视觉模块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模型服务代码与下载配置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权重、代码和模型数据的许可分别核对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数字人头像</w:t>
            </w:r>
          </w:p>
        </w:tc>
        <w:tc>
          <w:tcPr>
            <w:tcW w:type="dxa" w:w="374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已有Unsplash来源说明文件</w:t>
            </w:r>
          </w:p>
        </w:tc>
        <w:tc>
          <w:tcPr>
            <w:tcW w:type="dxa" w:w="408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保留来源，核查实际素材使用条件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第三方改编代码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MeloTTS相关辅助文件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说明修改来源并履行对应分发义务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建议的发布材料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在发布清单中建立“组件—版本—用途—来源—许可—分发方式—维护人”字段。PyMuPDF、Ultralytics及模型权重等组件应重点核对实际版本的授权条件；不能因为框架常见，就统一写成所有依赖均可任意商用。尚未完成核查时，应如实保留待确认状态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次不擅自替项目选定许可证，不生成带未经确认著作权人的授权声明。仓库开放前，由项目权利主体确认范围，再增加正式LICENSE和必要NOTICE。公开仓库不要上传真实简历、数据库、运行密钥、访问令牌、完整用户录音或模型缓存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已有.gitignore排除了.env、数据库、上传目录等常见运行文件，但“被忽略”不等于历史从未提交或所有输出目录都安全。发布前仍需检查当前索引、历史记录和素材目录，并在副本中验证最小可运行仓库。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实现或证据依据：.gitignore；frontend/package.json；backend/pyproject.toml；services/emotion/requirements.txt；frontend/public/ai-interviewer.source.txt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20 贡献流程与版本发布方案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项目需要可持续的协作方式，而不只是一次性演示。以下为本次补充的治理方案，尚未表示仓库已采用。建议将问题复现、行为变更、验证结果与版本说明绑定，使其他开发者能够理解改动缘由并复现结果。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195"/>
        <w:gridCol w:w="3798"/>
      </w:tblGrid>
      <w:tr>
        <w:trPr>
          <w:cantSplit/>
          <w:tblHeader/>
        </w:trPr>
        <w:tc>
          <w:tcPr>
            <w:tcW w:type="dxa" w:w="1757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19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贡献者需提供</w:t>
            </w:r>
          </w:p>
        </w:tc>
        <w:tc>
          <w:tcPr>
            <w:tcW w:type="dxa" w:w="379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维护者检查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Issue登记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场景、环境、步骤、实际/期望结果、脱敏证据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是否可复现，是否涉及隐私或安全问题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方案与实现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影响模块、接口/迁移变化、兼容与回滚思路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是否扩大权限，是否更改事实或评分口径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Pull Request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对应问题、变更说明、测试及已知限制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业务行为、授权、前后端一致性和文档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合并与发布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版本标签、变更记录、部署注意事项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干净环境启动、迁移、备份与回滚演练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建议的质量门禁</w:t>
      </w:r>
    </w:p>
    <w:p>
      <w:pPr>
        <w:keepLines/>
        <w:widowControl w:val="0"/>
        <w:spacing w:before="0" w:after="140" w:line="280" w:lineRule="exact"/>
      </w:pPr>
      <w:r>
        <w:rPr>
          <w:rFonts w:ascii="Consolas" w:hAnsi="Consolas" w:cs="等线" w:eastAsia="等线"/>
          <w:b w:val="0"/>
          <w:color w:val="363947"/>
          <w:sz w:val="18"/>
        </w:rPr>
        <w:t>后端：ruff check app tests；pytest -q</w:t>
      </w:r>
      <w:r>
        <w:rPr>
          <w:rFonts w:ascii="Consolas" w:hAnsi="Consolas"/>
          <w:sz w:val="18"/>
        </w:rPr>
        <w:br/>
      </w:r>
      <w:r>
        <w:rPr>
          <w:rFonts w:ascii="Consolas" w:hAnsi="Consolas" w:cs="等线" w:eastAsia="等线"/>
          <w:b w:val="0"/>
          <w:color w:val="363947"/>
          <w:sz w:val="18"/>
        </w:rPr>
        <w:t>前端：npm run lint；npm test -- --run；npm run build</w:t>
      </w:r>
      <w:r>
        <w:rPr>
          <w:rFonts w:ascii="Consolas" w:hAnsi="Consolas"/>
          <w:sz w:val="18"/>
        </w:rPr>
        <w:br/>
      </w:r>
      <w:r>
        <w:rPr>
          <w:rFonts w:ascii="Consolas" w:hAnsi="Consolas" w:cs="等线" w:eastAsia="等线"/>
          <w:b w:val="0"/>
          <w:color w:val="363947"/>
          <w:sz w:val="18"/>
        </w:rPr>
        <w:t>浏览器：E2E_BASE_URL指向隔离环境后运行npm run e2e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脚本存在不代表CI已经部署。建议先保证身份、画像确认、岗位匹配、申请状态和帮扶验收五条关键路径，再逐步扩展语音、视觉和外部来源检查。测试不得连接真实用户数据库，也不能在发布校验时误写生产申请状态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提示词、量表、工具版本、数据库迁移与前端页面应随同一版本发布。若更改评分规则，版本记录应说明哪些历史分数不能直接比较；若更改模型供应商，应记录调用配置与失败处理方式。安全问题先通过待设立的私密渠道报告，不在公开Issue中粘贴凭据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实现或证据依据：scripts/verify.ps1；frontend/playwright.config.ts；backend/pyproject.toml；docs/competition-governance-proposal.md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21 长期发展路线与交付责任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长期规划按依赖关系而不是虚构日期划分。团队成员和运营承诺尚未提供，因此不编造姓名、合作高校、试点人数或资金来源。以下阶段通过可验收结果推进，实际负责人在组队与试点前由项目方明确。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969"/>
      </w:tblGrid>
      <w:tr>
        <w:trPr>
          <w:cantSplit/>
          <w:tblHeader/>
        </w:trPr>
        <w:tc>
          <w:tcPr>
            <w:tcW w:type="dxa" w:w="1814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396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重点工作</w:t>
            </w:r>
          </w:p>
        </w:tc>
        <w:tc>
          <w:tcPr>
            <w:tcW w:type="dxa" w:w="396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交付结果与建议角色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提交准备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复测缺口、公开仓库、补齐许可与链接、脱敏材料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项目维护人确认可访问评审版本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小范围试点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授权字典、教师复核、任务与量表校准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业务联络人与指导教师记录抽检依据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稳定运营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来源监控、任务告警、模型成本与数据保留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后端及运维负责人完成监控和恢复演练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多组织扩展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租户隔离、分级授权、汇总与导出</w:t>
            </w:r>
          </w:p>
        </w:tc>
        <w:tc>
          <w:tcPr>
            <w:tcW w:type="dxa" w:w="396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架构及隐私负责人验证跨组织隔离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持续维护的主要成本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在线模型调用有不确定成本和限额；模型本地服务消耗CPU/GPU、内存和磁盘；公开岗位来源会变动；课程与题库需要人工复核；学生与企业反馈需要权限管理和审核。当前没有真实账单与使用规模，不能给出缺少依据的成本降低比例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优先级应先保障权限、数据一致性、失败恢复与关键流程，再扩展更多模型和来源。试点中若服务不稳定，保持文字输入和人工确认等基本路径；不得为演示效果开启无授权自动写入或用本地规则伪装在线模型。</w:t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长期价值的验证方式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项目希望让训练和实际求职事务之间形成可回看的联系。真正的价值需要查看用户是否理解任务、指导者是否能核验依据、系统是否减少重复操作，以及反馈是否被用于改进课程。就业结果受岗位环境、个人选择等因素影响，不能用单次分数直接归因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实现或证据依据：docs/workplace-workbench.md；backend/app/core/retention.py；backend/app/agents/usage.py；本次编制的路线建议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22 试点评估与验收设计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下面是后续试点的采集与验收设计，不是已经完成的结果。应在获得授权并固定版本后，记录样本范围、观察时间、任务内容和人工复核标准，避免只统计页面访问次数或模型回答长度。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365"/>
        <w:gridCol w:w="3798"/>
      </w:tblGrid>
      <w:tr>
        <w:trPr>
          <w:cantSplit/>
          <w:tblHeader/>
        </w:trPr>
        <w:tc>
          <w:tcPr>
            <w:tcW w:type="dxa" w:w="1587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方向</w:t>
            </w:r>
          </w:p>
        </w:tc>
        <w:tc>
          <w:tcPr>
            <w:tcW w:type="dxa" w:w="436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建议指标与定义</w:t>
            </w:r>
          </w:p>
        </w:tc>
        <w:tc>
          <w:tcPr>
            <w:tcW w:type="dxa" w:w="379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采集及评估要求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可运行性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独立启动成功、关键路径完成、错误恢复情况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干净环境留存日志；失败计入分母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建议质量</w:t>
            </w:r>
          </w:p>
        </w:tc>
        <w:tc>
          <w:tcPr>
            <w:tcW w:type="dxa" w:w="436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引用可回溯、事实一致、任务可验收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教师按同一标准复核，不以模型自评代替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用户使用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从计划到提交结果的完整任务比例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区分草稿、点击、实际提交和验收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服务效率</w:t>
            </w:r>
          </w:p>
        </w:tc>
        <w:tc>
          <w:tcPr>
            <w:tcW w:type="dxa" w:w="436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请求中位数/P95、队列等待、失败重试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分离读取、模型、OCR等不同任务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治理维护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缺陷响应、复现材料、版本回归完成度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保留Issue/PR与版本证据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成本与资源</w:t>
            </w:r>
          </w:p>
        </w:tc>
        <w:tc>
          <w:tcPr>
            <w:tcW w:type="dxa" w:w="436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按真实用量汇总token、运行时长和费用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未提供账单时不估算节省金额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历史本机100次GET可以验证采样和统计方法，却不能替代生产负载测试；历史local-demo评分可以验证结果显示，却不能替代模型效果测评。新增指标必须在结果表中标明是否为计划、已采样或已审核，不能将目标值写成当前成绩。</w:t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进入下一阶段的条件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提交准备阶段至少应解决已知关键缺陷并复验、完成许可和链接、确认无身份信息泄露；小范围试点后再决定是否扩展。是否通过由实际维护与业务负责人根据记录确认，本稿不预设上线日期和承诺的通过率。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实现或证据依据：output/ppt-evidence-2026-10-20/api_performance.json；backend/app/agents/usage.py；本次编制的评估方案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23 现场演示脚本与异常预案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比赛截图只要求视频展示核心功能与使用流程，没有给出时长上限。本稿建议6—8分钟核心演示作为可选编排，实际以组委会最终通知为准，不沿用其他赛事的页数、文件大小或视频时长要求。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4195"/>
      </w:tblGrid>
      <w:tr>
        <w:trPr>
          <w:cantSplit/>
          <w:tblHeader/>
        </w:trPr>
        <w:tc>
          <w:tcPr>
            <w:tcW w:type="dxa" w:w="1757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建议时间</w:t>
            </w:r>
          </w:p>
        </w:tc>
        <w:tc>
          <w:tcPr>
            <w:tcW w:type="dxa" w:w="379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演示动作</w:t>
            </w:r>
          </w:p>
        </w:tc>
        <w:tc>
          <w:tcPr>
            <w:tcW w:type="dxa" w:w="419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应指明的证据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0:00—0:45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登录并说明学生与辅导员工作区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当前部署模式，哪些本地模型未启用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0:45—2:00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画像、计划与岗位匹配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确认状态、截止要求、分数对应证据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2:00—3:30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就业助手读取综合上下文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专业步骤、工具参数、风险与引用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3:30—4:40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文字面试或已有场次报告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单轮与场次口径，local/在线Provider区别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4:40—5:40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职场任务台提交交付物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简报、验收标准、版本与复盘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5:40—7:00</w:t>
            </w:r>
          </w:p>
        </w:tc>
        <w:tc>
          <w:tcPr>
            <w:tcW w:type="dxa" w:w="37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辅导员查看事实并验收反馈</w:t>
            </w:r>
          </w:p>
        </w:tc>
        <w:tc>
          <w:tcPr>
            <w:tcW w:type="dxa" w:w="419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授权范围、状态和学生实际反馈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在线模型慢或不可用时，展示一条已完成的脱敏记录，并说明它的生成时间与Provider；不重复点击制造多次请求，不把历史记录冒充现场输出。文件解析异常时保留状态并使用文本录入路径。服务器演示版不展示未启用的语音或摄像头功能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现场输入可使用：“结合我的就业画像、求职计划和最近投递记录，给出本周最优先的三项行动，并说明依据。”回答出现后展开至少一个工具，指出输入、返回、引用与权限检查，而不是只读模型结论。最后用学生反馈和辅导员验收说明业务闭环。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本地现有职航智管.mp4与7月23日.mp4只是候选素材，未在本次重新验证内容一致性和全部身份信息。上传前应人工完整观看，替换专用演示账号；公开视频URL仍需填写，不能以本地文件路径代替。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实现或证据依据：docs/deliverables/website-presentation-script.md；output/ppt-evidence-2026-10-20/browser-capture-agent-counselor.log；本次编制的演示方案</w:t>
      </w:r>
    </w:p>
    <w:p>
      <w:pPr>
        <w:pStyle w:val="Heading1"/>
        <w:keepNext/>
        <w:pageBreakBefore/>
        <w:widowControl w:val="0"/>
        <w:spacing w:before="0" w:after="200" w:line="500" w:lineRule="exact"/>
      </w:pPr>
      <w:r>
        <w:rPr>
          <w:rFonts w:ascii="等线" w:hAnsi="等线" w:cs="等线" w:eastAsia="等线"/>
          <w:b/>
          <w:color w:val="000000"/>
          <w:sz w:val="34"/>
        </w:rPr>
        <w:t>24 提交清单与证据索引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025"/>
        <w:gridCol w:w="3628"/>
      </w:tblGrid>
      <w:tr>
        <w:trPr>
          <w:cantSplit/>
          <w:tblHeader/>
        </w:trPr>
        <w:tc>
          <w:tcPr>
            <w:tcW w:type="dxa" w:w="209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比赛要求</w:t>
            </w:r>
          </w:p>
        </w:tc>
        <w:tc>
          <w:tcPr>
            <w:tcW w:type="dxa" w:w="4025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交付内容</w:t>
            </w:r>
          </w:p>
        </w:tc>
        <w:tc>
          <w:tcPr>
            <w:tcW w:type="dxa" w:w="3628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提交前状态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代码仓库链接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包含完整可运行代码、README、部署与依赖说明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HTTPS仓库地址与评审tag待填写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作品介绍文档</w:t>
            </w:r>
          </w:p>
        </w:tc>
        <w:tc>
          <w:tcPr>
            <w:tcW w:type="dxa" w:w="4025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本详细版PDF；DOCX和Markdown供修改</w:t>
            </w:r>
          </w:p>
        </w:tc>
        <w:tc>
          <w:tcPr>
            <w:tcW w:type="dxa" w:w="3628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核对链接、身份信息及页面清晰度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演示视频链接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核心功能、流程及失败边界的演示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平台URL、权限与版本一致性待核验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最终填写区</w:t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代码仓库：【提交前填写仓库HTTPS地址】</w:t>
      </w:r>
      <w:r>
        <w:br/>
      </w:r>
      <w:r>
        <w:rPr>
          <w:rFonts w:ascii="等线" w:hAnsi="等线" w:cs="等线" w:eastAsia="等线"/>
          <w:b w:val="0"/>
          <w:color w:val="000000"/>
          <w:sz w:val="22"/>
        </w:rPr>
        <w:t>评审版本：【提交前填写tag或commit】</w:t>
      </w:r>
      <w:r>
        <w:br/>
      </w:r>
      <w:r>
        <w:rPr>
          <w:rFonts w:ascii="等线" w:hAnsi="等线" w:cs="等线" w:eastAsia="等线"/>
          <w:b w:val="0"/>
          <w:color w:val="000000"/>
          <w:sz w:val="22"/>
        </w:rPr>
        <w:t>视频链接：【提交前填写可访问URL】</w:t>
      </w:r>
      <w:r>
        <w:br/>
      </w:r>
      <w:r>
        <w:rPr>
          <w:rFonts w:ascii="等线" w:hAnsi="等线" w:cs="等线" w:eastAsia="等线"/>
          <w:b w:val="0"/>
          <w:color w:val="000000"/>
          <w:sz w:val="22"/>
        </w:rPr>
        <w:t>评审账号与密码：通过赛事指定安全渠道提供</w:t>
      </w:r>
      <w:r>
        <w:br/>
      </w:r>
      <w:r>
        <w:rPr>
          <w:rFonts w:ascii="等线" w:hAnsi="等线" w:cs="等线" w:eastAsia="等线"/>
          <w:b w:val="0"/>
          <w:color w:val="000000"/>
          <w:sz w:val="22"/>
        </w:rPr>
        <w:t>团队及联系人：按报名表要求填写，不自动从本地目录推断</w:t>
      </w:r>
    </w:p>
    <w:p>
      <w:pPr>
        <w:pStyle w:val="Heading2"/>
        <w:keepNext/>
        <w:widowControl w:val="0"/>
        <w:spacing w:before="0" w:after="80" w:line="380" w:lineRule="exact"/>
      </w:pPr>
      <w:r>
        <w:rPr>
          <w:rFonts w:ascii="等线" w:hAnsi="等线" w:cs="等线" w:eastAsia="等线"/>
          <w:b/>
          <w:color w:val="000000"/>
          <w:sz w:val="24"/>
        </w:rPr>
        <w:t>可复核证据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762"/>
        <w:gridCol w:w="4139"/>
      </w:tblGrid>
      <w:tr>
        <w:trPr>
          <w:cantSplit/>
          <w:tblHeader/>
        </w:trPr>
        <w:tc>
          <w:tcPr>
            <w:tcW w:type="dxa" w:w="850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4762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证据</w:t>
            </w:r>
          </w:p>
        </w:tc>
        <w:tc>
          <w:tcPr>
            <w:tcW w:type="dxa" w:w="4139"/>
            <w:vAlign w:val="center"/>
            <w:shd w:fill="EEEA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/>
              <w:spacing w:line="284" w:lineRule="exact" w:after="0"/>
            </w:pPr>
            <w:r>
              <w:rPr>
                <w:rFonts w:ascii="等线" w:hAnsi="等线" w:cs="等线" w:eastAsia="等线"/>
                <w:b/>
                <w:color w:val="000000"/>
                <w:sz w:val="19"/>
              </w:rPr>
              <w:t>用途与时间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E01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项目路由、工具、模型与业务服务源码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本次实现核对，2026-10-25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E02</w:t>
            </w:r>
          </w:p>
        </w:tc>
        <w:tc>
          <w:tcPr>
            <w:tcW w:type="dxa" w:w="476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server-demo部署文档及Compose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全量/服务器能力边界，2026-10-25核对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E03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backend-tests-current.xml与frontend-tests.log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历史63/63、25/25结果，2026-10-20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E04</w:t>
            </w:r>
          </w:p>
        </w:tc>
        <w:tc>
          <w:tcPr>
            <w:tcW w:type="dxa" w:w="476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data_summary与browser-tests-serial.json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构造样本与1/6浏览器结果，2026-10-20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E05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本次素材目录和来源映射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截图裁切及图表原数据追踪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E06</w:t>
            </w:r>
          </w:p>
        </w:tc>
        <w:tc>
          <w:tcPr>
            <w:tcW w:type="dxa" w:w="4762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本次站点基础检查记录</w:t>
            </w:r>
          </w:p>
        </w:tc>
        <w:tc>
          <w:tcPr>
            <w:tcW w:type="dxa" w:w="4139"/>
            <w:vAlign w:val="center"/>
            <w:shd w:fill="F8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spacing w:line="284" w:lineRule="exact" w:after="0"/>
            </w:pPr>
            <w:r>
              <w:rPr>
                <w:rFonts w:ascii="等线" w:hAnsi="等线" w:cs="等线" w:eastAsia="等线"/>
                <w:b w:val="0"/>
                <w:color w:val="000000"/>
                <w:sz w:val="19"/>
              </w:rPr>
              <w:t>首页、健康200；无业务全链路声明</w:t>
            </w:r>
          </w:p>
        </w:tc>
      </w:tr>
    </w:tbl>
    <w:p>
      <w:pPr>
        <w:widowControl w:val="0"/>
        <w:spacing w:before="0" w:after="60" w:line="40" w:lineRule="exact"/>
      </w:pPr>
      <w:r>
        <w:rPr>
          <w:rFonts w:ascii="等线" w:hAnsi="等线" w:cs="等线" w:eastAsia="等线"/>
          <w:b w:val="0"/>
          <w:color w:val="000000"/>
          <w:sz w:val="2"/>
        </w:rPr>
      </w:r>
    </w:p>
    <w:p>
      <w:pPr>
        <w:widowControl w:val="0"/>
        <w:spacing w:before="0" w:after="100" w:line="350" w:lineRule="exact"/>
      </w:pPr>
      <w:r>
        <w:rPr>
          <w:rFonts w:ascii="等线" w:hAnsi="等线" w:cs="等线" w:eastAsia="等线"/>
          <w:b w:val="0"/>
          <w:color w:val="000000"/>
          <w:sz w:val="22"/>
        </w:rPr>
        <w:t>推荐上传本详细版PDF，保留Word与Markdown作为同源可修改文件。附带的治理方案、源码定位和证据JSON供维护与答辩使用；历史日志不含在线模型能力或真实就业成效证明。只有获得新的真实授权数据和复测记录后，才更新本稿中的数量与成熟度判断。</w:t>
      </w:r>
    </w:p>
    <w:p>
      <w:pPr>
        <w:widowControl w:val="0"/>
        <w:spacing w:before="100" w:after="0" w:line="230" w:lineRule="exact"/>
      </w:pPr>
      <w:r>
        <w:rPr>
          <w:rFonts w:ascii="等线" w:hAnsi="等线" w:cs="等线" w:eastAsia="等线"/>
          <w:b w:val="0"/>
          <w:color w:val="535963"/>
          <w:sz w:val="16"/>
        </w:rPr>
        <w:t>实现或证据依据：比赛提交说明截图；本稿使用的项目代码、历史日志与页面素材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077" w:bottom="992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94" w:val="right"/>
      </w:tabs>
    </w:pPr>
    <w:r>
      <w:rPr>
        <w:rFonts w:ascii="等线" w:hAnsi="等线" w:cs="等线" w:eastAsia="等线"/>
        <w:b w:val="0"/>
        <w:color w:val="535963"/>
        <w:sz w:val="16"/>
      </w:rPr>
      <w:t>2026-10-26  修订完成  历史测试日期见第17章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等线" w:hAnsi="等线" w:cs="等线" w:eastAsia="等线"/>
        <w:b w:val="0"/>
        <w:color w:val="535963"/>
        <w:sz w:val="16"/>
      </w:rPr>
      <w:t>职航智管  比赛作品介绍详细版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等线" w:hAnsi="等线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职航智管求职训练与职业成长服务系统 作品介绍详细版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