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50"/>
          <w:szCs w:val="50"/>
        </w:rPr>
        <w:t xml:space="preserve">职航智管</w:t>
      </w:r>
    </w:p>
    <w:p>
      <w:pPr>
        <w:spacing w:after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8"/>
          <w:szCs w:val="28"/>
        </w:rPr>
        <w:t xml:space="preserve">AI 就业规划与求职事务智能管理平台</w:t>
      </w:r>
    </w:p>
    <w:p>
      <w:pPr>
        <w:spacing w:after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42"/>
          <w:szCs w:val="42"/>
        </w:rPr>
        <w:t xml:space="preserve">技术说明书</w:t>
      </w:r>
    </w:p>
    <w:p>
      <w:pPr>
        <w:spacing w:after="2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6051"/>
          <w:sz w:val="18"/>
          <w:szCs w:val="18"/>
        </w:rPr>
        <w:t xml:space="preserve">版本：v1.0  |  文档日期：2026-08-07  |  运行形态：Docker 全量部署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EAF5E7" w:val="clear"/>
            <w:tcMar>
              <w:top w:type="dxa" w:w="150"/>
              <w:left w:type="dxa" w:w="180"/>
              <w:bottom w:type="dxa" w:w="130"/>
              <w:right w:type="dxa" w:w="18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19"/>
                <w:szCs w:val="19"/>
              </w:rPr>
              <w:t xml:space="preserve">文档定位</w:t>
            </w:r>
          </w:p>
          <w:p>
            <w:pPr>
              <w:spacing w:after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本文面向评审、开发、测试和部署人员，说明当前项目的真实技术实现、边界和可验证能力。文档不把公开岗位检索说成稳定商业招聘 API，也不把模型建议说成自动办事结果。</w:t>
            </w:r>
          </w:p>
        </w:tc>
      </w:tr>
    </w:tbl>
    <w:p>
      <w:pPr>
        <w:spacing w:after="50" w:before="100"/>
        <w:jc w:val="center"/>
      </w:pPr>
      <w:r>
        <w:drawing>
          <wp:inline distT="0" distB="0" distL="0" distR="0">
            <wp:extent cx="7239000" cy="4524375"/>
            <wp:effectExtent t="0" r="0" b="0" l="0"/>
            <wp:docPr id="1" name="学生工作台真实运行界面" descr="学生工作台真实运行界面" title="学生工作台真实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1  学生工作台：目标岗位、投递漏斗、任务和提醒统一呈现</w:t>
      </w:r>
    </w:p>
    <w:p>
      <w:r>
        <w:br w:type="page"/>
      </w:r>
    </w:p>
    <w:p>
      <w:pPr>
        <w:pStyle w:val="Heading1"/>
        <w:keepNext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1. 项目概述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职航智管面向高校应届毕业生和就业辅导员，围绕“就业画像—目标规划—岗位发现—简历与面试—投递跟踪—入职回访—就业质量改进”建立一条持续运行的就业事件链。系统将 AI 放在业务流程中，而不是只提供一个脱离上下文的聊天窗口。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1.1 建设目标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把学生分散的简历、岗位、投递、面试、学习和入职反馈沉淀为可追踪记录。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用证据支持画像、岗位匹配、面试评分和复盘建议，降低模型幻觉对业务的影响。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让辅导员依据可解释的风险事实进行分层帮扶，而不是只看最终就业结果。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让 Agent 能够规划和调用工具，同时由后端掌握角色、资源归属和高风险动作授权。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1.2 用户角色和边界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450"/>
        <w:gridCol w:w="3500"/>
        <w:gridCol w:w="2400"/>
      </w:tblGrid>
      <w:tr>
        <w:trPr>
          <w:tblHeader/>
        </w:trP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24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主要页面</w:t>
            </w:r>
          </w:p>
        </w:tc>
        <w:tc>
          <w:tcPr>
            <w:tcW w:type="dxa" w:w="3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可以做什么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明确限制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学生</w:t>
            </w:r>
          </w:p>
        </w:tc>
        <w:tc>
          <w:tcPr>
            <w:tcW w:type="dxa" w:w="24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学生工作台、就业助手、画像、计划、岗位、面试、职场训练、入职跟踪</w:t>
            </w:r>
          </w:p>
        </w:tc>
        <w:tc>
          <w:tcPr>
            <w:tcW w:type="dxa" w:w="3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管理本人求职事实，接受 AI 建议，确认计划和动作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不能访问其他学生数据，不能绕过高风险确认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辅导员</w:t>
            </w:r>
          </w:p>
        </w:tc>
        <w:tc>
          <w:tcPr>
            <w:tcW w:type="dxa" w:w="24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班级概览、学生进展、帮扶任务、就业质量、Agent 统计、审计日志</w:t>
            </w:r>
          </w:p>
        </w:tc>
        <w:tc>
          <w:tcPr>
            <w:tcW w:type="dxa" w:w="3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查看授权范围内学生事实，发起帮扶，审查就业质量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只能访问所属班级或授权学生范围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企业联系人</w:t>
            </w:r>
          </w:p>
        </w:tc>
        <w:tc>
          <w:tcPr>
            <w:tcW w:type="dxa" w:w="24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一次性企业评价页</w:t>
            </w:r>
          </w:p>
        </w:tc>
        <w:tc>
          <w:tcPr>
            <w:tcW w:type="dxa" w:w="3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提交入职后表现和岗位反馈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链接一次性、限时、提交后失效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系统管理员</w:t>
            </w:r>
          </w:p>
        </w:tc>
        <w:tc>
          <w:tcPr>
            <w:tcW w:type="dxa" w:w="24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部署与治理配置</w:t>
            </w:r>
          </w:p>
        </w:tc>
        <w:tc>
          <w:tcPr>
            <w:tcW w:type="dxa" w:w="3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配置服务、来源适配器和审计策略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不通过前端替代业务审批</w:t>
            </w:r>
          </w:p>
        </w:tc>
      </w:tr>
    </w:tbl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2. 总体架构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系统采用前后端分离和服务化部署。浏览器通过 Nginx 访问 React 前端和 `/api` 反向代理；FastAPI 负责鉴权、业务编排、Agent 网关和任务状态；PostgreSQL 保存业务事实与审计数据，pgvector 保存向量；Redis 和 Worker 承担异步任务；BGE-M3、PaddleOCR、FunASR、MeloTTS 和情绪分析作为独立服务运行。</w:t>
      </w:r>
    </w:p>
    <w:p>
      <w:pPr>
        <w:spacing w:after="50" w:before="100"/>
        <w:jc w:val="center"/>
      </w:pPr>
      <w:r>
        <w:drawing>
          <wp:inline distT="0" distB="0" distL="0" distR="0">
            <wp:extent cx="6858000" cy="4114800"/>
            <wp:effectExtent t="0" r="0" b="0" l="0"/>
            <wp:docPr id="1" name="职航智管技术架构图" descr="职航智管技术架构图" title="职航智管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2  分层技术架构与独立 AI 服务边界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2.1 运行时服务清单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200"/>
        <w:gridCol w:w="3600"/>
        <w:gridCol w:w="2550"/>
      </w:tblGrid>
      <w:tr>
        <w:trPr>
          <w:tblHeader/>
        </w:trP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技术/镜像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健康检查与故障边界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React + Vite + Nginx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静态资源、路由、SSE 客户端、响应式界面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只负责展示和请求，不执行权限判断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FastAPI + SQLAlchemy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认证、业务 API、Agent 编排、工具授权、审计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健康检查依赖数据库和核心配置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Python Worker + Redis 队列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OCR、ASR、TTS、向量化和抓取任务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任务状态 queued/running/succeeded/failed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db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业务表、会话、消息、向量、审计记录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数据卷持久化，Alembic 管理迁移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BGE-M3 独立服务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文本向量化与语义检索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查询量不大时优先 CPU 稳定运行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ocr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PaddleOCR 独立服务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扫描 PDF 和图片文字识别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所有 PDF 强制进入 OCR 解析链路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speech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FunASR + MeloTTS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语音识别、数字人问题朗读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语音服务可使用 GPU，TTS 默认 CPU</w:t>
            </w:r>
          </w:p>
        </w:tc>
      </w:tr>
      <w:tr>
        <w:tc>
          <w:tcPr>
            <w:tcW w:type="dxa" w:w="12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emotion</w:t>
            </w:r>
          </w:p>
        </w:tc>
        <w:tc>
          <w:tcPr>
            <w:tcW w:type="dxa" w:w="2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YOLO 人脸检测 + 本地表情模型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面试表达稳定度辅助指标</w:t>
            </w:r>
          </w:p>
        </w:tc>
        <w:tc>
          <w:tcPr>
            <w:tcW w:type="dxa" w:w="255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浏览器主动授权，服务只保存统计结果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2.2 一次请求的生命周期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浏览器携带 JWT 和请求幂等键调用 `/api`。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FastAPI 解析用户、角色、资源上下文和请求参数。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读操作直接查询；耗时操作创建 AI 任务并由 Worker 异步处理。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Agent 请求通过会话网关进入主 Agent，产生状态事件和工具候选。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授权网关重新验证角色、资源归属、参数契约和风险等级。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工具执行结果脱敏后写入执行详情、审计日志和业务表。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前端通过 SSE 或查询轮询恢复状态、消息和最终结论。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3. 前端技术实现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3.1 React、TypeScript 与 Vite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前端入口位于 `frontend/src`，以 React 函数组件实现页面，以 TypeScript 为业务数据和接口契约提供静态类型约束，以 Vite 负责开发服务器和生产构建。页面采用路由懒加载，避免所有功能在首屏同时加载。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实现细节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解决的问题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React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页面拆分为学生、辅导员、公共评价、Agent 对话和面试会话组件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降低复杂业务页面的耦合度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接口响应、Agent 事件、面试评分、任务状态均有类型定义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减少字段拼写和状态分支错误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Vite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生产构建输出带哈希的 JS/CSS 资源，Nginx 提供静态文件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提高加载性能，避免旧资源覆盖新资源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按角色保护 `/student/*`、`/counselor/*` 和公开评价路由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实现页面级权限和独立会话页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缓存查询、失效刷新、Mutation 状态和重试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统一处理异步业务数据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Lucide</w:t>
            </w:r>
          </w:p>
        </w:tc>
        <w:tc>
          <w:tcPr>
            <w:tcW w:type="dxa" w:w="4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按钮、导航、状态、风险和业务动作统一使用图标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提高识别效率并保持视觉一致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3.2 页面信息架构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00"/>
      </w:tblGrid>
      <w:tr>
        <w:trPr>
          <w:tblHeader/>
        </w:trP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业务阶段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路由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核心组件/数据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总览与对话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`/student`、`/student/assistant`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工作台指标、持久会话、执行过程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规划成长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`/student/profile`、`/student/plan`、`/student/learning`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画像证据、四周计划、能力雷达和学习证据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求职行动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`/student/jobs`、`/student/intelligence`、`/student/resume`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五维匹配、公开岗位来源、简历解析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面试训练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`/student/interview`、`/student/interview/:sessionId`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配置页与独立对话页、流式评分、语音和摄像头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入职后成长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`/student/workplace`、`/student/workplace/session/:sessionId`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场景状态机、简报、交付物和验收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闭环反馈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`/student/applications`、`/student/employment`、`/student/review`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投递阶段、7/30/90/180 天回访、周复盘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辅导员治理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`/counselor/*`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班级风险、帮扶、就业质量、Agent 统计和审计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3.3 流式对话与前端状态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就业助手使用“乐观用户消息 + 服务端运行状态 + 持久消息恢复”的组合方式。发送后先显示用户消息，随后创建 Agent Run；前端订阅事件 URL，按顺序处理 run.started、agent.started、tool.started、tool.completed、assistant.delta、run.completed 或 run.failed。服务端持久化成功后，TanStack Query 失效并重新读取会话，避免刷新丢消息或同一回答显示两遍。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3.4 面试语音和摄像头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录音：浏览器 MediaRecorder 采集 WebM，上传到 `/interviews/{id}/recordings`，后端创建异步识别任务。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朗读：问题提交到 speech 任务，Worker 调用 MeloTTS，前端轮询 artifact 并通过 audio 播放。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摄像头：用户主动授权后每 2.5 秒采样一次，图片缩放后上传，服务返回人脸存在率、主导表情和表达稳定度。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失败处理：麦克风、摄像头、ASR 或 TTS 不可用时，文字回答仍然可用，页面显示明确错误。</w:t>
      </w:r>
    </w:p>
    <w:p>
      <w:pPr>
        <w:spacing w:after="50" w:before="10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数字人模拟面试真实运行页面" descr="数字人模拟面试真实运行页面" title="数字人模拟面试真实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3  数字人面试会话：中文题目、数字人、进度、评分和摄像头能力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4. 后端与数据层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4.1 FastAPI 与 Pydantic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后端模块位于 `backend/app`，以领域目录组织 students、jobs、resumes、interviews、agents、chat、growth、workplace、employment 和 audit。FastAPI 路由负责 HTTP 边界，Pydantic 模型负责请求体约束和响应序列化，领域 service 负责事务和业务规则。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错误统一转换为带 code、message 和 request_id 的 API 错误。前端可以根据 `chat_run_active`、`request_timeout`、`tool_not_allowed`、`resource_forbidden` 等错误码显示可操作提示，而不是只显示“请求失败”。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4.2 SQLAlchemy、Alembic 与 PostgreSQL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SQLAlchemy ORM 映射业务实体，数据库会话通过 FastAPI 依赖注入获得。写入服务支持由 API 请求或 Agent 编排器控制提交：普通 API 在请求结束提交，Agent 工具只 flush，所有动作结束后统一 commit，失败统一 rollback，避免出现半成品数据。Alembic 迁移文件按版本管理从空库到完整系统的结构变化。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数据域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关键实体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主要作用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身份与权限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User、Role、ClassScope、AuditLog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登录、角色、班级范围、操作审计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学生求职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StudentProfile、ResumeFile、CareerPlanRecord、PlanTask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画像、简历、计划和任务事实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岗位与投递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Job、JobSource、CrawlRun、Application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岗位来源、时效、匹配和状态机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Agent 对话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ChatSession、ChatMessage、AgentRun、ToolCall、ActionProposal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持久会话、运行过程和待确认动作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模拟面试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InterviewSession、InterviewTurn、MediaArtifact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题目计划、回答、评分、音频和情绪汇总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入职闭环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EmploymentRecord、Followup、EmployerInvitation、EmployerReview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回访节点、双向反馈和就业质量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4.3 pgvector 检索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BGE-M3 为简历片段、岗位描述、课程材料和业务知识生成向量，向量写入 PostgreSQL 的 pgvector 列。查询时先按用户权限和业务上下文过滤，再进行相似度检索，最后把来源 ID 和引用片段返回给 Agent。向量只负责召回，不替代业务权限校验。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查询流程：权限过滤 → 文本分段 → BGE-M3 embedding → pgvector 相似度 → 来源重排 → Agent 引用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5. Agent 子系统详解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Agent 子系统由会话网关、主 Agent、专业 Agent、工具目录、动作确认、执行记录和模型 Provider 组成。核心原则是“模型只做规划，后端做授权和执行”。</w:t>
      </w:r>
    </w:p>
    <w:p>
      <w:pPr>
        <w:spacing w:after="50" w:before="100"/>
        <w:jc w:val="center"/>
      </w:pPr>
      <w:r>
        <w:drawing>
          <wp:inline distT="0" distB="0" distL="0" distR="0">
            <wp:extent cx="6858000" cy="4343400"/>
            <wp:effectExtent t="0" r="0" b="0" l="0"/>
            <wp:docPr id="1" name="Agent 请求与工具执行时序图" descr="Agent 请求与工具执行时序图" title="Agent 请求与工具执行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4  Agent 工作流：候选工具必须经过授权网关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5.1 Agent 角色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00"/>
      </w:tblGrid>
      <w:tr>
        <w:trPr>
          <w:tblHeader/>
        </w:trP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输入上下文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主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用户问题、当前会话、业务上下文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意图、执行计划、专业 Agent 路由和综合回答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职业规划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画像、目标岗位、计划任务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优先行动、计划调整建议和依据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岗位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画像、岗位详情、岗位来源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匹配度、差距、投递建议和岗位解释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简历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简历版本、岗位要求、证据片段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修改建议、证据缺口和风险提示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面试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题目计划、回答、历史评分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动态追问、维度评分和改进反馈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辅导员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授权学生范围、风险事实、帮扶记录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干预建议、任务草案和班级汇总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职场训练 Agent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场景简报、交付材料、验收标准</w:t>
            </w:r>
          </w:p>
        </w:tc>
        <w:tc>
          <w:tcPr>
            <w:tcW w:type="dxa" w:w="4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交付物草案、检查清单和复盘建议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5.2 工具目录和最小权限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工具是后端注册的结构化能力，每个工具包含名称、版本、可用角色、适用 Agent、参数 JSON Schema、风险等级、资源范围和执行函数。模型不能通过自然语言创建新工具，也不能把未注册工具写进调用请求。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900"/>
      </w:tblGrid>
      <w:tr>
        <w:trPr>
          <w:tblHeader/>
        </w:trPr>
        <w:tc>
          <w:tcPr>
            <w:tcW w:type="dxa" w:w="2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工具类别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风险策略</w:t>
            </w:r>
          </w:p>
        </w:tc>
      </w:tr>
      <w:tr>
        <w:tc>
          <w:tcPr>
            <w:tcW w:type="dxa" w:w="2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只读工具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profile.get、plan.get、tasks.list、applications.list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通过角色和资源范围后直接执行</w:t>
            </w:r>
          </w:p>
        </w:tc>
      </w:tr>
      <w:tr>
        <w:tc>
          <w:tcPr>
            <w:tcW w:type="dxa" w:w="2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分析工具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jobs.match、knowledge.search、growth.overview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记录引用来源和模型用量</w:t>
            </w:r>
          </w:p>
        </w:tc>
      </w:tr>
      <w:tr>
        <w:tc>
          <w:tcPr>
            <w:tcW w:type="dxa" w:w="2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普通写工具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plan.confirm、task.complete、application.stage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确认模式等待用户；自动模式可执行</w:t>
            </w:r>
          </w:p>
        </w:tc>
      </w:tr>
      <w:tr>
        <w:tc>
          <w:tcPr>
            <w:tcW w:type="dxa" w:w="21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高风险工具</w:t>
            </w:r>
          </w:p>
        </w:tc>
        <w:tc>
          <w:tcPr>
            <w:tcW w:type="dxa" w:w="3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delete、batch_update、external_submit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无论模式都必须二次确认或保持禁用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5.3 会话、事件与动作状态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前端表现</w:t>
            </w:r>
          </w:p>
        </w:tc>
      </w:tr>
      <w:t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queued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运行已创建，等待 Worker 或模型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显示等待队列</w:t>
            </w:r>
          </w:p>
        </w:tc>
      </w:tr>
      <w:t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running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主 Agent 或工具正在处理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逐步显示 Agent/工具事件</w:t>
            </w:r>
          </w:p>
        </w:tc>
      </w:tr>
      <w:t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pending_confirmation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生成了需要用户确认的动作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显示确认、拒绝、撤销按钮</w:t>
            </w:r>
          </w:p>
        </w:tc>
      </w:tr>
      <w:t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succeeded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回答和工具结果已持久化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显示结论、来源和耗时</w:t>
            </w:r>
          </w:p>
        </w:tc>
      </w:tr>
      <w:tr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failed</w:t>
            </w:r>
          </w:p>
        </w:tc>
        <w:tc>
          <w:tcPr>
            <w:tcW w:type="dxa" w:w="4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模型、工具或契约校验失败</w:t>
            </w:r>
          </w:p>
        </w:tc>
        <w:tc>
          <w:tcPr>
            <w:tcW w:type="dxa" w:w="32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显示错误码、原因和重试入口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5.4 Provider 故障转移和用量记录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模型调用通过 OpenAI 兼容客户端抽象，Provider、模型名、超时、重试次数和响应解析彼此分离。正常路径使用配置的在线模型；发生连接超时、401、429 或 5xx 时按策略切换备用 Provider；所有 Provider 都不可用时返回明确错误或本地规则结果，并标注降级状态。每次调用记录 provider、model、输入输出 token、耗时、状态和错误码，便于成本与质量分析。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3E0" w:val="clear"/>
            <w:tcMar>
              <w:top w:type="dxa" w:w="150"/>
              <w:left w:type="dxa" w:w="180"/>
              <w:bottom w:type="dxa" w:w="130"/>
              <w:right w:type="dxa" w:w="18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19"/>
                <w:szCs w:val="19"/>
              </w:rPr>
              <w:t xml:space="preserve">重要边界</w:t>
            </w:r>
          </w:p>
          <w:p>
            <w:pPr>
              <w:spacing w:after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本项目允许 Agent 生成建议和动作提案，但不自动替学生向外部招聘平台投递，不绕过登录、验证码或访问限制。高风险写操作保持人工确认，属于产品安全设计而不是功能缺失。</w:t>
            </w:r>
          </w:p>
        </w:tc>
      </w:tr>
    </w:tbl>
    <w:p>
      <w:pPr>
        <w:spacing w:after="50" w:before="10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就业助手真实运行页面" descr="就业助手真实运行页面" title="就业助手真实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5  就业助手：持久会话、服务状态、执行权限和执行过程同屏可观测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6. AI 和本地模型服务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6.1 在线大模型接口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在线模型通过 OpenAI 兼容协议接入，业务代码不绑定某一家 SDK。配置项包括 base_url、API key、模型名、连接超时、读取超时和备用 Provider。API key 只从环境变量或密钥管理系统读取，不写入前端、不写入日志、不进入技术文档。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6.2 BGE-M3 向量模型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BGE-M3 作为独立 CPU 服务运行，负责中英文混合文本的向量化。文档、简历和岗位被分段后写入向量索引，检索结果带来源和引用片段，Agent 只能引用被检索到的内容。查询量不大时使用 CPU 是稳定性取舍；需要更高吞吐时再切换 GPU。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6.3 PaddleOCR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PDF 解析策略是所有 PDF 强制进入 OCR 链路。文本型 PDF 仍可先提取文字作为快速路径，扫描 PDF 则由 PaddleOCR 识别页面图像；结果进入统一的简历解析结构，记录页码、置信度和解析状态。大文件通过 Worker 异步执行，前端显示 queued/running/succeeded/failed。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6.4 FunASR 与 MeloTTS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FunASR 服务接收录音文件并返回转写文本，学生可以在提交前检查或修改转写内容。MeloTTS 用于数字人问题朗读，音频生成作为异步任务执行，前端在 artifact 可用后播放。两项能力均有降级路径：语音服务不可用时仍可文字回答和阅读题目。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6.5 YOLO 情绪与表达稳定度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摄像头分析不是心理诊断，也不输出“是否适合就业”的结论。浏览器仅在学生主动开启后采样，后端把每帧结果汇总为人脸存在率、主导表情、置信度和表达稳定度；最终报告将其作为可选维度，与内容评分分开计算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推荐运行位置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显存/资源建议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业务失败时的可用路径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BGE-M3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独立 CPU 容器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查询量不大时无需显卡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关键词检索或明确提示向量服务不可用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PaddleOCR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独立 CPU 容器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扫描 PDF 以异步为主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提示解析失败，允许手工录入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FunASR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独立 GPU 容器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RTX 3050 6GB 可运行轻量模型，控制并发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文字回答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MeloTTS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默认 CPU，可切 GPU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单条短音频优先 CPU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直接阅读文字题目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YOLO/表情模型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独立服务</w:t>
            </w:r>
          </w:p>
        </w:tc>
        <w:tc>
          <w:tcPr>
            <w:tcW w:type="dxa" w:w="3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按采样频率限制显存和上传量</w:t>
            </w:r>
          </w:p>
        </w:tc>
        <w:tc>
          <w:tcPr>
            <w:tcW w:type="dxa" w:w="24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不启用摄像头维度</w:t>
            </w:r>
          </w:p>
        </w:tc>
      </w:tr>
    </w:tbl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7. 核心业务状态机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7.1 就业画像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draft → pending_confirmation → confirmed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失败状态：analysis_failed；确认后才写入正式 StudentProfile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7.2 求职计划和任务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plan: generated → pending_confirmation → active → archived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task: pending → in_progress → completed / blocked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7.3 投递状态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saved → applied → assessment → interview → offered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                    ↘ rejected / withdrawn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7.4 模拟面试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active → completed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每轮：question → answer → evaluation → next_question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允许 follow_up，但受 max_follow_ups 和 max_turns 约束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7.5 入职反馈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offered application → EmploymentRecord → day_7/day_30/day_90/day_180 follow-up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student feedback + employer review → moderation → quality analytics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8. 安全、隐私和审计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900"/>
      </w:tblGrid>
      <w:tr>
        <w:trPr>
          <w:tblHeader/>
        </w:trP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控制点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实现方式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验收重点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身份认证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JWT、密码哈希、登录审计、角色保护路由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错误密码不泄露用户是否存在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资源隔离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所有学生资源按 student_id 校验，辅导员按班级范围过滤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跨学生、跨班级访问返回拒绝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工具授权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工具白名单、参数契约、风险等级和资源范围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模型不能扩大工具权限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高风险动作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动作提案、确认/拒绝/撤销、二次确认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删除、批量修改和外部投递默认不自动执行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敏感数据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日志脱敏、简历正文不写入普通日志、企业评价匿名阈值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导出和展示前再次脱敏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一次性邀请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随机令牌、过期时间、提交后失效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重复提交被拒绝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数据保留</w:t>
            </w:r>
          </w:p>
        </w:tc>
        <w:tc>
          <w:tcPr>
            <w:tcW w:type="dxa" w:w="4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审计和业务数据分层保留，文件可迁移 MinIO/S3</w:t>
            </w:r>
          </w:p>
        </w:tc>
        <w:tc>
          <w:tcPr>
            <w:tcW w:type="dxa" w:w="2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定期清理策略可配置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安全设计的关键是“前后端双重校验”。前端按钮隐藏或禁用只能改善体验，不能作为安全边界；真正的角色、归属、参数和风险判断全部在后端完成。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9. 部署与运维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9.1 Docker 全量运行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正式演示推荐 Docker 全量模式，前端、后端、数据库、Redis、Worker、Embedding、OCR、Speech、Emotion、MinIO、Prometheus 和 OpenTelemetry 在同一网络中运行。这样可以避免“本地 8000 只连到部分服务，而 Docker 8080 是另一套系统”的不一致。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cd /d D:\table\ai_jiuye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docker compose up -d --build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docker compose ps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docker compose logs -f backend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9.2 配置分层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800"/>
      </w:tblGrid>
      <w:tr>
        <w:trPr>
          <w:tblHeader/>
        </w:trP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配置类别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典型变量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原则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数据库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DATABASE_URL、POSTGRES_PASSWORD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生产环境使用独立强密码和持久卷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在线模型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OPENAI_BASE_URL、OPENAI_API_KEY、MODEL_NAME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只在后端和 Worker 使用，禁止提交仓库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本地服务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EMBEDDING_URL、OCR_URL、SPEECH_URL、EMOTION_URL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容器内部使用服务名，宿主机只暴露必要端口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存储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STORAGE_BACKEND、MINIO_ENDPOINT、STORAGE_BUCKET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简历、音频和导出文件使用对象存储</w:t>
            </w:r>
          </w:p>
        </w:tc>
      </w:tr>
      <w:tr>
        <w:tc>
          <w:tcPr>
            <w:tcW w:type="dxa" w:w="1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观测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OTEL_EXPORTER_OTLP_ENDPOINT、PROMETHEUS</w:t>
            </w:r>
          </w:p>
        </w:tc>
        <w:tc>
          <w:tcPr>
            <w:tcW w:type="dxa" w:w="3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记录耗时、失败率和模型用量，不记录敏感正文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9.3 端口和健康检查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状态判断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8080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用户访问前端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浏览器能打开登录页，静态资源 200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8000（容器内）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FastAPI API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backend healthy，`/api/health` 正常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8101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BGE-M3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embedding health ready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8102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PaddleOCR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ocr health ready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8103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FunASR/MeloTTS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speech health ready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8104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情绪分析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emotion health ready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5432/6379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PostgreSQL/Redis</w:t>
            </w:r>
          </w:p>
        </w:tc>
        <w:tc>
          <w:tcPr>
            <w:tcW w:type="dxa" w:w="39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容器健康且数据卷存在</w:t>
            </w:r>
          </w:p>
        </w:tc>
      </w:tr>
    </w:tbl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10. 测试与质量保障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10.1 测试层次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覆盖内容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证据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评分量表、题目中文兜底、情绪汇总、工具契约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pytest 领域测试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服务测试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权限、事务、状态机、跨学生和跨班级隔离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FastAPI 测试客户端 + 临时数据库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Agent 回归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工具白名单、执行详情、动作确认、失败重试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Agent 专项测试集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前端构建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TypeScript、Vite、静态资源和路由懒加载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`npm run build`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浏览器 E2E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登录、页面渲染、真实会话、移动端布局和控制台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Playwright/agent-browser 截图与 DOM 快照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部署验收</w:t>
            </w:r>
          </w:p>
        </w:tc>
        <w:tc>
          <w:tcPr>
            <w:tcW w:type="dxa" w:w="50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Docker 服务健康、入口页面、AI 服务状态</w:t>
            </w:r>
          </w:p>
        </w:tc>
        <w:tc>
          <w:tcPr>
            <w:tcW w:type="dxa" w:w="2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`docker compose ps` 和健康检查</w:t>
            </w:r>
          </w:p>
        </w:tc>
      </w:tr>
    </w:tbl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10.2 关键链路验收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上传 PDF → OCR → 简历解析 → 画像草稿 → 学生确认 → Agent 引用。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录音 → FunASR → 学生确认转写 → 面试评分 → MeloTTS 朗读下一题。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岗位来源刷新 → 采集记录 → 新鲜度检查 → 岗位情报 → 五维匹配。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录用投递 → 入职记录 → 7/30/90/180 天回访 → 学生反馈 + 企业评价 → 审核分析。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模型超时/401/429/500 → 重试或 Provider 切换 → 记录真实失败原因。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3E0" w:val="clear"/>
            <w:tcMar>
              <w:top w:type="dxa" w:w="150"/>
              <w:left w:type="dxa" w:w="180"/>
              <w:bottom w:type="dxa" w:w="130"/>
              <w:right w:type="dxa" w:w="18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F766E"/>
                <w:sz w:val="19"/>
                <w:szCs w:val="19"/>
              </w:rPr>
              <w:t xml:space="preserve">当前交付边界</w:t>
            </w:r>
          </w:p>
          <w:p>
            <w:pPr>
              <w:spacing w:after="2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容器 healthy 只代表服务进程可用，不能替代全链路业务验收。生产上线前仍应在目标机器上执行空库迁移、大文件 OCR、噪声音频、并发、限流和模型故障演练。</w:t>
            </w:r>
          </w:p>
        </w:tc>
      </w:tr>
    </w:tbl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11. 监控、成本和扩展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Prometheus 采集 API 请求量、延迟、错误率、队列长度和服务健康状态。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OpenTelemetry 关联 request_id、chat_run_id、tool_call_id 和异步 task_id。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Agent 统计按 Provider、模型、Agent、工具记录调用次数、Token、耗时和失败率。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失败任务进入可重试状态；多次失败后进入死信队列并等待人工处理。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文件和音频从本地目录迁移 MinIO/S3 后，API 只保存 artifact 元数据和访问权限。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并发提升时，通过 Redis 限流、Worker 横向扩展、数据库连接池和向量索引优化控制压力。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12. 项目目录与代码入口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frontend/src/app/                 路由、会话、API 客户端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frontend/src/features/chat/         Agent 对话、执行面板、动作确认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frontend/src/features/student/      学生业务页面、面试和职场训练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frontend/src/features/counselor/    辅导员页面、质量和审计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backend/app/agents/                 Agent 契约、Prompt、Provider、工具授权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backend/app/tools/                  工具目录和工具实现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backend/app/interviews/             面试模型、服务、路由和评分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backend/app/growth/                 学习任务、题库和考试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backend/app/workplace/              入职后场景状态机和交付物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backend/app/employment/             入职记录、回访、企业邀请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backend/alembic/versions/            数据库迁移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services/                             BGE、OCR、Speech、Emotion 独立服务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docker-compose.yml                   全量运行拓扑</w:t>
      </w:r>
    </w:p>
    <w:p>
      <w:pPr>
        <w:pStyle w:val="Heading2"/>
        <w:keepNext/>
        <w:spacing w:after="130" w:before="230" w:line="33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766E"/>
          <w:sz w:val="25"/>
          <w:szCs w:val="25"/>
        </w:rPr>
        <w:t xml:space="preserve">12.1 重要接口示例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/api/chat/sessions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/api/chat/sessions/{id}/messages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GET  /api/chat/runs/{run_id}/events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/api/interviews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/api/interviews/{id}/answers/stream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/api/intelligence/sources/refresh?force=true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/api/jobs/{id}/match</w:t>
      </w:r>
    </w:p>
    <w:p>
      <w:pPr>
        <w:shd w:fill="EEF3ED" w:val="clear"/>
        <w:spacing w:after="30" w:before="3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4238"/>
          <w:sz w:val="17"/>
          <w:szCs w:val="17"/>
        </w:rPr>
        <w:t xml:space="preserve">POST /api/employment/records/{id}/employer-invitations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所有写接口都应携带 Authorization，外部动作还需要确认令牌或动作 ID。接口响应中的 request_id、task_id 和 run_id 用于定位日志和执行详情。</w:t>
      </w:r>
    </w:p>
    <w:p>
      <w:pPr>
        <w:pStyle w:val="Heading1"/>
        <w:keepNext/>
        <w:pageBreakBefore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13. 真实能力与限制说明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300"/>
      </w:tblGrid>
      <w:tr>
        <w:trPr>
          <w:tblHeader/>
        </w:trP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当前实现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10201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不能对外宣称的内容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在线模型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OpenAI 兼容 Provider、超时、重试、切换和用量记录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9FB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不能保证第三方免费额度或长期稳定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公开岗位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来源适配器、刷新、导入、来源和新鲜度记录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不是稳定商业招聘 API，不自动投递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OCR/语音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独立容器和异步任务接口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健康检查通过不等于所有复杂文件和噪声都已覆盖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情绪分析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人脸/表达稳定度辅助维度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不是心理诊断，不用于就业预测或自动淘汰</w:t>
            </w:r>
          </w:p>
        </w:tc>
      </w:tr>
      <w:tr>
        <w:tc>
          <w:tcPr>
            <w:tcW w:type="dxa" w:w="18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Agent 写操作</w:t>
            </w:r>
          </w:p>
        </w:tc>
        <w:tc>
          <w:tcPr>
            <w:tcW w:type="dxa" w:w="45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动作提案、确认、撤销和审计</w:t>
            </w:r>
          </w:p>
        </w:tc>
        <w:tc>
          <w:tcPr>
            <w:tcW w:type="dxa" w:w="3300"/>
            <w:tcBorders>
              <w:top w:val="single" w:color="C8D6C6" w:sz="1"/>
              <w:left w:val="single" w:color="C8D6C6" w:sz="1"/>
              <w:bottom w:val="single" w:color="C8D6C6" w:sz="1"/>
              <w:right w:val="single" w:color="C8D6C6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02015"/>
                <w:sz w:val="18"/>
                <w:szCs w:val="18"/>
              </w:rPr>
              <w:t xml:space="preserve">高风险动作不会无确认自动执行</w:t>
            </w:r>
          </w:p>
        </w:tc>
      </w:tr>
    </w:tbl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在比赛演示中，应明确区分“真实服务调用”“本地规则降级”和“预置演示数据”。任何服务不可用时，页面应显示状态和错误码，不用默认文案伪装为真实分析。</w:t>
      </w:r>
    </w:p>
    <w:p>
      <w:pPr>
        <w:pStyle w:val="Heading1"/>
        <w:keepNext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14. 结论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职航智管的技术重点不是堆叠模型，而是把模型、业务数据、工具授权和人机协作组织成可审计的闭环。React 负责清晰的双端体验，FastAPI 负责业务和 Agent 编排，PostgreSQL/pgvector 负责事实与检索，独立 AI 服务负责 OCR、向量、语音和视觉能力，Docker 和观测组件保证运行可复现。</w:t>
      </w:r>
    </w:p>
    <w:p>
      <w:pPr>
        <w:spacing w:after="14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02015"/>
          <w:sz w:val="21"/>
          <w:szCs w:val="21"/>
        </w:rPr>
        <w:t xml:space="preserve">系统最终交付的价值是：学生知道下一步做什么，辅导员知道为什么要干预，Agent 能解释自己做了什么，学校能够用入职后的真实反馈改进课程和就业服务。</w:t>
      </w:r>
    </w:p>
    <w:p>
      <w:r>
        <w:br w:type="page"/>
      </w:r>
    </w:p>
    <w:p>
      <w:pPr>
        <w:pStyle w:val="Heading1"/>
        <w:keepNext/>
        <w:spacing w:after="180" w:before="30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02015"/>
          <w:sz w:val="31"/>
          <w:szCs w:val="31"/>
        </w:rPr>
        <w:t xml:space="preserve">附录 A：截图索引</w:t>
      </w:r>
    </w:p>
    <w:p>
      <w:pPr>
        <w:spacing w:after="50" w:before="10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岗位情报真实运行界面" descr="岗位情报真实运行界面" title="岗位情报真实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6  岗位情报：公开来源、岗位新鲜度、热门岗位和活跃企业</w:t>
      </w:r>
    </w:p>
    <w:p>
      <w:pPr>
        <w:spacing w:after="50" w:before="100"/>
        <w:jc w:val="center"/>
      </w:pPr>
      <w:r>
        <w:drawing>
          <wp:inline distT="0" distB="0" distL="0" distR="0">
            <wp:extent cx="6858000" cy="4286250"/>
            <wp:effectExtent t="0" r="0" b="0" l="0"/>
            <wp:docPr id="1" name="辅导员班级概览真实运行界面" descr="辅导员班级概览真实运行界面" title="辅导员班级概览真实运行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26051"/>
          <w:sz w:val="17"/>
          <w:szCs w:val="17"/>
        </w:rPr>
        <w:t xml:space="preserve">图 7  辅导员班级概览：风险分布和可解释的学生关注列表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/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051"/>
        <w:sz w:val="16"/>
        <w:szCs w:val="16"/>
      </w:rPr>
      <w:t xml:space="preserve">内部技术资料  |  </w:t>
    </w:r>
    <w:r>
      <w:rPr>
        <w:rFonts w:ascii="Microsoft YaHei" w:cs="Microsoft YaHei" w:eastAsia="Microsoft YaHei" w:hAnsi="Microsoft YaHei"/>
        <w:color w:val="5260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3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26051"/>
        <w:sz w:val="16"/>
        <w:szCs w:val="16"/>
      </w:rPr>
      <w:t xml:space="preserve">职航智管 · 技术说明书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02015"/>
        <w:sz w:val="21"/>
        <w:szCs w:val="21"/>
      </w:rPr>
    </w:rPrDefault>
    <w:pPrDefault>
      <w:pPr>
        <w:spacing w:after="14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102015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30" w:before="230"/>
      <w:outlineLvl w:val="1"/>
    </w:pPr>
    <w:rPr>
      <w:rFonts w:ascii="Microsoft YaHei" w:cs="Microsoft YaHei" w:eastAsia="Microsoft YaHei" w:hAnsi="Microsoft YaHei"/>
      <w:b/>
      <w:bCs/>
      <w:color w:val="0F76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10201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c729fbf479d58d0e1c903ed70890ab4badea95.png"/><Relationship Id="rId10" Type="http://schemas.openxmlformats.org/officeDocument/2006/relationships/image" Target="media/8edec058addd01fc86a50e5c3a43347e1b2c3c5b.png"/><Relationship Id="rId11" Type="http://schemas.openxmlformats.org/officeDocument/2006/relationships/image" Target="media/e55a55dd55418e4bf3b9f9de28e0127b99d759d7.png"/><Relationship Id="rId12" Type="http://schemas.openxmlformats.org/officeDocument/2006/relationships/image" Target="media/91d3c6ed5b9870800bd85b468d1c0af220fab762.png"/><Relationship Id="rId13" Type="http://schemas.openxmlformats.org/officeDocument/2006/relationships/image" Target="media/a0c4d7fcc748baab185fb3bb9a61abe620e43eec.png"/><Relationship Id="rId14" Type="http://schemas.openxmlformats.org/officeDocument/2006/relationships/image" Target="media/8f92899ec6cacba1d92ff53133bd8a98faeaaad7.png"/><Relationship Id="rId15" Type="http://schemas.openxmlformats.org/officeDocument/2006/relationships/image" Target="media/86f65fc4552611361272f3916868353ecb1c204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职航智管技术说明书</dc:title>
  <dc:subject>AI 就业规划与求职事务智能管理平台技术说明书</dc:subject>
  <dc:creator>职航智管项目组</dc:creator>
  <dc:description>系统架构、Agent 工作流、AI 服务、数据模型、部署与测试说明</dc:description>
  <cp:lastModifiedBy>Un-named</cp:lastModifiedBy>
  <cp:revision>1</cp:revision>
  <dcterms:created xsi:type="dcterms:W3CDTF">2026-08-07T13:57:21.168Z</dcterms:created>
  <dcterms:modified xsi:type="dcterms:W3CDTF">2026-08-07T13:57:21.169Z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