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F371B" w14:textId="77777777" w:rsidR="00F01977" w:rsidRPr="00F01977" w:rsidRDefault="00F01977" w:rsidP="00F01977">
      <w:pPr>
        <w:rPr>
          <w:b/>
          <w:bCs/>
        </w:rPr>
      </w:pPr>
      <w:r w:rsidRPr="00F01977">
        <w:rPr>
          <w:b/>
          <w:bCs/>
        </w:rPr>
        <w:t>8. Validation and Comparison</w:t>
      </w:r>
    </w:p>
    <w:p w14:paraId="0D31E958" w14:textId="77777777" w:rsidR="00F01977" w:rsidRPr="00F01977" w:rsidRDefault="00F01977" w:rsidP="00F01977">
      <w:pPr>
        <w:rPr>
          <w:b/>
          <w:bCs/>
        </w:rPr>
      </w:pPr>
      <w:r w:rsidRPr="00F01977">
        <w:rPr>
          <w:b/>
          <w:bCs/>
        </w:rPr>
        <w:t>8.1 Define Key Metrics</w:t>
      </w:r>
    </w:p>
    <w:p w14:paraId="4ED182F9" w14:textId="77777777" w:rsidR="00F01977" w:rsidRPr="00F01977" w:rsidRDefault="00F01977" w:rsidP="00F01977">
      <w:pPr>
        <w:numPr>
          <w:ilvl w:val="0"/>
          <w:numId w:val="1"/>
        </w:numPr>
      </w:pPr>
      <w:r w:rsidRPr="00F01977">
        <w:rPr>
          <w:b/>
          <w:bCs/>
        </w:rPr>
        <w:t>Speed</w:t>
      </w:r>
    </w:p>
    <w:p w14:paraId="569A7887" w14:textId="77777777" w:rsidR="00F01977" w:rsidRPr="00F01977" w:rsidRDefault="00F01977" w:rsidP="00F01977">
      <w:pPr>
        <w:numPr>
          <w:ilvl w:val="1"/>
          <w:numId w:val="1"/>
        </w:numPr>
      </w:pPr>
      <w:r w:rsidRPr="00F01977">
        <w:rPr>
          <w:b/>
          <w:bCs/>
        </w:rPr>
        <w:t>Inference Latency</w:t>
      </w:r>
      <w:r w:rsidRPr="00F01977">
        <w:t>: time for the model (RF/GNN/RL policy) to output an action plan once given a contingency snapshot.</w:t>
      </w:r>
    </w:p>
    <w:p w14:paraId="7F0EA65C" w14:textId="77777777" w:rsidR="00F01977" w:rsidRPr="00F01977" w:rsidRDefault="00F01977" w:rsidP="00F01977">
      <w:pPr>
        <w:numPr>
          <w:ilvl w:val="1"/>
          <w:numId w:val="1"/>
        </w:numPr>
      </w:pPr>
      <w:r w:rsidRPr="00F01977">
        <w:rPr>
          <w:b/>
          <w:bCs/>
        </w:rPr>
        <w:t>End</w:t>
      </w:r>
      <w:r w:rsidRPr="00F01977">
        <w:rPr>
          <w:b/>
          <w:bCs/>
        </w:rPr>
        <w:noBreakHyphen/>
        <w:t>to</w:t>
      </w:r>
      <w:r w:rsidRPr="00F01977">
        <w:rPr>
          <w:b/>
          <w:bCs/>
        </w:rPr>
        <w:noBreakHyphen/>
        <w:t>End Reaction Time</w:t>
      </w:r>
      <w:r w:rsidRPr="00F01977">
        <w:t>: total time from contingency detection → mitigation plan → simulated execution completion.</w:t>
      </w:r>
    </w:p>
    <w:p w14:paraId="70111706" w14:textId="77777777" w:rsidR="00F01977" w:rsidRPr="00F01977" w:rsidRDefault="00F01977" w:rsidP="00F01977">
      <w:pPr>
        <w:numPr>
          <w:ilvl w:val="0"/>
          <w:numId w:val="1"/>
        </w:numPr>
      </w:pPr>
      <w:r w:rsidRPr="00F01977">
        <w:rPr>
          <w:b/>
          <w:bCs/>
        </w:rPr>
        <w:t>Accuracy / Reliability</w:t>
      </w:r>
    </w:p>
    <w:p w14:paraId="5AAD27E8" w14:textId="77777777" w:rsidR="00F01977" w:rsidRPr="00F01977" w:rsidRDefault="00F01977" w:rsidP="00F01977">
      <w:pPr>
        <w:numPr>
          <w:ilvl w:val="1"/>
          <w:numId w:val="1"/>
        </w:numPr>
      </w:pPr>
      <w:r w:rsidRPr="00F01977">
        <w:rPr>
          <w:b/>
          <w:bCs/>
        </w:rPr>
        <w:t>Violation Clearance Rate</w:t>
      </w:r>
      <w:r w:rsidRPr="00F01977">
        <w:t>: fraction of scenarios where all violations are fully resolved (</w:t>
      </w:r>
      <w:proofErr w:type="spellStart"/>
      <w:r w:rsidRPr="00F01977">
        <w:t>post_severity</w:t>
      </w:r>
      <w:proofErr w:type="spellEnd"/>
      <w:r w:rsidRPr="00F01977">
        <w:t xml:space="preserve"> within limits).</w:t>
      </w:r>
    </w:p>
    <w:p w14:paraId="3FE0CA52" w14:textId="77777777" w:rsidR="00F01977" w:rsidRPr="00F01977" w:rsidRDefault="00F01977" w:rsidP="00F01977">
      <w:pPr>
        <w:numPr>
          <w:ilvl w:val="1"/>
          <w:numId w:val="1"/>
        </w:numPr>
      </w:pPr>
      <w:r w:rsidRPr="00F01977">
        <w:rPr>
          <w:b/>
          <w:bCs/>
        </w:rPr>
        <w:t>Residual Severity</w:t>
      </w:r>
      <w:r w:rsidRPr="00F01977">
        <w:t>: average remaining overload (%) or voltage deviation (</w:t>
      </w:r>
      <w:proofErr w:type="spellStart"/>
      <w:r w:rsidRPr="00F01977">
        <w:t>pu</w:t>
      </w:r>
      <w:proofErr w:type="spellEnd"/>
      <w:r w:rsidRPr="00F01977">
        <w:t>) in “uncleared” cases.</w:t>
      </w:r>
    </w:p>
    <w:p w14:paraId="2DBE79DE" w14:textId="77777777" w:rsidR="00F01977" w:rsidRPr="00F01977" w:rsidRDefault="00F01977" w:rsidP="00F01977">
      <w:pPr>
        <w:numPr>
          <w:ilvl w:val="0"/>
          <w:numId w:val="1"/>
        </w:numPr>
      </w:pPr>
      <w:r w:rsidRPr="00F01977">
        <w:rPr>
          <w:b/>
          <w:bCs/>
        </w:rPr>
        <w:t>Economic Efficiency</w:t>
      </w:r>
    </w:p>
    <w:p w14:paraId="7F55F776" w14:textId="77777777" w:rsidR="00F01977" w:rsidRPr="00F01977" w:rsidRDefault="00F01977" w:rsidP="00F01977">
      <w:pPr>
        <w:numPr>
          <w:ilvl w:val="1"/>
          <w:numId w:val="1"/>
        </w:numPr>
      </w:pPr>
      <w:r w:rsidRPr="00F01977">
        <w:rPr>
          <w:b/>
          <w:bCs/>
        </w:rPr>
        <w:t>Total Mitigation Cost</w:t>
      </w:r>
      <w:r w:rsidRPr="00F01977">
        <w:t xml:space="preserve">: sum of fuel, </w:t>
      </w:r>
      <w:proofErr w:type="spellStart"/>
      <w:r w:rsidRPr="00F01977">
        <w:t>VoLL</w:t>
      </w:r>
      <w:proofErr w:type="spellEnd"/>
      <w:r w:rsidRPr="00F01977">
        <w:t>, startup, and equipment wear for each scenario.</w:t>
      </w:r>
    </w:p>
    <w:p w14:paraId="20036474" w14:textId="77777777" w:rsidR="00F01977" w:rsidRPr="00F01977" w:rsidRDefault="00F01977" w:rsidP="00F01977">
      <w:pPr>
        <w:numPr>
          <w:ilvl w:val="1"/>
          <w:numId w:val="1"/>
        </w:numPr>
      </w:pPr>
      <w:r w:rsidRPr="00F01977">
        <w:rPr>
          <w:b/>
          <w:bCs/>
        </w:rPr>
        <w:t>Cost per Cleared Scenario</w:t>
      </w:r>
      <w:r w:rsidRPr="00F01977">
        <w:t>: total cost divided by number of cleared scenarios.</w:t>
      </w:r>
    </w:p>
    <w:p w14:paraId="3D316FE9" w14:textId="77777777" w:rsidR="00F01977" w:rsidRPr="00F01977" w:rsidRDefault="00F01977" w:rsidP="00F01977">
      <w:pPr>
        <w:numPr>
          <w:ilvl w:val="1"/>
          <w:numId w:val="1"/>
        </w:numPr>
      </w:pPr>
      <w:r w:rsidRPr="00F01977">
        <w:rPr>
          <w:b/>
          <w:bCs/>
        </w:rPr>
        <w:t>Cost Savings</w:t>
      </w:r>
      <w:r w:rsidRPr="00F01977">
        <w:t>: difference in cost between ML policy and rule</w:t>
      </w:r>
      <w:r w:rsidRPr="00F01977">
        <w:noBreakHyphen/>
        <w:t>based baseline.</w:t>
      </w:r>
    </w:p>
    <w:p w14:paraId="2C9F1935" w14:textId="77777777" w:rsidR="00F01977" w:rsidRPr="00F01977" w:rsidRDefault="00F01977" w:rsidP="00F01977">
      <w:pPr>
        <w:numPr>
          <w:ilvl w:val="0"/>
          <w:numId w:val="1"/>
        </w:numPr>
      </w:pPr>
      <w:r w:rsidRPr="00F01977">
        <w:rPr>
          <w:b/>
          <w:bCs/>
        </w:rPr>
        <w:t>Plan Quality</w:t>
      </w:r>
    </w:p>
    <w:p w14:paraId="6E96DEBE" w14:textId="77777777" w:rsidR="00F01977" w:rsidRPr="00F01977" w:rsidRDefault="00F01977" w:rsidP="00F01977">
      <w:pPr>
        <w:numPr>
          <w:ilvl w:val="1"/>
          <w:numId w:val="1"/>
        </w:numPr>
      </w:pPr>
      <w:r w:rsidRPr="00F01977">
        <w:rPr>
          <w:b/>
          <w:bCs/>
        </w:rPr>
        <w:t>Plan Length</w:t>
      </w:r>
      <w:r w:rsidRPr="00F01977">
        <w:t>: number of steps in the mitigation sequence (favoring shorter, simpler plans).</w:t>
      </w:r>
    </w:p>
    <w:p w14:paraId="2CEC0CB8" w14:textId="77777777" w:rsidR="00F01977" w:rsidRPr="00F01977" w:rsidRDefault="00F01977" w:rsidP="00F01977">
      <w:pPr>
        <w:numPr>
          <w:ilvl w:val="1"/>
          <w:numId w:val="1"/>
        </w:numPr>
      </w:pPr>
      <w:r w:rsidRPr="00F01977">
        <w:rPr>
          <w:b/>
          <w:bCs/>
        </w:rPr>
        <w:t>Environmental Impact</w:t>
      </w:r>
      <w:r w:rsidRPr="00F01977">
        <w:t>: CO₂ emissions or other metrics per plan.</w:t>
      </w:r>
    </w:p>
    <w:p w14:paraId="76B0C5AF" w14:textId="77777777" w:rsidR="00F01977" w:rsidRPr="00F01977" w:rsidRDefault="00F01977" w:rsidP="00F01977">
      <w:r w:rsidRPr="00F01977">
        <w:pict w14:anchorId="0FFB0A6E">
          <v:rect id="_x0000_i1061" style="width:0;height:1.5pt" o:hralign="center" o:hrstd="t" o:hr="t" fillcolor="#a0a0a0" stroked="f"/>
        </w:pict>
      </w:r>
    </w:p>
    <w:p w14:paraId="769CB86B" w14:textId="77777777" w:rsidR="00F01977" w:rsidRPr="00F01977" w:rsidRDefault="00F01977" w:rsidP="00F01977">
      <w:pPr>
        <w:rPr>
          <w:b/>
          <w:bCs/>
        </w:rPr>
      </w:pPr>
      <w:r w:rsidRPr="00F01977">
        <w:rPr>
          <w:b/>
          <w:bCs/>
        </w:rPr>
        <w:t>8.2 Experimental Design</w:t>
      </w:r>
    </w:p>
    <w:p w14:paraId="755BC5CC" w14:textId="77777777" w:rsidR="00F01977" w:rsidRPr="00F01977" w:rsidRDefault="00F01977" w:rsidP="00F01977">
      <w:pPr>
        <w:numPr>
          <w:ilvl w:val="0"/>
          <w:numId w:val="2"/>
        </w:numPr>
      </w:pPr>
      <w:r w:rsidRPr="00F01977">
        <w:rPr>
          <w:b/>
          <w:bCs/>
        </w:rPr>
        <w:t>Dataset Split</w:t>
      </w:r>
    </w:p>
    <w:p w14:paraId="5CC016B9" w14:textId="77777777" w:rsidR="00F01977" w:rsidRPr="00F01977" w:rsidRDefault="00F01977" w:rsidP="00F01977">
      <w:pPr>
        <w:numPr>
          <w:ilvl w:val="1"/>
          <w:numId w:val="2"/>
        </w:numPr>
      </w:pPr>
      <w:r w:rsidRPr="00F01977">
        <w:rPr>
          <w:b/>
          <w:bCs/>
        </w:rPr>
        <w:t>Training Set</w:t>
      </w:r>
      <w:r w:rsidRPr="00F01977">
        <w:t>: 70% of scenarios (all types) for model training.</w:t>
      </w:r>
    </w:p>
    <w:p w14:paraId="50349B89" w14:textId="77777777" w:rsidR="00F01977" w:rsidRPr="00F01977" w:rsidRDefault="00F01977" w:rsidP="00F01977">
      <w:pPr>
        <w:numPr>
          <w:ilvl w:val="1"/>
          <w:numId w:val="2"/>
        </w:numPr>
      </w:pPr>
      <w:r w:rsidRPr="00F01977">
        <w:rPr>
          <w:b/>
          <w:bCs/>
        </w:rPr>
        <w:t>Validation Set</w:t>
      </w:r>
      <w:r w:rsidRPr="00F01977">
        <w:t>: 10% for hyperparameter tuning.</w:t>
      </w:r>
    </w:p>
    <w:p w14:paraId="0D3FB8EE" w14:textId="77777777" w:rsidR="00F01977" w:rsidRPr="00F01977" w:rsidRDefault="00F01977" w:rsidP="00F01977">
      <w:pPr>
        <w:numPr>
          <w:ilvl w:val="1"/>
          <w:numId w:val="2"/>
        </w:numPr>
      </w:pPr>
      <w:r w:rsidRPr="00F01977">
        <w:rPr>
          <w:b/>
          <w:bCs/>
        </w:rPr>
        <w:t>Held</w:t>
      </w:r>
      <w:r w:rsidRPr="00F01977">
        <w:rPr>
          <w:b/>
          <w:bCs/>
        </w:rPr>
        <w:noBreakHyphen/>
        <w:t>Out Test Set</w:t>
      </w:r>
      <w:r w:rsidRPr="00F01977">
        <w:t>: 20% unseen scenarios for final evaluation—balanced across N</w:t>
      </w:r>
      <w:r w:rsidRPr="00F01977">
        <w:noBreakHyphen/>
        <w:t>1 and N</w:t>
      </w:r>
      <w:r w:rsidRPr="00F01977">
        <w:noBreakHyphen/>
        <w:t>2.</w:t>
      </w:r>
    </w:p>
    <w:p w14:paraId="60A633FD" w14:textId="77777777" w:rsidR="00F01977" w:rsidRPr="00F01977" w:rsidRDefault="00F01977" w:rsidP="00F01977">
      <w:pPr>
        <w:numPr>
          <w:ilvl w:val="0"/>
          <w:numId w:val="2"/>
        </w:numPr>
      </w:pPr>
      <w:r w:rsidRPr="00F01977">
        <w:rPr>
          <w:b/>
          <w:bCs/>
        </w:rPr>
        <w:t>Baseline Generation</w:t>
      </w:r>
    </w:p>
    <w:p w14:paraId="63254D38" w14:textId="77777777" w:rsidR="00F01977" w:rsidRPr="00F01977" w:rsidRDefault="00F01977" w:rsidP="00F01977">
      <w:pPr>
        <w:numPr>
          <w:ilvl w:val="1"/>
          <w:numId w:val="2"/>
        </w:numPr>
      </w:pPr>
      <w:r w:rsidRPr="00F01977">
        <w:rPr>
          <w:b/>
          <w:bCs/>
        </w:rPr>
        <w:t>Rule</w:t>
      </w:r>
      <w:r w:rsidRPr="00F01977">
        <w:rPr>
          <w:b/>
          <w:bCs/>
        </w:rPr>
        <w:noBreakHyphen/>
        <w:t>Based Engine</w:t>
      </w:r>
      <w:r w:rsidRPr="00F01977">
        <w:t>: use your existing mitigation rules to generate plans for every test scenario.</w:t>
      </w:r>
    </w:p>
    <w:p w14:paraId="29105528" w14:textId="77777777" w:rsidR="00F01977" w:rsidRPr="00F01977" w:rsidRDefault="00F01977" w:rsidP="00F01977">
      <w:pPr>
        <w:numPr>
          <w:ilvl w:val="1"/>
          <w:numId w:val="2"/>
        </w:numPr>
      </w:pPr>
      <w:r w:rsidRPr="00F01977">
        <w:t>Record all metrics (speed, clearance, cost, plan length).</w:t>
      </w:r>
    </w:p>
    <w:p w14:paraId="729FA403" w14:textId="77777777" w:rsidR="00F01977" w:rsidRPr="00F01977" w:rsidRDefault="00F01977" w:rsidP="00F01977">
      <w:pPr>
        <w:numPr>
          <w:ilvl w:val="0"/>
          <w:numId w:val="2"/>
        </w:numPr>
      </w:pPr>
      <w:r w:rsidRPr="00F01977">
        <w:rPr>
          <w:b/>
          <w:bCs/>
        </w:rPr>
        <w:lastRenderedPageBreak/>
        <w:t>ML Policy Inference</w:t>
      </w:r>
    </w:p>
    <w:p w14:paraId="7164080A" w14:textId="77777777" w:rsidR="00F01977" w:rsidRPr="00F01977" w:rsidRDefault="00F01977" w:rsidP="00F01977">
      <w:pPr>
        <w:numPr>
          <w:ilvl w:val="1"/>
          <w:numId w:val="2"/>
        </w:numPr>
      </w:pPr>
      <w:r w:rsidRPr="00F01977">
        <w:rPr>
          <w:b/>
          <w:bCs/>
        </w:rPr>
        <w:t>RF / GNN</w:t>
      </w:r>
      <w:r w:rsidRPr="00F01977">
        <w:t>: feed test scenarios into the trained classifier/regressor.</w:t>
      </w:r>
    </w:p>
    <w:p w14:paraId="259558B4" w14:textId="77777777" w:rsidR="00F01977" w:rsidRPr="00F01977" w:rsidRDefault="00F01977" w:rsidP="00F01977">
      <w:pPr>
        <w:numPr>
          <w:ilvl w:val="1"/>
          <w:numId w:val="2"/>
        </w:numPr>
      </w:pPr>
      <w:r w:rsidRPr="00F01977">
        <w:rPr>
          <w:b/>
          <w:bCs/>
        </w:rPr>
        <w:t>RL Agent</w:t>
      </w:r>
      <w:r w:rsidRPr="00F01977">
        <w:t>: run each test scenario as an episode in the Gym environment, retrieving the learned policy’s plan.</w:t>
      </w:r>
    </w:p>
    <w:p w14:paraId="6D78A89C" w14:textId="77777777" w:rsidR="00F01977" w:rsidRPr="00F01977" w:rsidRDefault="00F01977" w:rsidP="00F01977">
      <w:pPr>
        <w:numPr>
          <w:ilvl w:val="0"/>
          <w:numId w:val="2"/>
        </w:numPr>
      </w:pPr>
      <w:r w:rsidRPr="00F01977">
        <w:rPr>
          <w:b/>
          <w:bCs/>
        </w:rPr>
        <w:t>Simulation of Plans</w:t>
      </w:r>
    </w:p>
    <w:p w14:paraId="48E963DB" w14:textId="77777777" w:rsidR="00F01977" w:rsidRPr="00F01977" w:rsidRDefault="00F01977" w:rsidP="00F01977">
      <w:pPr>
        <w:numPr>
          <w:ilvl w:val="1"/>
          <w:numId w:val="2"/>
        </w:numPr>
      </w:pPr>
      <w:r w:rsidRPr="00F01977">
        <w:t xml:space="preserve">For each policy’s recommended plan, </w:t>
      </w:r>
      <w:r w:rsidRPr="00F01977">
        <w:rPr>
          <w:b/>
          <w:bCs/>
        </w:rPr>
        <w:t>execute</w:t>
      </w:r>
      <w:r w:rsidRPr="00F01977">
        <w:t xml:space="preserve"> the same plan in your </w:t>
      </w:r>
      <w:proofErr w:type="spellStart"/>
      <w:r w:rsidRPr="00F01977">
        <w:t>pandapower</w:t>
      </w:r>
      <w:proofErr w:type="spellEnd"/>
      <w:r w:rsidRPr="00F01977">
        <w:t xml:space="preserve"> simulation to measure true </w:t>
      </w:r>
      <w:proofErr w:type="spellStart"/>
      <w:r w:rsidRPr="00F01977">
        <w:t>post_severity</w:t>
      </w:r>
      <w:proofErr w:type="spellEnd"/>
      <w:r w:rsidRPr="00F01977">
        <w:t xml:space="preserve">, </w:t>
      </w:r>
      <w:proofErr w:type="spellStart"/>
      <w:r w:rsidRPr="00F01977">
        <w:t>economic_cost</w:t>
      </w:r>
      <w:proofErr w:type="spellEnd"/>
      <w:r w:rsidRPr="00F01977">
        <w:t xml:space="preserve">, and </w:t>
      </w:r>
      <w:proofErr w:type="spellStart"/>
      <w:r w:rsidRPr="00F01977">
        <w:t>execution_time_s</w:t>
      </w:r>
      <w:proofErr w:type="spellEnd"/>
      <w:r w:rsidRPr="00F01977">
        <w:t>.</w:t>
      </w:r>
    </w:p>
    <w:p w14:paraId="3CA893B6" w14:textId="77777777" w:rsidR="00F01977" w:rsidRPr="00F01977" w:rsidRDefault="00F01977" w:rsidP="00F01977">
      <w:r w:rsidRPr="00F01977">
        <w:pict w14:anchorId="2CCBC84C">
          <v:rect id="_x0000_i1062" style="width:0;height:1.5pt" o:hralign="center" o:hrstd="t" o:hr="t" fillcolor="#a0a0a0" stroked="f"/>
        </w:pict>
      </w:r>
    </w:p>
    <w:p w14:paraId="2A378E13" w14:textId="77777777" w:rsidR="00F01977" w:rsidRPr="00F01977" w:rsidRDefault="00F01977" w:rsidP="00F01977">
      <w:pPr>
        <w:rPr>
          <w:b/>
          <w:bCs/>
        </w:rPr>
      </w:pPr>
      <w:r w:rsidRPr="00F01977">
        <w:rPr>
          <w:b/>
          <w:bCs/>
        </w:rPr>
        <w:t>8.3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gridCol w:w="1829"/>
        <w:gridCol w:w="2997"/>
        <w:gridCol w:w="2117"/>
      </w:tblGrid>
      <w:tr w:rsidR="00F01977" w:rsidRPr="00F01977" w14:paraId="0758A616" w14:textId="77777777" w:rsidTr="00F01977">
        <w:trPr>
          <w:tblHeader/>
          <w:tblCellSpacing w:w="15" w:type="dxa"/>
        </w:trPr>
        <w:tc>
          <w:tcPr>
            <w:tcW w:w="0" w:type="auto"/>
            <w:vAlign w:val="center"/>
            <w:hideMark/>
          </w:tcPr>
          <w:p w14:paraId="30524A64" w14:textId="77777777" w:rsidR="00F01977" w:rsidRPr="00F01977" w:rsidRDefault="00F01977" w:rsidP="00F01977">
            <w:pPr>
              <w:rPr>
                <w:b/>
                <w:bCs/>
              </w:rPr>
            </w:pPr>
            <w:r w:rsidRPr="00F01977">
              <w:rPr>
                <w:b/>
                <w:bCs/>
              </w:rPr>
              <w:t>Metric</w:t>
            </w:r>
          </w:p>
        </w:tc>
        <w:tc>
          <w:tcPr>
            <w:tcW w:w="0" w:type="auto"/>
            <w:vAlign w:val="center"/>
            <w:hideMark/>
          </w:tcPr>
          <w:p w14:paraId="5FFCAFD9" w14:textId="77777777" w:rsidR="00F01977" w:rsidRPr="00F01977" w:rsidRDefault="00F01977" w:rsidP="00F01977">
            <w:pPr>
              <w:rPr>
                <w:b/>
                <w:bCs/>
              </w:rPr>
            </w:pPr>
            <w:r w:rsidRPr="00F01977">
              <w:rPr>
                <w:b/>
                <w:bCs/>
              </w:rPr>
              <w:t>Rule</w:t>
            </w:r>
            <w:r w:rsidRPr="00F01977">
              <w:rPr>
                <w:b/>
                <w:bCs/>
              </w:rPr>
              <w:noBreakHyphen/>
              <w:t>Based Baseline</w:t>
            </w:r>
          </w:p>
        </w:tc>
        <w:tc>
          <w:tcPr>
            <w:tcW w:w="0" w:type="auto"/>
            <w:vAlign w:val="center"/>
            <w:hideMark/>
          </w:tcPr>
          <w:p w14:paraId="7BF309A5" w14:textId="77777777" w:rsidR="00F01977" w:rsidRPr="00F01977" w:rsidRDefault="00F01977" w:rsidP="00F01977">
            <w:pPr>
              <w:rPr>
                <w:b/>
                <w:bCs/>
              </w:rPr>
            </w:pPr>
            <w:r w:rsidRPr="00F01977">
              <w:rPr>
                <w:b/>
                <w:bCs/>
              </w:rPr>
              <w:t>ML Policy</w:t>
            </w:r>
          </w:p>
        </w:tc>
        <w:tc>
          <w:tcPr>
            <w:tcW w:w="0" w:type="auto"/>
            <w:vAlign w:val="center"/>
            <w:hideMark/>
          </w:tcPr>
          <w:p w14:paraId="35C5FBC6" w14:textId="77777777" w:rsidR="00F01977" w:rsidRPr="00F01977" w:rsidRDefault="00F01977" w:rsidP="00F01977">
            <w:pPr>
              <w:rPr>
                <w:b/>
                <w:bCs/>
              </w:rPr>
            </w:pPr>
            <w:r w:rsidRPr="00F01977">
              <w:rPr>
                <w:b/>
                <w:bCs/>
              </w:rPr>
              <w:t>Improvement</w:t>
            </w:r>
          </w:p>
        </w:tc>
      </w:tr>
      <w:tr w:rsidR="00F01977" w:rsidRPr="00F01977" w14:paraId="321D2B9D" w14:textId="77777777" w:rsidTr="00F01977">
        <w:trPr>
          <w:tblCellSpacing w:w="15" w:type="dxa"/>
        </w:trPr>
        <w:tc>
          <w:tcPr>
            <w:tcW w:w="0" w:type="auto"/>
            <w:vAlign w:val="center"/>
            <w:hideMark/>
          </w:tcPr>
          <w:p w14:paraId="6EE85495" w14:textId="77777777" w:rsidR="00F01977" w:rsidRPr="00F01977" w:rsidRDefault="00F01977" w:rsidP="00F01977">
            <w:r w:rsidRPr="00F01977">
              <w:t>Average Inference Latency</w:t>
            </w:r>
          </w:p>
        </w:tc>
        <w:tc>
          <w:tcPr>
            <w:tcW w:w="0" w:type="auto"/>
            <w:vAlign w:val="center"/>
            <w:hideMark/>
          </w:tcPr>
          <w:p w14:paraId="6201D9FA" w14:textId="77777777" w:rsidR="00F01977" w:rsidRPr="00F01977" w:rsidRDefault="00F01977" w:rsidP="00F01977">
            <w:r w:rsidRPr="00F01977">
              <w:t>e.g. 50 </w:t>
            </w:r>
            <w:proofErr w:type="spellStart"/>
            <w:r w:rsidRPr="00F01977">
              <w:t>ms</w:t>
            </w:r>
            <w:proofErr w:type="spellEnd"/>
          </w:p>
        </w:tc>
        <w:tc>
          <w:tcPr>
            <w:tcW w:w="0" w:type="auto"/>
            <w:vAlign w:val="center"/>
            <w:hideMark/>
          </w:tcPr>
          <w:p w14:paraId="7C1443C7" w14:textId="77777777" w:rsidR="00F01977" w:rsidRPr="00F01977" w:rsidRDefault="00F01977" w:rsidP="00F01977">
            <w:r w:rsidRPr="00F01977">
              <w:t>RF: 5 </w:t>
            </w:r>
            <w:proofErr w:type="spellStart"/>
            <w:r w:rsidRPr="00F01977">
              <w:t>ms</w:t>
            </w:r>
            <w:proofErr w:type="spellEnd"/>
            <w:r w:rsidRPr="00F01977">
              <w:t xml:space="preserve"> / GNN: 30 </w:t>
            </w:r>
            <w:proofErr w:type="spellStart"/>
            <w:r w:rsidRPr="00F01977">
              <w:t>ms</w:t>
            </w:r>
            <w:proofErr w:type="spellEnd"/>
            <w:r w:rsidRPr="00F01977">
              <w:t xml:space="preserve"> / RL: 100 </w:t>
            </w:r>
            <w:proofErr w:type="spellStart"/>
            <w:r w:rsidRPr="00F01977">
              <w:t>ms</w:t>
            </w:r>
            <w:proofErr w:type="spellEnd"/>
          </w:p>
        </w:tc>
        <w:tc>
          <w:tcPr>
            <w:tcW w:w="0" w:type="auto"/>
            <w:vAlign w:val="center"/>
            <w:hideMark/>
          </w:tcPr>
          <w:p w14:paraId="30792214" w14:textId="77777777" w:rsidR="00F01977" w:rsidRPr="00F01977" w:rsidRDefault="00F01977" w:rsidP="00F01977">
            <w:r w:rsidRPr="00F01977">
              <w:t>–90% / –40% / +100%</w:t>
            </w:r>
          </w:p>
        </w:tc>
      </w:tr>
      <w:tr w:rsidR="00F01977" w:rsidRPr="00F01977" w14:paraId="0353F65C" w14:textId="77777777" w:rsidTr="00F01977">
        <w:trPr>
          <w:tblCellSpacing w:w="15" w:type="dxa"/>
        </w:trPr>
        <w:tc>
          <w:tcPr>
            <w:tcW w:w="0" w:type="auto"/>
            <w:vAlign w:val="center"/>
            <w:hideMark/>
          </w:tcPr>
          <w:p w14:paraId="241EF16A" w14:textId="77777777" w:rsidR="00F01977" w:rsidRPr="00F01977" w:rsidRDefault="00F01977" w:rsidP="00F01977">
            <w:r w:rsidRPr="00F01977">
              <w:t>Violation Clearance Rate</w:t>
            </w:r>
          </w:p>
        </w:tc>
        <w:tc>
          <w:tcPr>
            <w:tcW w:w="0" w:type="auto"/>
            <w:vAlign w:val="center"/>
            <w:hideMark/>
          </w:tcPr>
          <w:p w14:paraId="52203F02" w14:textId="77777777" w:rsidR="00F01977" w:rsidRPr="00F01977" w:rsidRDefault="00F01977" w:rsidP="00F01977">
            <w:r w:rsidRPr="00F01977">
              <w:t>92%</w:t>
            </w:r>
          </w:p>
        </w:tc>
        <w:tc>
          <w:tcPr>
            <w:tcW w:w="0" w:type="auto"/>
            <w:vAlign w:val="center"/>
            <w:hideMark/>
          </w:tcPr>
          <w:p w14:paraId="3A1DFEDA" w14:textId="77777777" w:rsidR="00F01977" w:rsidRPr="00F01977" w:rsidRDefault="00F01977" w:rsidP="00F01977">
            <w:r w:rsidRPr="00F01977">
              <w:t>RF: 93% / GNN: 95% / RL: 97%</w:t>
            </w:r>
          </w:p>
        </w:tc>
        <w:tc>
          <w:tcPr>
            <w:tcW w:w="0" w:type="auto"/>
            <w:vAlign w:val="center"/>
            <w:hideMark/>
          </w:tcPr>
          <w:p w14:paraId="2BC6C3D8" w14:textId="77777777" w:rsidR="00F01977" w:rsidRPr="00F01977" w:rsidRDefault="00F01977" w:rsidP="00F01977">
            <w:r w:rsidRPr="00F01977">
              <w:t>+1% / +3% / +5%</w:t>
            </w:r>
          </w:p>
        </w:tc>
      </w:tr>
      <w:tr w:rsidR="00F01977" w:rsidRPr="00F01977" w14:paraId="358A19BB" w14:textId="77777777" w:rsidTr="00F01977">
        <w:trPr>
          <w:tblCellSpacing w:w="15" w:type="dxa"/>
        </w:trPr>
        <w:tc>
          <w:tcPr>
            <w:tcW w:w="0" w:type="auto"/>
            <w:vAlign w:val="center"/>
            <w:hideMark/>
          </w:tcPr>
          <w:p w14:paraId="471EE670" w14:textId="77777777" w:rsidR="00F01977" w:rsidRPr="00F01977" w:rsidRDefault="00F01977" w:rsidP="00F01977">
            <w:r w:rsidRPr="00F01977">
              <w:t>Mean Total Cost ($)</w:t>
            </w:r>
          </w:p>
        </w:tc>
        <w:tc>
          <w:tcPr>
            <w:tcW w:w="0" w:type="auto"/>
            <w:vAlign w:val="center"/>
            <w:hideMark/>
          </w:tcPr>
          <w:p w14:paraId="077B2751" w14:textId="77777777" w:rsidR="00F01977" w:rsidRPr="00F01977" w:rsidRDefault="00F01977" w:rsidP="00F01977">
            <w:r w:rsidRPr="00F01977">
              <w:t>10 200</w:t>
            </w:r>
          </w:p>
        </w:tc>
        <w:tc>
          <w:tcPr>
            <w:tcW w:w="0" w:type="auto"/>
            <w:vAlign w:val="center"/>
            <w:hideMark/>
          </w:tcPr>
          <w:p w14:paraId="1AA003A1" w14:textId="77777777" w:rsidR="00F01977" w:rsidRPr="00F01977" w:rsidRDefault="00F01977" w:rsidP="00F01977">
            <w:r w:rsidRPr="00F01977">
              <w:t>RF: 9 800 / GNN: 9 500 / RL: 9 000</w:t>
            </w:r>
          </w:p>
        </w:tc>
        <w:tc>
          <w:tcPr>
            <w:tcW w:w="0" w:type="auto"/>
            <w:vAlign w:val="center"/>
            <w:hideMark/>
          </w:tcPr>
          <w:p w14:paraId="07B7E99E" w14:textId="77777777" w:rsidR="00F01977" w:rsidRPr="00F01977" w:rsidRDefault="00F01977" w:rsidP="00F01977">
            <w:r w:rsidRPr="00F01977">
              <w:t>–3.9% / –6.9% / –11.8%</w:t>
            </w:r>
          </w:p>
        </w:tc>
      </w:tr>
      <w:tr w:rsidR="00F01977" w:rsidRPr="00F01977" w14:paraId="1A8F2797" w14:textId="77777777" w:rsidTr="00F01977">
        <w:trPr>
          <w:tblCellSpacing w:w="15" w:type="dxa"/>
        </w:trPr>
        <w:tc>
          <w:tcPr>
            <w:tcW w:w="0" w:type="auto"/>
            <w:vAlign w:val="center"/>
            <w:hideMark/>
          </w:tcPr>
          <w:p w14:paraId="0E09F1C7" w14:textId="77777777" w:rsidR="00F01977" w:rsidRPr="00F01977" w:rsidRDefault="00F01977" w:rsidP="00F01977">
            <w:r w:rsidRPr="00F01977">
              <w:t>Average Plan Length (steps)</w:t>
            </w:r>
          </w:p>
        </w:tc>
        <w:tc>
          <w:tcPr>
            <w:tcW w:w="0" w:type="auto"/>
            <w:vAlign w:val="center"/>
            <w:hideMark/>
          </w:tcPr>
          <w:p w14:paraId="2E8D26C7" w14:textId="77777777" w:rsidR="00F01977" w:rsidRPr="00F01977" w:rsidRDefault="00F01977" w:rsidP="00F01977">
            <w:r w:rsidRPr="00F01977">
              <w:t>3</w:t>
            </w:r>
          </w:p>
        </w:tc>
        <w:tc>
          <w:tcPr>
            <w:tcW w:w="0" w:type="auto"/>
            <w:vAlign w:val="center"/>
            <w:hideMark/>
          </w:tcPr>
          <w:p w14:paraId="78155EB5" w14:textId="77777777" w:rsidR="00F01977" w:rsidRPr="00F01977" w:rsidRDefault="00F01977" w:rsidP="00F01977">
            <w:r w:rsidRPr="00F01977">
              <w:t>RF: 1 (single step) / GNN: 1 / RL: 2</w:t>
            </w:r>
          </w:p>
        </w:tc>
        <w:tc>
          <w:tcPr>
            <w:tcW w:w="0" w:type="auto"/>
            <w:vAlign w:val="center"/>
            <w:hideMark/>
          </w:tcPr>
          <w:p w14:paraId="66DF2B5B" w14:textId="77777777" w:rsidR="00F01977" w:rsidRPr="00F01977" w:rsidRDefault="00F01977" w:rsidP="00F01977">
            <w:r w:rsidRPr="00F01977">
              <w:t>–67% / –67% / –33%</w:t>
            </w:r>
          </w:p>
        </w:tc>
      </w:tr>
      <w:tr w:rsidR="00F01977" w:rsidRPr="00F01977" w14:paraId="08B2428E" w14:textId="77777777" w:rsidTr="00F01977">
        <w:trPr>
          <w:tblCellSpacing w:w="15" w:type="dxa"/>
        </w:trPr>
        <w:tc>
          <w:tcPr>
            <w:tcW w:w="0" w:type="auto"/>
            <w:vAlign w:val="center"/>
            <w:hideMark/>
          </w:tcPr>
          <w:p w14:paraId="00EE840E" w14:textId="77777777" w:rsidR="00F01977" w:rsidRPr="00F01977" w:rsidRDefault="00F01977" w:rsidP="00F01977">
            <w:r w:rsidRPr="00F01977">
              <w:t>Mean CO₂ (kg)</w:t>
            </w:r>
          </w:p>
        </w:tc>
        <w:tc>
          <w:tcPr>
            <w:tcW w:w="0" w:type="auto"/>
            <w:vAlign w:val="center"/>
            <w:hideMark/>
          </w:tcPr>
          <w:p w14:paraId="594CC967" w14:textId="77777777" w:rsidR="00F01977" w:rsidRPr="00F01977" w:rsidRDefault="00F01977" w:rsidP="00F01977">
            <w:r w:rsidRPr="00F01977">
              <w:t>500</w:t>
            </w:r>
          </w:p>
        </w:tc>
        <w:tc>
          <w:tcPr>
            <w:tcW w:w="0" w:type="auto"/>
            <w:vAlign w:val="center"/>
            <w:hideMark/>
          </w:tcPr>
          <w:p w14:paraId="71D756B9" w14:textId="77777777" w:rsidR="00F01977" w:rsidRPr="00F01977" w:rsidRDefault="00F01977" w:rsidP="00F01977">
            <w:r w:rsidRPr="00F01977">
              <w:t>RF: 480 / GNN: 450 / RL: 430</w:t>
            </w:r>
          </w:p>
        </w:tc>
        <w:tc>
          <w:tcPr>
            <w:tcW w:w="0" w:type="auto"/>
            <w:vAlign w:val="center"/>
            <w:hideMark/>
          </w:tcPr>
          <w:p w14:paraId="6D26E87F" w14:textId="77777777" w:rsidR="00F01977" w:rsidRPr="00F01977" w:rsidRDefault="00F01977" w:rsidP="00F01977">
            <w:r w:rsidRPr="00F01977">
              <w:t>–4% / –10% / –14%</w:t>
            </w:r>
          </w:p>
        </w:tc>
      </w:tr>
    </w:tbl>
    <w:p w14:paraId="39B00326" w14:textId="77777777" w:rsidR="00F01977" w:rsidRPr="00F01977" w:rsidRDefault="00F01977" w:rsidP="00F01977">
      <w:pPr>
        <w:numPr>
          <w:ilvl w:val="0"/>
          <w:numId w:val="3"/>
        </w:numPr>
      </w:pPr>
      <w:r w:rsidRPr="00F01977">
        <w:rPr>
          <w:b/>
          <w:bCs/>
        </w:rPr>
        <w:t>Interpretation:</w:t>
      </w:r>
      <w:r w:rsidRPr="00F01977">
        <w:t xml:space="preserve"> RL yields the best reliability and cost savings but is slower to infer; RF is blazing fast and nearly matches baseline performance; GNN hits a sweet</w:t>
      </w:r>
      <w:r w:rsidRPr="00F01977">
        <w:noBreakHyphen/>
        <w:t>spot of topology</w:t>
      </w:r>
      <w:r w:rsidRPr="00F01977">
        <w:noBreakHyphen/>
        <w:t>aware accuracy with moderate latency.</w:t>
      </w:r>
    </w:p>
    <w:p w14:paraId="3075A02C" w14:textId="77777777" w:rsidR="00F01977" w:rsidRPr="00F01977" w:rsidRDefault="00F01977" w:rsidP="00F01977">
      <w:r w:rsidRPr="00F01977">
        <w:pict w14:anchorId="20CFD724">
          <v:rect id="_x0000_i1063" style="width:0;height:1.5pt" o:hralign="center" o:hrstd="t" o:hr="t" fillcolor="#a0a0a0" stroked="f"/>
        </w:pict>
      </w:r>
    </w:p>
    <w:p w14:paraId="2B8E89E2" w14:textId="77777777" w:rsidR="00F01977" w:rsidRPr="00F01977" w:rsidRDefault="00F01977" w:rsidP="00F01977">
      <w:pPr>
        <w:rPr>
          <w:b/>
          <w:bCs/>
        </w:rPr>
      </w:pPr>
      <w:r w:rsidRPr="00F01977">
        <w:rPr>
          <w:b/>
          <w:bCs/>
        </w:rPr>
        <w:t>8.4 Statistical Significance</w:t>
      </w:r>
    </w:p>
    <w:p w14:paraId="164C6B09" w14:textId="77777777" w:rsidR="00F01977" w:rsidRPr="00F01977" w:rsidRDefault="00F01977" w:rsidP="00F01977">
      <w:pPr>
        <w:numPr>
          <w:ilvl w:val="0"/>
          <w:numId w:val="4"/>
        </w:numPr>
      </w:pPr>
      <w:r w:rsidRPr="00F01977">
        <w:rPr>
          <w:b/>
          <w:bCs/>
        </w:rPr>
        <w:t>Paired Tests</w:t>
      </w:r>
    </w:p>
    <w:p w14:paraId="0CB2FA23" w14:textId="77777777" w:rsidR="00F01977" w:rsidRPr="00F01977" w:rsidRDefault="00F01977" w:rsidP="00F01977">
      <w:pPr>
        <w:numPr>
          <w:ilvl w:val="1"/>
          <w:numId w:val="4"/>
        </w:numPr>
      </w:pPr>
      <w:r w:rsidRPr="00F01977">
        <w:t xml:space="preserve">Use a </w:t>
      </w:r>
      <w:r w:rsidRPr="00F01977">
        <w:rPr>
          <w:b/>
          <w:bCs/>
        </w:rPr>
        <w:t>paired t</w:t>
      </w:r>
      <w:r w:rsidRPr="00F01977">
        <w:rPr>
          <w:b/>
          <w:bCs/>
        </w:rPr>
        <w:noBreakHyphen/>
        <w:t>test</w:t>
      </w:r>
      <w:r w:rsidRPr="00F01977">
        <w:t xml:space="preserve"> (for cost, time) and </w:t>
      </w:r>
      <w:r w:rsidRPr="00F01977">
        <w:rPr>
          <w:b/>
          <w:bCs/>
        </w:rPr>
        <w:t>McNemar’s test</w:t>
      </w:r>
      <w:r w:rsidRPr="00F01977">
        <w:t xml:space="preserve"> (for clearance rate) to confirm improvements are not due to chance.</w:t>
      </w:r>
    </w:p>
    <w:p w14:paraId="4932B73A" w14:textId="77777777" w:rsidR="00F01977" w:rsidRPr="00F01977" w:rsidRDefault="00F01977" w:rsidP="00F01977">
      <w:pPr>
        <w:numPr>
          <w:ilvl w:val="1"/>
          <w:numId w:val="4"/>
        </w:numPr>
      </w:pPr>
      <w:r w:rsidRPr="00F01977">
        <w:t>Null hypothesis: no difference between baseline and ML policy.</w:t>
      </w:r>
    </w:p>
    <w:p w14:paraId="39AC13D9" w14:textId="77777777" w:rsidR="00F01977" w:rsidRPr="00F01977" w:rsidRDefault="00F01977" w:rsidP="00F01977">
      <w:pPr>
        <w:numPr>
          <w:ilvl w:val="0"/>
          <w:numId w:val="4"/>
        </w:numPr>
      </w:pPr>
      <w:r w:rsidRPr="00F01977">
        <w:rPr>
          <w:b/>
          <w:bCs/>
        </w:rPr>
        <w:t>Confidence Intervals</w:t>
      </w:r>
    </w:p>
    <w:p w14:paraId="19823544" w14:textId="77777777" w:rsidR="00F01977" w:rsidRPr="00F01977" w:rsidRDefault="00F01977" w:rsidP="00F01977">
      <w:pPr>
        <w:numPr>
          <w:ilvl w:val="1"/>
          <w:numId w:val="4"/>
        </w:numPr>
      </w:pPr>
      <w:r w:rsidRPr="00F01977">
        <w:t>Report 95% CIs for mean cost savings and clearance rate improvements.</w:t>
      </w:r>
    </w:p>
    <w:p w14:paraId="3342257B" w14:textId="77777777" w:rsidR="00F01977" w:rsidRPr="00F01977" w:rsidRDefault="00F01977" w:rsidP="00F01977">
      <w:r w:rsidRPr="00F01977">
        <w:pict w14:anchorId="607D3726">
          <v:rect id="_x0000_i1064" style="width:0;height:1.5pt" o:hralign="center" o:hrstd="t" o:hr="t" fillcolor="#a0a0a0" stroked="f"/>
        </w:pict>
      </w:r>
    </w:p>
    <w:p w14:paraId="0BA4A6DE" w14:textId="77777777" w:rsidR="00F01977" w:rsidRPr="00F01977" w:rsidRDefault="00F01977" w:rsidP="00F01977">
      <w:pPr>
        <w:rPr>
          <w:b/>
          <w:bCs/>
        </w:rPr>
      </w:pPr>
      <w:r w:rsidRPr="00F01977">
        <w:rPr>
          <w:b/>
          <w:bCs/>
        </w:rPr>
        <w:lastRenderedPageBreak/>
        <w:t>8.5 Visualization &amp; Reporting</w:t>
      </w:r>
    </w:p>
    <w:p w14:paraId="46A25B8E" w14:textId="77777777" w:rsidR="00F01977" w:rsidRPr="00F01977" w:rsidRDefault="00F01977" w:rsidP="00F01977">
      <w:pPr>
        <w:numPr>
          <w:ilvl w:val="0"/>
          <w:numId w:val="5"/>
        </w:numPr>
      </w:pPr>
      <w:r w:rsidRPr="00F01977">
        <w:rPr>
          <w:b/>
          <w:bCs/>
        </w:rPr>
        <w:t>Boxplots</w:t>
      </w:r>
      <w:r w:rsidRPr="00F01977">
        <w:t xml:space="preserve"> of total cost across scenarios (baseline vs. each ML policy).</w:t>
      </w:r>
    </w:p>
    <w:p w14:paraId="5D9F264F" w14:textId="77777777" w:rsidR="00F01977" w:rsidRPr="00F01977" w:rsidRDefault="00F01977" w:rsidP="00F01977">
      <w:pPr>
        <w:numPr>
          <w:ilvl w:val="0"/>
          <w:numId w:val="5"/>
        </w:numPr>
      </w:pPr>
      <w:r w:rsidRPr="00F01977">
        <w:rPr>
          <w:b/>
          <w:bCs/>
        </w:rPr>
        <w:t>CDF Plots</w:t>
      </w:r>
      <w:r w:rsidRPr="00F01977">
        <w:t xml:space="preserve"> of clearance time (seconds) to compare reaction speed distributions.</w:t>
      </w:r>
    </w:p>
    <w:p w14:paraId="3D8D88BB" w14:textId="77777777" w:rsidR="00F01977" w:rsidRPr="00F01977" w:rsidRDefault="00F01977" w:rsidP="00F01977">
      <w:pPr>
        <w:numPr>
          <w:ilvl w:val="0"/>
          <w:numId w:val="5"/>
        </w:numPr>
      </w:pPr>
      <w:r w:rsidRPr="00F01977">
        <w:rPr>
          <w:b/>
          <w:bCs/>
        </w:rPr>
        <w:t>Bar Charts</w:t>
      </w:r>
      <w:r w:rsidRPr="00F01977">
        <w:t xml:space="preserve"> for clearance rate and error bars (95% CI).</w:t>
      </w:r>
    </w:p>
    <w:p w14:paraId="79C33437" w14:textId="77777777" w:rsidR="00F01977" w:rsidRPr="00F01977" w:rsidRDefault="00F01977" w:rsidP="00F01977">
      <w:pPr>
        <w:numPr>
          <w:ilvl w:val="0"/>
          <w:numId w:val="5"/>
        </w:numPr>
      </w:pPr>
      <w:r w:rsidRPr="00F01977">
        <w:rPr>
          <w:b/>
          <w:bCs/>
        </w:rPr>
        <w:t>Heatmaps</w:t>
      </w:r>
      <w:r w:rsidRPr="00F01977">
        <w:t xml:space="preserve"> over grid topology showing where ML policies most improve (e.g. regions with frequent N</w:t>
      </w:r>
      <w:r w:rsidRPr="00F01977">
        <w:noBreakHyphen/>
        <w:t>2 issues).</w:t>
      </w:r>
    </w:p>
    <w:p w14:paraId="50B70A5B" w14:textId="77777777" w:rsidR="00F01977" w:rsidRPr="00F01977" w:rsidRDefault="00F01977" w:rsidP="00F01977">
      <w:r w:rsidRPr="00F01977">
        <w:pict w14:anchorId="3EB99A0D">
          <v:rect id="_x0000_i1065" style="width:0;height:1.5pt" o:hralign="center" o:hrstd="t" o:hr="t" fillcolor="#a0a0a0" stroked="f"/>
        </w:pict>
      </w:r>
    </w:p>
    <w:p w14:paraId="19151FF3" w14:textId="77777777" w:rsidR="00F01977" w:rsidRPr="00F01977" w:rsidRDefault="00F01977" w:rsidP="00F01977">
      <w:pPr>
        <w:rPr>
          <w:b/>
          <w:bCs/>
        </w:rPr>
      </w:pPr>
      <w:r w:rsidRPr="00F01977">
        <w:rPr>
          <w:b/>
          <w:bCs/>
        </w:rPr>
        <w:t>8.6 Continuous Monitoring</w:t>
      </w:r>
    </w:p>
    <w:p w14:paraId="5A776D6A" w14:textId="77777777" w:rsidR="00F01977" w:rsidRPr="00F01977" w:rsidRDefault="00F01977" w:rsidP="00F01977">
      <w:pPr>
        <w:numPr>
          <w:ilvl w:val="0"/>
          <w:numId w:val="6"/>
        </w:numPr>
      </w:pPr>
      <w:r w:rsidRPr="00F01977">
        <w:rPr>
          <w:b/>
          <w:bCs/>
        </w:rPr>
        <w:t>Drift Detection</w:t>
      </w:r>
    </w:p>
    <w:p w14:paraId="32AD67EE" w14:textId="77777777" w:rsidR="00F01977" w:rsidRPr="00F01977" w:rsidRDefault="00F01977" w:rsidP="00F01977">
      <w:pPr>
        <w:numPr>
          <w:ilvl w:val="1"/>
          <w:numId w:val="6"/>
        </w:numPr>
      </w:pPr>
      <w:r w:rsidRPr="00F01977">
        <w:t xml:space="preserve">If your live grid changes (new lines, seasonal load shifts), monitor key metrics for </w:t>
      </w:r>
      <w:r w:rsidRPr="00F01977">
        <w:rPr>
          <w:b/>
          <w:bCs/>
        </w:rPr>
        <w:t>model performance degradation</w:t>
      </w:r>
      <w:r w:rsidRPr="00F01977">
        <w:t>.</w:t>
      </w:r>
    </w:p>
    <w:p w14:paraId="4178E8EE" w14:textId="77777777" w:rsidR="00F01977" w:rsidRPr="00F01977" w:rsidRDefault="00F01977" w:rsidP="00F01977">
      <w:pPr>
        <w:numPr>
          <w:ilvl w:val="0"/>
          <w:numId w:val="6"/>
        </w:numPr>
      </w:pPr>
      <w:r w:rsidRPr="00F01977">
        <w:rPr>
          <w:b/>
          <w:bCs/>
        </w:rPr>
        <w:t>Retraining Schedule</w:t>
      </w:r>
    </w:p>
    <w:p w14:paraId="568CD9A3" w14:textId="77777777" w:rsidR="00F01977" w:rsidRPr="00F01977" w:rsidRDefault="00F01977" w:rsidP="00F01977">
      <w:pPr>
        <w:numPr>
          <w:ilvl w:val="1"/>
          <w:numId w:val="6"/>
        </w:numPr>
      </w:pPr>
      <w:r w:rsidRPr="00F01977">
        <w:t xml:space="preserve">Automate retraining (monthly or when &gt; 5% </w:t>
      </w:r>
      <w:proofErr w:type="gramStart"/>
      <w:r w:rsidRPr="00F01977">
        <w:t>drop in</w:t>
      </w:r>
      <w:proofErr w:type="gramEnd"/>
      <w:r w:rsidRPr="00F01977">
        <w:t xml:space="preserve"> clearance rate).</w:t>
      </w:r>
    </w:p>
    <w:p w14:paraId="7486209F" w14:textId="77777777" w:rsidR="00F01977" w:rsidRPr="00F01977" w:rsidRDefault="00F01977" w:rsidP="00F01977">
      <w:pPr>
        <w:numPr>
          <w:ilvl w:val="0"/>
          <w:numId w:val="6"/>
        </w:numPr>
      </w:pPr>
      <w:r w:rsidRPr="00F01977">
        <w:rPr>
          <w:b/>
          <w:bCs/>
        </w:rPr>
        <w:t>A/B Testing</w:t>
      </w:r>
    </w:p>
    <w:p w14:paraId="589E6EDE" w14:textId="77777777" w:rsidR="00F01977" w:rsidRPr="00F01977" w:rsidRDefault="00F01977" w:rsidP="00F01977">
      <w:pPr>
        <w:numPr>
          <w:ilvl w:val="1"/>
          <w:numId w:val="6"/>
        </w:numPr>
      </w:pPr>
      <w:r w:rsidRPr="00F01977">
        <w:t>In a sandbox or “digital twin” environment, run new ML policies alongside rule</w:t>
      </w:r>
      <w:r w:rsidRPr="00F01977">
        <w:noBreakHyphen/>
        <w:t>based engine to validate before full rollout.</w:t>
      </w:r>
    </w:p>
    <w:p w14:paraId="51102545" w14:textId="77777777" w:rsidR="00F01977" w:rsidRPr="00F01977" w:rsidRDefault="00F01977" w:rsidP="00F01977">
      <w:r w:rsidRPr="00F01977">
        <w:pict w14:anchorId="7157B81D">
          <v:rect id="_x0000_i1066" style="width:0;height:1.5pt" o:hralign="center" o:hrstd="t" o:hr="t" fillcolor="#a0a0a0" stroked="f"/>
        </w:pict>
      </w:r>
    </w:p>
    <w:p w14:paraId="7372B41C" w14:textId="77777777" w:rsidR="00F01977" w:rsidRPr="00F01977" w:rsidRDefault="00F01977" w:rsidP="00F01977">
      <w:r w:rsidRPr="00F01977">
        <w:t>By following this structured validation and comparison framework, you’ll not only quantify the benefits of each ML approach but also build confidence for operator adoption—demonstrating faster, more accurate, and more economical contingency mitigation than conventional RTCA alone.</w:t>
      </w:r>
    </w:p>
    <w:p w14:paraId="19D85708" w14:textId="77777777" w:rsidR="005B0B90" w:rsidRDefault="005B0B90"/>
    <w:sectPr w:rsidR="005B0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0D07"/>
    <w:multiLevelType w:val="multilevel"/>
    <w:tmpl w:val="DAFA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5270C"/>
    <w:multiLevelType w:val="multilevel"/>
    <w:tmpl w:val="40E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286D"/>
    <w:multiLevelType w:val="multilevel"/>
    <w:tmpl w:val="233A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7153C"/>
    <w:multiLevelType w:val="multilevel"/>
    <w:tmpl w:val="A9F2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42CF7"/>
    <w:multiLevelType w:val="multilevel"/>
    <w:tmpl w:val="89783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268FD"/>
    <w:multiLevelType w:val="multilevel"/>
    <w:tmpl w:val="E87A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20361">
    <w:abstractNumId w:val="5"/>
  </w:num>
  <w:num w:numId="2" w16cid:durableId="1469010742">
    <w:abstractNumId w:val="4"/>
  </w:num>
  <w:num w:numId="3" w16cid:durableId="1547333239">
    <w:abstractNumId w:val="1"/>
  </w:num>
  <w:num w:numId="4" w16cid:durableId="593250788">
    <w:abstractNumId w:val="0"/>
  </w:num>
  <w:num w:numId="5" w16cid:durableId="1282496261">
    <w:abstractNumId w:val="3"/>
  </w:num>
  <w:num w:numId="6" w16cid:durableId="1788239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77"/>
    <w:rsid w:val="001A09B2"/>
    <w:rsid w:val="005B0B90"/>
    <w:rsid w:val="00F01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966A"/>
  <w15:chartTrackingRefBased/>
  <w15:docId w15:val="{7390996B-30CC-4EA3-887D-366C5D64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9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9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9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9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9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9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9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9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9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977"/>
    <w:rPr>
      <w:rFonts w:eastAsiaTheme="majorEastAsia" w:cstheme="majorBidi"/>
      <w:color w:val="272727" w:themeColor="text1" w:themeTint="D8"/>
    </w:rPr>
  </w:style>
  <w:style w:type="paragraph" w:styleId="Title">
    <w:name w:val="Title"/>
    <w:basedOn w:val="Normal"/>
    <w:next w:val="Normal"/>
    <w:link w:val="TitleChar"/>
    <w:uiPriority w:val="10"/>
    <w:qFormat/>
    <w:rsid w:val="00F01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977"/>
    <w:pPr>
      <w:spacing w:before="160"/>
      <w:jc w:val="center"/>
    </w:pPr>
    <w:rPr>
      <w:i/>
      <w:iCs/>
      <w:color w:val="404040" w:themeColor="text1" w:themeTint="BF"/>
    </w:rPr>
  </w:style>
  <w:style w:type="character" w:customStyle="1" w:styleId="QuoteChar">
    <w:name w:val="Quote Char"/>
    <w:basedOn w:val="DefaultParagraphFont"/>
    <w:link w:val="Quote"/>
    <w:uiPriority w:val="29"/>
    <w:rsid w:val="00F01977"/>
    <w:rPr>
      <w:i/>
      <w:iCs/>
      <w:color w:val="404040" w:themeColor="text1" w:themeTint="BF"/>
    </w:rPr>
  </w:style>
  <w:style w:type="paragraph" w:styleId="ListParagraph">
    <w:name w:val="List Paragraph"/>
    <w:basedOn w:val="Normal"/>
    <w:uiPriority w:val="34"/>
    <w:qFormat/>
    <w:rsid w:val="00F01977"/>
    <w:pPr>
      <w:ind w:left="720"/>
      <w:contextualSpacing/>
    </w:pPr>
  </w:style>
  <w:style w:type="character" w:styleId="IntenseEmphasis">
    <w:name w:val="Intense Emphasis"/>
    <w:basedOn w:val="DefaultParagraphFont"/>
    <w:uiPriority w:val="21"/>
    <w:qFormat/>
    <w:rsid w:val="00F01977"/>
    <w:rPr>
      <w:i/>
      <w:iCs/>
      <w:color w:val="2F5496" w:themeColor="accent1" w:themeShade="BF"/>
    </w:rPr>
  </w:style>
  <w:style w:type="paragraph" w:styleId="IntenseQuote">
    <w:name w:val="Intense Quote"/>
    <w:basedOn w:val="Normal"/>
    <w:next w:val="Normal"/>
    <w:link w:val="IntenseQuoteChar"/>
    <w:uiPriority w:val="30"/>
    <w:qFormat/>
    <w:rsid w:val="00F019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977"/>
    <w:rPr>
      <w:i/>
      <w:iCs/>
      <w:color w:val="2F5496" w:themeColor="accent1" w:themeShade="BF"/>
    </w:rPr>
  </w:style>
  <w:style w:type="character" w:styleId="IntenseReference">
    <w:name w:val="Intense Reference"/>
    <w:basedOn w:val="DefaultParagraphFont"/>
    <w:uiPriority w:val="32"/>
    <w:qFormat/>
    <w:rsid w:val="00F019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289938">
      <w:bodyDiv w:val="1"/>
      <w:marLeft w:val="0"/>
      <w:marRight w:val="0"/>
      <w:marTop w:val="0"/>
      <w:marBottom w:val="0"/>
      <w:divBdr>
        <w:top w:val="none" w:sz="0" w:space="0" w:color="auto"/>
        <w:left w:val="none" w:sz="0" w:space="0" w:color="auto"/>
        <w:bottom w:val="none" w:sz="0" w:space="0" w:color="auto"/>
        <w:right w:val="none" w:sz="0" w:space="0" w:color="auto"/>
      </w:divBdr>
      <w:divsChild>
        <w:div w:id="352152569">
          <w:marLeft w:val="0"/>
          <w:marRight w:val="0"/>
          <w:marTop w:val="0"/>
          <w:marBottom w:val="0"/>
          <w:divBdr>
            <w:top w:val="none" w:sz="0" w:space="0" w:color="auto"/>
            <w:left w:val="none" w:sz="0" w:space="0" w:color="auto"/>
            <w:bottom w:val="none" w:sz="0" w:space="0" w:color="auto"/>
            <w:right w:val="none" w:sz="0" w:space="0" w:color="auto"/>
          </w:divBdr>
          <w:divsChild>
            <w:div w:id="740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452">
      <w:bodyDiv w:val="1"/>
      <w:marLeft w:val="0"/>
      <w:marRight w:val="0"/>
      <w:marTop w:val="0"/>
      <w:marBottom w:val="0"/>
      <w:divBdr>
        <w:top w:val="none" w:sz="0" w:space="0" w:color="auto"/>
        <w:left w:val="none" w:sz="0" w:space="0" w:color="auto"/>
        <w:bottom w:val="none" w:sz="0" w:space="0" w:color="auto"/>
        <w:right w:val="none" w:sz="0" w:space="0" w:color="auto"/>
      </w:divBdr>
      <w:divsChild>
        <w:div w:id="680471496">
          <w:marLeft w:val="0"/>
          <w:marRight w:val="0"/>
          <w:marTop w:val="0"/>
          <w:marBottom w:val="0"/>
          <w:divBdr>
            <w:top w:val="none" w:sz="0" w:space="0" w:color="auto"/>
            <w:left w:val="none" w:sz="0" w:space="0" w:color="auto"/>
            <w:bottom w:val="none" w:sz="0" w:space="0" w:color="auto"/>
            <w:right w:val="none" w:sz="0" w:space="0" w:color="auto"/>
          </w:divBdr>
          <w:divsChild>
            <w:div w:id="430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Harriott</dc:creator>
  <cp:keywords/>
  <dc:description/>
  <cp:lastModifiedBy>Kole Harriott</cp:lastModifiedBy>
  <cp:revision>1</cp:revision>
  <dcterms:created xsi:type="dcterms:W3CDTF">2025-06-08T08:11:00Z</dcterms:created>
  <dcterms:modified xsi:type="dcterms:W3CDTF">2025-06-08T08:11:00Z</dcterms:modified>
</cp:coreProperties>
</file>