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a2e1d"/>
          <w:sz w:val="30"/>
          <w:szCs w:val="30"/>
        </w:rPr>
        <w:t xml:space="preserve">SB 1090 (Pérez) — A Support Letter You Can Send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Altadena Recovery Watch · Save Altadena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572f"/>
          <w:sz w:val="22"/>
          <w:szCs w:val="22"/>
        </w:rPr>
        <w:t xml:space="preserve">HOW &amp; WHERE TO SEND THIS LETTER — by Wednesday, June 17, 2026, 5:00 p.m.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(That’s the deadline for the June 24 committee hearing. It takes about five minutes.)</w:t>
      </w:r>
    </w:p>
    <w:p>
      <w:pPr>
        <w:pStyle w:val="ListParagraph"/>
        <w:numPr>
          <w:ilvl w:val="0"/>
          <w:numId w:val="2"/>
        </w:numPr>
        <w:spacing w:after="10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Personalize the letter below. </w:t>
      </w:r>
      <w:r>
        <w:rPr>
          <w:rFonts w:ascii="Arial" w:cs="Arial" w:eastAsia="Arial" w:hAnsi="Arial"/>
          <w:sz w:val="22"/>
          <w:szCs w:val="22"/>
        </w:rPr>
        <w:t xml:space="preserve">Replace every [BRACKETED] part with your details, add the date and your name/address at the top, and write 2–3 sentences of your own story — that’s what makes it count.</w:t>
      </w:r>
    </w:p>
    <w:p>
      <w:pPr>
        <w:pStyle w:val="ListParagraph"/>
        <w:numPr>
          <w:ilvl w:val="0"/>
          <w:numId w:val="2"/>
        </w:numPr>
        <w:spacing w:after="10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it as a PDF </w:t>
      </w:r>
      <w:r>
        <w:rPr>
          <w:rFonts w:ascii="Arial" w:cs="Arial" w:eastAsia="Arial" w:hAnsi="Arial"/>
          <w:sz w:val="22"/>
          <w:szCs w:val="22"/>
        </w:rPr>
        <w:t xml:space="preserve">(or print, sign, and scan it).</w:t>
      </w:r>
    </w:p>
    <w:p>
      <w:pPr>
        <w:pStyle w:val="ListParagraph"/>
        <w:numPr>
          <w:ilvl w:val="0"/>
          <w:numId w:val="2"/>
        </w:numPr>
        <w:spacing w:after="10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it one of two ways: </w:t>
      </w:r>
      <w:r>
        <w:rPr>
          <w:rFonts w:ascii="Arial" w:cs="Arial" w:eastAsia="Arial" w:hAnsi="Arial"/>
          <w:sz w:val="22"/>
          <w:szCs w:val="22"/>
        </w:rPr>
        <w:t xml:space="preserve">(a) Official — the California Legislature Advocates Portal at https://calegislation.lc.ca.gov/Advocates/ : create a free account, choose SB 1090 → position Support → Assembly Housing &amp; Community Development, and upload your PDF. (b) Simplest — email your PDF to the committee consultants: Lisa.Engel@asm.ca.gov, Dori.Ganetsos@asm.ca.gov, Juan.Reyes@asm.ca.gov, Angela.Mapp@asm.ca.gov, Jimmy.MacDonald@asm.ca.gov, Linda.Rios@asm.ca.gov.</w:t>
      </w:r>
    </w:p>
    <w:p>
      <w:pPr>
        <w:pStyle w:val="ListParagraph"/>
        <w:numPr>
          <w:ilvl w:val="0"/>
          <w:numId w:val="2"/>
        </w:numPr>
        <w:spacing w:after="10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CC the author and co-author if you can: </w:t>
      </w:r>
      <w:r>
        <w:rPr>
          <w:rFonts w:ascii="Arial" w:cs="Arial" w:eastAsia="Arial" w:hAnsi="Arial"/>
          <w:sz w:val="22"/>
          <w:szCs w:val="22"/>
        </w:rPr>
        <w:t xml:space="preserve">Sen. Sasha Renée Pérez and Asm. John Harabedian.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Tip: a personalized letter counts; an identical copy-paste letter gets discounted — so use your own words.</w:t>
      </w:r>
    </w:p>
    <w:p>
      <w:pPr>
        <w:pBdr>
          <w:bottom w:val="single" w:color="c0572f" w:sz="6" w:space="1"/>
        </w:pBd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[TYPE YOUR NAME / ADDRESS — letterhead if you have one]</w:t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[TYPE THE DATE]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The Honorable Matt Haney, Chair</w:t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Assembly Committee on Housing and Community Development</w:t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(Submitted via the California Legislature Advocates Portal)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Re: SB 1090 (Pérez) — SUPPORT. Hearing June 24, 2026.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Dear Chair Haney and Members of the Committee: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My name is [TYPE YOUR NAME], and I am [TYPE YOUR CONNECTION — e.g., an Eaton Fire survivor who lost my home] in [TYPE YOUR CITY]. I am writing in support of SB 1090.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[TYPE 2–3 SENTENCES OF YOUR OWN STORY HERE — what the fire and this fight mean to you and your neighbors. This personal part is what makes your letter count.]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SB 1090 simply lets our community recover on its own terms. It pauses the SB 1123 by-right subdivision pathway during the recovery window so families can come home before speculation locks the map in place. It is look-forward protection — it does not take any housing away.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SB 1090 deserves your support for several reasons:</w:t>
      </w:r>
    </w:p>
    <w:p>
      <w:pPr>
        <w:spacing w:after="60" w:line="264"/>
        <w:ind w:left="360"/>
      </w:pPr>
      <w:r>
        <w:rPr>
          <w:rFonts w:ascii="Arial" w:cs="Arial" w:eastAsia="Arial" w:hAnsi="Arial"/>
          <w:sz w:val="22"/>
          <w:szCs w:val="22"/>
        </w:rPr>
        <w:t xml:space="preserve">• Fairness — it should not be easier for a developer to build ten units on a cleared lot than for the family next door to rebuild the one home they lost.</w:t>
      </w:r>
    </w:p>
    <w:p>
      <w:pPr>
        <w:spacing w:after="60" w:line="264"/>
        <w:ind w:left="360"/>
      </w:pPr>
      <w:r>
        <w:rPr>
          <w:rFonts w:ascii="Arial" w:cs="Arial" w:eastAsia="Arial" w:hAnsi="Arial"/>
          <w:sz w:val="22"/>
          <w:szCs w:val="22"/>
        </w:rPr>
        <w:t xml:space="preserve">• Life safety — adding households and cars to narrow, single-access foothill streets that just failed in a deadly fire lengthens evacuation and endangers residents.</w:t>
      </w:r>
    </w:p>
    <w:p>
      <w:pPr>
        <w:spacing w:after="60" w:line="264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Infrastructure — many lots are on septic (not public sewer), without sidewalks or adequate roads; they do not fit SB 1123’s urban-infill premise.</w:t>
      </w:r>
    </w:p>
    <w:p>
      <w:pPr>
        <w:spacing w:after="60" w:line="264"/>
        <w:ind w:left="360"/>
      </w:pPr>
      <w:r>
        <w:rPr>
          <w:rFonts w:ascii="Arial" w:cs="Arial" w:eastAsia="Arial" w:hAnsi="Arial"/>
          <w:sz w:val="22"/>
          <w:szCs w:val="22"/>
        </w:rPr>
        <w:t xml:space="preserve">• The disaster zone deserves protection — after the same fire, the Pacific Palisades received relief from these density provisions; the Altadena disaster zone deserves that same protection, which SB 1090 provides.</w:t>
      </w:r>
    </w:p>
    <w:p>
      <w:pPr>
        <w:spacing w:after="60" w:line="264"/>
        <w:ind w:left="360"/>
      </w:pPr>
      <w:r>
        <w:rPr>
          <w:rFonts w:ascii="Arial" w:cs="Arial" w:eastAsia="Arial" w:hAnsi="Arial"/>
          <w:sz w:val="22"/>
          <w:szCs w:val="22"/>
        </w:rPr>
        <w:t xml:space="preserve">• Original intent — SB 1123 was written to create starter homes through ordinary urban infill, not to let speculators subdivide fire-destroyed lots in a disaster zone; these projects go against the law’s purpose.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I respectfully urge your AYE vote on SB 1090. Thank you for your consideration.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[TYPE YOUR NAME]</w:t>
      </w:r>
    </w:p>
    <w:p>
      <w:p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[TYPE YOUR CITY]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2026-06-16T16:12:01.821Z</dcterms:created>
  <dcterms:modified xsi:type="dcterms:W3CDTF">2026-06-16T16:12:01.822Z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