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264" w:lineRule="auto"/>
        <w:rPr/>
      </w:pPr>
      <w:r w:rsidDel="00000000" w:rsidR="00000000" w:rsidRPr="00000000">
        <w:rPr>
          <w:rtl w:val="0"/>
        </w:rPr>
        <w:t xml:space="preserve">June 22, 2026</w:t>
      </w:r>
    </w:p>
    <w:p w:rsidR="00000000" w:rsidDel="00000000" w:rsidP="00000000" w:rsidRDefault="00000000" w:rsidRPr="00000000" w14:paraId="00000002">
      <w:pPr>
        <w:spacing w:after="120" w:line="264" w:lineRule="auto"/>
        <w:rPr/>
      </w:pPr>
      <w:r w:rsidDel="00000000" w:rsidR="00000000" w:rsidRPr="00000000">
        <w:rPr>
          <w:b w:val="1"/>
          <w:bCs w:val="1"/>
          <w:rtl w:val="0"/>
        </w:rPr>
        <w:t xml:space="preserve">Assembly Committee on Housing and Community Development</w:t>
      </w:r>
      <w:r w:rsidDel="00000000" w:rsidR="00000000" w:rsidRPr="00000000">
        <w:rPr>
          <w:rtl w:val="0"/>
        </w:rPr>
      </w:r>
    </w:p>
    <w:p w:rsidR="00000000" w:rsidDel="00000000" w:rsidP="00000000" w:rsidRDefault="00000000" w:rsidRPr="00000000" w14:paraId="00000003">
      <w:pPr>
        <w:spacing w:after="120" w:line="264" w:lineRule="auto"/>
        <w:rPr/>
      </w:pPr>
      <w:r w:rsidDel="00000000" w:rsidR="00000000" w:rsidRPr="00000000">
        <w:rPr>
          <w:b w:val="1"/>
          <w:bCs w:val="1"/>
          <w:rtl w:val="0"/>
        </w:rPr>
        <w:t xml:space="preserve">Re: SB 1090 (Sen. Pérez) — SUPPORT.  Hearing: July 1, 2026.</w:t>
      </w:r>
      <w:r w:rsidDel="00000000" w:rsidR="00000000" w:rsidRPr="00000000">
        <w:rPr>
          <w:rtl w:val="0"/>
        </w:rPr>
      </w:r>
    </w:p>
    <w:p w:rsidR="00000000" w:rsidDel="00000000" w:rsidP="00000000" w:rsidRDefault="00000000" w:rsidRPr="00000000" w14:paraId="00000004">
      <w:pPr>
        <w:spacing w:after="120" w:line="264" w:lineRule="auto"/>
        <w:rPr/>
      </w:pPr>
      <w:r w:rsidDel="00000000" w:rsidR="00000000" w:rsidRPr="00000000">
        <w:rPr>
          <w:rtl w:val="0"/>
        </w:rPr>
        <w:t xml:space="preserve">Dear Chair Haney and Members of the Committee:</w:t>
      </w:r>
    </w:p>
    <w:p w:rsidR="00000000" w:rsidDel="00000000" w:rsidP="00000000" w:rsidRDefault="00000000" w:rsidRPr="00000000" w14:paraId="00000005">
      <w:pPr>
        <w:spacing w:after="120" w:line="264" w:lineRule="auto"/>
        <w:rPr/>
      </w:pPr>
      <w:r w:rsidDel="00000000" w:rsidR="00000000" w:rsidRPr="00000000">
        <w:rPr>
          <w:rtl w:val="0"/>
        </w:rPr>
        <w:t xml:space="preserve">My name is </w:t>
      </w:r>
      <w:r w:rsidDel="00000000" w:rsidR="00000000" w:rsidRPr="00000000">
        <w:rPr>
          <w:b w:val="1"/>
          <w:bCs w:val="1"/>
          <w:rtl w:val="0"/>
        </w:rPr>
        <w:t xml:space="preserve">[ Your Name here! ]</w:t>
      </w:r>
      <w:r w:rsidDel="00000000" w:rsidR="00000000" w:rsidRPr="00000000">
        <w:rPr>
          <w:rtl w:val="0"/>
        </w:rPr>
      </w:r>
    </w:p>
    <w:p w:rsidR="00000000" w:rsidDel="00000000" w:rsidP="00000000" w:rsidRDefault="00000000" w:rsidRPr="00000000" w14:paraId="00000006">
      <w:pPr>
        <w:spacing w:after="120" w:line="264" w:lineRule="auto"/>
        <w:rPr/>
      </w:pPr>
      <w:r w:rsidDel="00000000" w:rsidR="00000000" w:rsidRPr="00000000">
        <w:rPr>
          <w:b w:val="1"/>
          <w:bCs w:val="1"/>
          <w:rtl w:val="0"/>
        </w:rPr>
        <w:t xml:space="preserve">[ Personalize here. This is the most important part of your letter. In a sentence or two, in your own words describe who you are, your connection to Altadena, what you and your family lost or still face, and why SB 1090 matters to you. ]</w:t>
      </w:r>
      <w:r w:rsidDel="00000000" w:rsidR="00000000" w:rsidRPr="00000000">
        <w:rPr>
          <w:rtl w:val="0"/>
        </w:rPr>
      </w:r>
    </w:p>
    <w:p w:rsidR="00000000" w:rsidDel="00000000" w:rsidP="00000000" w:rsidRDefault="00000000" w:rsidRPr="00000000" w14:paraId="00000007">
      <w:pPr>
        <w:spacing w:after="120" w:line="264" w:lineRule="auto"/>
        <w:rPr/>
      </w:pPr>
      <w:r w:rsidDel="00000000" w:rsidR="00000000" w:rsidRPr="00000000">
        <w:rPr>
          <w:rtl w:val="0"/>
        </w:rPr>
        <w:t>Altadena is rebuilding. A year and a half after the Eaton Fire, families are fighting through insurance, debris, and financing — and despite it all, by mid-2026 the County reports roughly 3,700 rebuild applications and nearly 3,000 permits issued in our area. We are coming home through ordinary permits. What we are asking is simple: do not let a small group of out-of-town investors permanently redraw our neighborhoods, by right and with no hearing, before the families who lived here can return.</w:t>
      </w:r>
    </w:p>
    <w:p w:rsidR="00000000" w:rsidDel="00000000" w:rsidP="00000000" w:rsidRDefault="00000000" w:rsidRPr="00000000" w14:paraId="00000008">
      <w:pPr>
        <w:spacing w:after="120" w:line="264" w:lineRule="auto"/>
        <w:rPr/>
      </w:pPr>
      <w:r w:rsidDel="00000000" w:rsidR="00000000" w:rsidRPr="00000000">
        <w:rPr>
          <w:rtl w:val="0"/>
        </w:rPr>
        <w:t>What is happening now is simply not a just way to treat a community fighting to recover in a burn scar.</w:t>
      </w:r>
    </w:p>
    <w:p w:rsidR="00000000" w:rsidDel="00000000" w:rsidP="00000000" w:rsidRDefault="00000000" w:rsidRPr="00000000" w14:paraId="00000009">
      <w:pPr>
        <w:spacing w:after="120" w:line="264" w:lineRule="auto"/>
        <w:rPr/>
      </w:pPr>
      <w:r>
        <w:t>I write in strong support of SB 1090 and respectfully urge an AYE vote — and ask that it be made effective as soon as possible, so protection is not delayed.</w:t>
      </w:r>
    </w:p>
    <w:p w:rsidR="00000000" w:rsidDel="00000000" w:rsidP="00000000" w:rsidRDefault="00000000" w:rsidRPr="00000000" w14:paraId="0000000A">
      <w:pPr>
        <w:spacing w:after="120" w:line="264" w:lineRule="auto"/>
        <w:rPr/>
      </w:pPr>
      <w:r w:rsidDel="00000000" w:rsidR="00000000" w:rsidRPr="00000000">
        <w:rPr>
          <w:rtl w:val="0"/>
        </w:rPr>
        <w:t>SB 1090 places a narrow, time-limited pause on the by-right, no-hearing pathways (SB 9 and SB 1123) that out-of-town developers are using to carve burned lots into as many as ten units each in the Altadena disaster area. It does not touch a homeowner's ability to rebuild or add ADUs, it repeals no housing law, and it removes no home that gets built — and it adds a needed guardrail by barring large institutional investors (those owning 75 or more homes) from making unsolicited offers to buy up disaster-struck land. It is also sound policy:</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Altadena deserves the same protection the Palisades received.</w:t>
      </w:r>
      <w:r>
        <w:rPr>
          <w:rFonts w:ascii="Calibri" w:hAnsi="Calibri"/>
          <w:b w:val="0"/>
          <w:sz w:val="22"/>
        </w:rPr>
        <w:t xml:space="preserve"> After the same January 2025 firestorm, fire-hazard zones in the burn areas received SB 9 relief by executive order — but the hazard map left most of Altadena’s burned neighborhoods out. And because SB 1123 cannot be used in high fire-hazard zones, the Palisades is largely shielded from it — while Altadena’s recovery area, which the map did not so designate, is left exposed. Altadena was left out of the protection and left open to the harm.</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costs the recovery nothing — but the threat is accelerating.</w:t>
      </w:r>
      <w:r>
        <w:rPr>
          <w:rFonts w:ascii="Calibri" w:hAnsi="Calibri"/>
          <w:b w:val="0"/>
          <w:sz w:val="22"/>
        </w:rPr>
        <w:t xml:space="preserve"> Altadenans are rebuilding by the thousands through ordinary permits; SB 9 and SB 1123 are barely 2% of rebuild applications, and the locals who use SB 9 are rebuilding, not subdividing. Every SB 1123 subdivision applicant we have identified is an outside corporate investor — not a returning resident — and the filings are clustering fast: the most active developer filed seven-plus maps in a matter of months. A recorded subdivision can never be undone, and once one developer proves the by-right pathway, market forces pull in more. Pausing it now does not slow recovery — it protects it.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cannot be easier to build than to rebuild.</w:t>
      </w:r>
      <w:r>
        <w:rPr>
          <w:rFonts w:ascii="Calibri" w:hAnsi="Calibri"/>
          <w:b w:val="0"/>
          <w:sz w:val="22"/>
        </w:rPr>
        <w:t xml:space="preserve"> Under the Governor’s own disaster order, a survivor may rebuild only about 10% larger than the home they lost to keep the fast “like-for-like” permit — while an out-of-town developer on the very same burned lot may put up as many as ten units, by right, with no hearing, and can move far faster than a family still fighting its insurer. The victim is capped at plus-ten-percent; the opportunist is handed times-ten.</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SB 1090 protects the SHRA’s purpose — not the “Altadena Fire Sale Act.”</w:t>
      </w:r>
      <w:r>
        <w:rPr>
          <w:rFonts w:ascii="Calibri" w:hAnsi="Calibri"/>
          <w:b w:val="0"/>
          <w:sz w:val="22"/>
        </w:rPr>
        <w:t xml:space="preserve"> The Starter Home Revitalization Act was written for scattered urban infill on abandoned lots, not fire-cleared disaster blocks. Turned loose on a burn scar, it stops modeling responsible infill and becomes the law that let investors carve up a disaster — discrediting the very policy. SB 1090 safeguards the SHRA’s intent; it does not repeal it, and it asks that one devastated disaster zone not be made to absorb the entire state’s density push during recovery.</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Settle the uncertainty while the rules are contested.</w:t>
      </w:r>
      <w:r>
        <w:rPr>
          <w:rFonts w:ascii="Calibri" w:hAnsi="Calibri"/>
          <w:b w:val="0"/>
          <w:sz w:val="22"/>
        </w:rPr>
        <w:t xml:space="preserve"> How SB 1123 applies to a fire-cleared disaster zone is genuinely contested, leaving these approvals open to legal challenge. SB 1090 gives the community certainty now, instead of leaving recovery hostage to whichever interpretation ultimately prevails.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Let Altadena rebuild under its own plan.</w:t>
      </w:r>
      <w:r>
        <w:rPr>
          <w:rFonts w:ascii="Calibri" w:hAnsi="Calibri"/>
          <w:b w:val="0"/>
          <w:sz w:val="22"/>
        </w:rPr>
        <w:t xml:space="preserve"> The community had just completed its own blueprint — the West San Gabriel Valley Area Plan, approved by the County only the month before the fire (December 2024). State and County ADU law still let homeowners add units without subdividing, and our commercial corridors still welcome mixed-use density. SB 1123 was always designed for infill, not as the primary planning tool for a disaster zone — the state should give the community time to rebuild on its own principles before turning that infill pathway loose on burned blocks.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Life safety must come first.</w:t>
      </w:r>
      <w:r>
        <w:rPr>
          <w:rFonts w:ascii="Calibri" w:hAnsi="Calibri"/>
          <w:b w:val="0"/>
          <w:sz w:val="22"/>
        </w:rPr>
        <w:t xml:space="preserve"> Our foothill neighborhoods sit on narrow, often single-access streets that just failed catastrophically in a deadly, fast-moving fire. Multiplying the households and cars on those same streets is a direct evacuation and life-safety hazard — and a ministerial approval carries no traffic, evacuation, or cumulative fire-safety review.</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The infrastructure isn’t there.</w:t>
      </w:r>
      <w:r>
        <w:rPr>
          <w:rFonts w:ascii="Calibri" w:hAnsi="Calibri"/>
          <w:b w:val="0"/>
          <w:sz w:val="22"/>
        </w:rPr>
        <w:t xml:space="preserve"> Altadena’s burned blocks were never built for this density: many are on septic rather than public sewer, lack sidewalks and adequate parking, and sit on undersized roads and a grid still being rebuilt. SB 1123 assumes urban infrastructure that simply isn’t present on these foothill lots.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It protects the residents most at risk.</w:t>
      </w:r>
      <w:r>
        <w:rPr>
          <w:rFonts w:ascii="Calibri" w:hAnsi="Calibri"/>
          <w:b w:val="0"/>
          <w:sz w:val="22"/>
        </w:rPr>
        <w:t xml:space="preserve"> This is not a wealthy enclave guarding its views. The Eaton Fire fell hardest on historically marginalized blocks and on longtime owners — many elderly, equity-rich but cash-poor and underinsured — and on the renters who made up much of the community’s naturally affordable housing, two-thirds of whose rent-stabilized homes burned. These are the households a speculator approaches first; by-right subdivision prices the land beyond their reach.</w:t>
      </w:r>
    </w:p>
    <w:p w:rsidR="00000000" w:rsidDel="00000000" w:rsidP="00000000" w:rsidRDefault="00000000" w:rsidRPr="00000000" w14:paraId="00000011">
      <w:pPr>
        <w:spacing w:after="120" w:line="264" w:lineRule="auto"/>
        <w:rPr>
          <w:b w:val="1"/>
          <w:bCs w:val="1"/>
        </w:rPr>
      </w:pPr>
      <w:r>
        <w:t>We urge you to vote AYE on SB 1090 and make it effective as soon as possible. Thank you for protecting fire survivors and the integrity of the SHRA.</w:t>
      </w:r>
    </w:p>
    <w:p w:rsidR="00000000" w:rsidDel="00000000" w:rsidP="00000000" w:rsidRDefault="00000000" w:rsidRPr="00000000" w14:paraId="00000012">
      <w:pPr>
        <w:spacing w:after="40" w:line="264" w:lineRule="auto"/>
        <w:rPr/>
      </w:pPr>
      <w:r w:rsidDel="00000000" w:rsidR="00000000" w:rsidRPr="00000000">
        <w:rPr>
          <w:rtl w:val="0"/>
        </w:rPr>
        <w:t xml:space="preserve">Respectfully,</w:t>
      </w:r>
    </w:p>
    <w:p w:rsidR="00000000" w:rsidDel="00000000" w:rsidP="00000000" w:rsidRDefault="00000000" w:rsidRPr="00000000" w14:paraId="00000013">
      <w:pPr>
        <w:spacing w:after="40" w:line="264" w:lineRule="auto"/>
        <w:rPr/>
      </w:pPr>
      <w:r w:rsidDel="00000000" w:rsidR="00000000" w:rsidRPr="00000000">
        <w:rPr>
          <w:b w:val="1"/>
          <w:bCs w:val="1"/>
          <w:rtl w:val="0"/>
        </w:rPr>
        <w:t xml:space="preserve">[ Your full name ]</w:t>
      </w:r>
      <w:r w:rsidDel="00000000" w:rsidR="00000000" w:rsidRPr="00000000">
        <w:rPr>
          <w:rtl w:val="0"/>
        </w:rPr>
      </w:r>
    </w:p>
    <w:p w:rsidR="00000000" w:rsidDel="00000000" w:rsidP="00000000" w:rsidRDefault="00000000" w:rsidRPr="00000000" w14:paraId="00000014">
      <w:pPr>
        <w:spacing w:after="40" w:line="264" w:lineRule="auto"/>
        <w:rPr/>
      </w:pPr>
      <w:r w:rsidDel="00000000" w:rsidR="00000000" w:rsidRPr="00000000">
        <w:rPr>
          <w:rtl w:val="0"/>
        </w:rPr>
        <w:t xml:space="preserve">[ Your street address, Altadena (or your city), ZIP ]</w:t>
      </w:r>
    </w:p>
    <w:p w:rsidR="00000000" w:rsidDel="00000000" w:rsidP="00000000" w:rsidRDefault="00000000" w:rsidRPr="00000000" w14:paraId="00000015">
      <w:pPr>
        <w:spacing w:after="120" w:line="264" w:lineRule="auto"/>
        <w:rPr/>
      </w:pPr>
      <w:r w:rsidDel="00000000" w:rsidR="00000000" w:rsidRPr="00000000">
        <w:rPr>
          <w:rtl w:val="0"/>
        </w:rPr>
        <w:t xml:space="preserve">cc: Sen. Sasha Renée Pérez (author); Asm. John Harabedian (co-author)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Qf3UM7ruEILkxpj/C0RmMKF2w==">CgMxLjA4AHIhMVRtTGh6b05EY2xHV2JXeldPVmRONUY0VDItSFVRcUhj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