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1F3864"/>
          <w:sz w:val="34"/>
          <w:szCs w:val="34"/>
        </w:rPr>
        <w:t xml:space="preserve">SB 1090 (Pérez) — Protect Altadena's Recovery</w:t>
      </w:r>
    </w:p>
    <w:p>
      <w:pPr>
        <w:spacing w:after="60"/>
        <w:jc w:val="center"/>
      </w:pPr>
      <w:r>
        <w:rPr>
          <w:b/>
          <w:bCs/>
          <w:color w:val="C00000"/>
          <w:sz w:val="22"/>
          <w:szCs w:val="22"/>
        </w:rPr>
        <w:t xml:space="preserve">SUPPORT</w:t>
      </w:r>
      <w:r>
        <w:rPr>
          <w:color w:val="595959"/>
          <w:sz w:val="18"/>
          <w:szCs w:val="18"/>
        </w:rPr>
        <w:t xml:space="preserve">  ·  Co-author: Asm. Harabedian  ·  Assembly Housing &amp; Community Development — hearing June 24, 2026</w:t>
      </w:r>
    </w:p>
    <w:p>
      <w:pPr>
        <w:pBdr>
          <w:bottom w:val="single" w:color="1F3864" w:sz="6" w:space="3"/>
        </w:pBdr>
        <w:spacing w:after="120"/>
      </w:pPr>
      <w:r>
        <w:t xml:space="preserve"/>
      </w:r>
    </w:p>
    <w:p>
      <w:pPr>
        <w:spacing w:after="80" w:line="248"/>
      </w:pPr>
      <w:r>
        <w:rPr>
          <w:b/>
          <w:bCs/>
        </w:rPr>
        <w:t xml:space="preserve">The ask. </w:t>
      </w:r>
      <w:r>
        <w:t xml:space="preserve">Vote AYE on SB 1090. It gives the Eaton Fire disaster area a narrow, time-limited pause on by-right lot-splitting so survivors can rebuild before speculators lock in the map of their neighborhood.</w:t>
      </w:r>
    </w:p>
    <w:p>
      <w:pPr>
        <w:pStyle w:val="Heading2"/>
      </w:pPr>
      <w:r>
        <w:t xml:space="preserve">What SB 1090 does</w:t>
      </w:r>
    </w:p>
    <w:p>
      <w:pPr>
        <w:pStyle w:val="ListParagraph"/>
        <w:numPr>
          <w:ilvl w:val="0"/>
          <w:numId w:val="2"/>
        </w:numPr>
        <w:spacing w:after="50" w:line="248"/>
      </w:pPr>
      <w:r>
        <w:t xml:space="preserve">Lets the declared Eaton Fire disaster area pause SB 1123's ministerial, by-right lot-splitting during recovery. </w:t>
      </w:r>
      <w:r>
        <w:rPr>
          <w:b/>
          <w:bCs/>
        </w:rPr>
        <w:t xml:space="preserve">Look-forward only</w:t>
      </w:r>
      <w:r>
        <w:t xml:space="preserve"> — it repeals no housing law and removes no home that gets built.</w:t>
      </w:r>
    </w:p>
    <w:p>
      <w:pPr>
        <w:pStyle w:val="ListParagraph"/>
        <w:numPr>
          <w:ilvl w:val="0"/>
          <w:numId w:val="2"/>
        </w:numPr>
        <w:spacing w:after="50" w:line="248"/>
      </w:pPr>
      <w:r>
        <w:rPr>
          <w:b/>
          <w:bCs/>
        </w:rPr>
        <w:t xml:space="preserve">Bounded and temporary: </w:t>
      </w:r>
      <w:r>
        <w:t xml:space="preserve">one disaster area, time-limited. Not a statewide change, not a precedent.</w:t>
      </w:r>
    </w:p>
    <w:p>
      <w:pPr>
        <w:pStyle w:val="Heading2"/>
      </w:pPr>
      <w:r>
        <w:t xml:space="preserve">Why any legislator can say yes — parity</w:t>
      </w:r>
    </w:p>
    <w:p>
      <w:pPr>
        <w:spacing w:after="80" w:line="248"/>
      </w:pPr>
      <w:r>
        <w:t xml:space="preserve">After the same January 2025 firestorm, the Pacific Palisades already received emergency relief (Executive Order N-32-25) from these density provisions — but it was keyed to a fire-hazard-severity-zone map that left most of Altadena's burned neighborhoods out. </w:t>
      </w:r>
      <w:r>
        <w:rPr>
          <w:b/>
          <w:bCs/>
        </w:rPr>
        <w:t xml:space="preserve">SB 1090 simply gives Altadena the same protection a comparable community already received. Parity, nothing more.</w:t>
      </w:r>
    </w:p>
    <w:p>
      <w:pPr>
        <w:pStyle w:val="Heading2"/>
      </w:pPr>
      <w:r>
        <w:t xml:space="preserve">Two reasons it matters</w:t>
      </w:r>
    </w:p>
    <w:p>
      <w:pPr>
        <w:pStyle w:val="ListParagraph"/>
        <w:numPr>
          <w:ilvl w:val="0"/>
          <w:numId w:val="2"/>
        </w:numPr>
        <w:spacing w:after="50" w:line="248"/>
      </w:pPr>
      <w:r>
        <w:rPr>
          <w:b/>
          <w:bCs/>
        </w:rPr>
        <w:t xml:space="preserve">It can't be easier to speculate than to rebuild. </w:t>
      </w:r>
      <w:r>
        <w:t xml:space="preserve">SB 1123 gives an out-of-town developer a fast, no-hearing path to carve one burned lot into up to ten units. The displaced family next door, rebuilding one home, faces the slow discretionary permitting every rebuild requires. That inverts disaster recovery.</w:t>
      </w:r>
    </w:p>
    <w:p>
      <w:pPr>
        <w:pStyle w:val="ListParagraph"/>
        <w:numPr>
          <w:ilvl w:val="0"/>
          <w:numId w:val="2"/>
        </w:numPr>
        <w:spacing w:after="50" w:line="248"/>
      </w:pPr>
      <w:r>
        <w:rPr>
          <w:b/>
          <w:bCs/>
        </w:rPr>
        <w:t xml:space="preserve">Evacuation &amp; life-safety. </w:t>
      </w:r>
      <w:r>
        <w:t xml:space="preserve">Altadena's foothill blocks are narrow, often single-access streets that just failed in a deadly evacuation, many without public sewer. Multiplying households and cars there is a direct life-safety hazard — and shows these blocks don't fit the urban-infill premise SB 1123 assumes.</w:t>
      </w:r>
    </w:p>
    <w:p>
      <w:pPr>
        <w:pStyle w:val="Heading2"/>
      </w:pPr>
      <w:r>
        <w:t xml:space="preserve">Why Altadena is distinct</w:t>
      </w:r>
    </w:p>
    <w:p>
      <w:pPr>
        <w:pStyle w:val="ListParagraph"/>
        <w:numPr>
          <w:ilvl w:val="0"/>
          <w:numId w:val="2"/>
        </w:numPr>
        <w:spacing w:after="50" w:line="248"/>
      </w:pPr>
      <w:r>
        <w:t xml:space="preserve">A declared federal/state disaster area, not an ordinary infill neighborhood.</w:t>
      </w:r>
    </w:p>
    <w:p>
      <w:pPr>
        <w:pStyle w:val="ListParagraph"/>
        <w:numPr>
          <w:ilvl w:val="0"/>
          <w:numId w:val="2"/>
        </w:numPr>
        <w:spacing w:after="50" w:line="248"/>
      </w:pPr>
      <w:r>
        <w:t xml:space="preserve">The utility has acknowledged its equipment was </w:t>
      </w:r>
      <w:r>
        <w:rPr>
          <w:i/>
          <w:iCs/>
        </w:rPr>
        <w:t xml:space="preserve">likely</w:t>
      </w:r>
      <w:r>
        <w:t xml:space="preserve"> involved in the ignition (below) — residents did not cause this catastrophe.</w:t>
      </w:r>
    </w:p>
    <w:p>
      <w:pPr>
        <w:pStyle w:val="ListParagraph"/>
        <w:numPr>
          <w:ilvl w:val="0"/>
          <w:numId w:val="2"/>
        </w:numPr>
        <w:spacing w:after="50" w:line="248"/>
      </w:pPr>
      <w:r>
        <w:t xml:space="preserve">Foothill terrain, narrow/single-access streets, septic-and-well infrastructure — the opposite of the transit-rich infill SB 1123 was written for.</w:t>
      </w:r>
    </w:p>
    <w:p>
      <w:pPr>
        <w:pStyle w:val="ListParagraph"/>
        <w:numPr>
          <w:ilvl w:val="0"/>
          <w:numId w:val="2"/>
        </w:numPr>
        <w:spacing w:after="50" w:line="248"/>
      </w:pPr>
      <w:r>
        <w:t xml:space="preserve">A historic, eclectic, owner-rebuilt community at risk of permanent change before residents can even return.</w:t>
      </w:r>
    </w:p>
    <w:p>
      <w:pPr>
        <w:pStyle w:val="Heading2"/>
      </w:pPr>
      <w:r>
        <w:t xml:space="preserve">On the record: the fire was not residents' doing</w:t>
      </w:r>
    </w:p>
    <w:p>
      <w:pPr>
        <w:spacing w:after="80" w:line="248"/>
      </w:pPr>
      <w:r>
        <w:t xml:space="preserve">Edison International President &amp; CEO Pedro Pizarro, Q3 2025 earnings report: </w:t>
      </w:r>
      <w:r>
        <w:rPr>
          <w:i/>
          <w:iCs/>
        </w:rPr>
        <w:t xml:space="preserve">“SCE is not aware of evidence pointing to another possible source of ignition… absent additional evidence, SCE believes that it is likely that its equipment could be found to have been associated with the ignition.”</w:t>
      </w:r>
    </w:p>
    <w:p>
      <w:pPr>
        <w:spacing w:after="80" w:line="248"/>
      </w:pPr>
      <w:r>
        <w:rPr>
          <w:sz w:val="18"/>
          <w:szCs w:val="18"/>
        </w:rPr>
        <w:t xml:space="preserve">Earlier, in its Feb. 6, 2025 report to the CPUC, SCE said it was exploring “the possibility that SCE's equipment was involved.” The U.S. Department of Justice sued SCE over the fire in September 2025. </w:t>
      </w:r>
      <w:r>
        <w:rPr>
          <w:i/>
          <w:iCs/>
          <w:color w:val="595959"/>
          <w:sz w:val="18"/>
          <w:szCs w:val="18"/>
        </w:rPr>
        <w:t xml:space="preserve">(Cal Fire's official cause determination remains pending; these are acknowledgments of probable involvement, not a finding of liability.)</w:t>
      </w:r>
    </w:p>
    <w:p>
      <w:pPr>
        <w:pStyle w:val="Heading2"/>
      </w:pPr>
      <w:r>
        <w:t xml:space="preserve">The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rPr>
                <w:b/>
                <w:bCs/>
                <w:color w:val="1F3864"/>
              </w:rPr>
              <w:t xml:space="preserve">≥ 10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subdivision filings already in L.A. County records</w:t>
            </w:r>
          </w:p>
        </w:tc>
      </w:tr>
      <w:tr>
        <w:tc>
          <w:tcPr>
            <w:tcW w:type="dxa" w:w="504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rPr>
                <w:b/>
                <w:bCs/>
                <w:color w:val="1F3864"/>
              </w:rPr>
              <w:t xml:space="preserve">10 → 80+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burned lots being turned into new units by-right</w:t>
            </w:r>
          </w:p>
        </w:tc>
      </w:tr>
      <w:tr>
        <w:tc>
          <w:tcPr>
            <w:tcW w:type="dxa" w:w="504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rPr>
                <w:b/>
                <w:bCs/>
                <w:color w:val="1F3864"/>
              </w:rPr>
              <w:t xml:space="preserve">~5% → ~50%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investor/corporate share of Altadena home purchases, pre- vs. post-fire (LAist)</w:t>
            </w:r>
          </w:p>
        </w:tc>
      </w:tr>
      <w:tr>
        <w:tc>
          <w:tcPr>
            <w:tcW w:type="dxa" w:w="504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rPr>
                <w:b/>
                <w:bCs/>
                <w:color w:val="1F3864"/>
              </w:rPr>
              <w:t xml:space="preserve">Up to 10</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units allowed per lot under SB 1123 — ministerial, no hearing</w:t>
            </w:r>
          </w:p>
        </w:tc>
      </w:tr>
    </w:tbl>
    <w:p>
      <w:pPr>
        <w:spacing w:before="120"/>
      </w:pPr>
      <w:r>
        <w:rPr>
          <w:b/>
          <w:bCs/>
        </w:rPr>
        <w:t xml:space="preserve">Contact: </w:t>
      </w:r>
      <w:r>
        <w:rPr>
          <w:sz w:val="18"/>
          <w:szCs w:val="18"/>
        </w:rPr>
        <w:t xml:space="preserve">Noel Minor, Altadena Recovery Watch · noelhyun@gmail.com · saveAltadena action hub: altadenarecoverywatch.github.io/SaveAltadena</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Altadena Recovery Watch · in coordination with Save Altadena · noelhyun@gmail.com · Advocacy material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40" w:before="12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2026-06-17T13:27:51.440Z</dcterms:created>
  <dcterms:modified xsi:type="dcterms:W3CDTF">2026-06-17T13:27:51.441Z</dcterms:modified>
</cp:coreProperties>
</file>

<file path=docProps/custom.xml><?xml version="1.0" encoding="utf-8"?>
<Properties xmlns="http://schemas.openxmlformats.org/officeDocument/2006/custom-properties" xmlns:vt="http://schemas.openxmlformats.org/officeDocument/2006/docPropsVTypes"/>
</file>