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b-1090-statewide-norcal-talking-points"/>
      <w:r>
        <w:t xml:space="preserve">SB 1090 — Statewide / NorCal Talking Points</w:t>
      </w:r>
      <w:bookmarkEnd w:id="20"/>
    </w:p>
    <w:p>
      <w:pPr>
        <w:pStyle w:val="FirstParagraph"/>
      </w:pPr>
      <w:r>
        <w:rPr>
          <w:i/>
        </w:rPr>
        <w:t xml:space="preserve">Why a Northern California legislator, or a constituent in Sonoma, Butte, or Plumas County, should care about an Altadena bill. The frame: wildfire recovery is a statewide problem, and SB 1123 strips local recovery control after ANY disaster. We support SB 1090 as drafted. Our concern is the SB 1123 ministerial-subdivision pathway — not infill housing generally. Advocacy material, not legal advice; figures verified against public sources.</w:t>
      </w:r>
    </w:p>
    <w:p>
      <w:pPr>
        <w:pStyle w:val="Heading2"/>
      </w:pPr>
      <w:bookmarkStart w:id="21" w:name="the-one-sentence-frame"/>
      <w:r>
        <w:t xml:space="preserve">The one-sentence frame</w:t>
      </w:r>
      <w:bookmarkEnd w:id="21"/>
    </w:p>
    <w:p>
      <w:pPr>
        <w:pStyle w:val="FirstParagraph"/>
      </w:pPr>
      <w:r>
        <w:t xml:space="preserve">SB 1090 isn’t an Altadena carve-out for its own sake — it’s a recovery-control fix that every fire-prone California community will need the next time disaster strikes.</w:t>
      </w:r>
    </w:p>
    <w:p>
      <w:pPr>
        <w:pStyle w:val="Heading2"/>
      </w:pPr>
      <w:bookmarkStart w:id="22" w:name="the-problem-statewide"/>
      <w:r>
        <w:t xml:space="preserve">The problem, statewide</w:t>
      </w:r>
      <w:bookmarkEnd w:id="22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SB 1123</w:t>
      </w:r>
      <w:r>
        <w:t xml:space="preserve"> </w:t>
      </w:r>
      <w:r>
        <w:t xml:space="preserve">(the Starter Home Revitalization Act) was written for normal urban infill, not disaster zones. It applies</w:t>
      </w:r>
      <w:r>
        <w:t xml:space="preserve"> </w:t>
      </w:r>
      <w:r>
        <w:rPr>
          <w:b/>
        </w:rPr>
        <w:t xml:space="preserve">automatically and ministerially</w:t>
      </w:r>
      <w:r>
        <w:t xml:space="preserve"> </w:t>
      </w:r>
      <w:r>
        <w:t xml:space="preserve">(by right, no hearing) even inside a federally declared disaster area.</w:t>
      </w:r>
    </w:p>
    <w:p>
      <w:pPr>
        <w:numPr>
          <w:ilvl w:val="0"/>
          <w:numId w:val="1001"/>
        </w:numPr>
        <w:pStyle w:val="Compact"/>
      </w:pPr>
      <w:r>
        <w:t xml:space="preserve">That means when a town burns, the law lets investors</w:t>
      </w:r>
      <w:r>
        <w:t xml:space="preserve"> </w:t>
      </w:r>
      <w:r>
        <w:rPr>
          <w:b/>
        </w:rPr>
        <w:t xml:space="preserve">buy scorched lots and subdivide them by right</w:t>
      </w:r>
      <w:r>
        <w:t xml:space="preserve"> </w:t>
      </w:r>
      <w:r>
        <w:t xml:space="preserve">into as many as ten units — before survivors have insurance checks, debris clearance, or a rebuilding plan, with no public process and no local say.</w:t>
      </w:r>
    </w:p>
    <w:p>
      <w:pPr>
        <w:numPr>
          <w:ilvl w:val="0"/>
          <w:numId w:val="1001"/>
        </w:numPr>
        <w:pStyle w:val="Compact"/>
      </w:pPr>
      <w:r>
        <w:t xml:space="preserve">The result is the same everywhere: recovery gets driven</w:t>
      </w:r>
      <w:r>
        <w:t xml:space="preserve"> </w:t>
      </w:r>
      <w:r>
        <w:rPr>
          <w:b/>
        </w:rPr>
        <w:t xml:space="preserve">parcel by parcel by whoever has cash fastest</w:t>
      </w:r>
      <w:r>
        <w:t xml:space="preserve">, instead of by the community trying to come home.</w:t>
      </w:r>
    </w:p>
    <w:p>
      <w:pPr>
        <w:pStyle w:val="Heading2"/>
      </w:pPr>
      <w:bookmarkStart w:id="23" w:name="Xbe24ffd76ae5aeadf65c0dc8d49e6c7c47b9f4a"/>
      <w:r>
        <w:t xml:space="preserve">It can’t be easier for developers to build than for the families who burned out</w:t>
      </w:r>
      <w:bookmarkEnd w:id="23"/>
    </w:p>
    <w:p>
      <w:pPr>
        <w:numPr>
          <w:ilvl w:val="0"/>
          <w:numId w:val="1002"/>
        </w:numPr>
        <w:pStyle w:val="Compact"/>
      </w:pPr>
      <w:r>
        <w:t xml:space="preserve">SB 1123 hands a developer a</w:t>
      </w:r>
      <w:r>
        <w:t xml:space="preserve"> </w:t>
      </w:r>
      <w:r>
        <w:rPr>
          <w:b/>
        </w:rPr>
        <w:t xml:space="preserve">fast, by-right, ministerial path</w:t>
      </w:r>
      <w:r>
        <w:t xml:space="preserve"> </w:t>
      </w:r>
      <w:r>
        <w:t xml:space="preserve">to carve a fire-cleared lot into up to ten units — no hearing, no neighbor notice, no discretionary review.</w:t>
      </w:r>
    </w:p>
    <w:p>
      <w:pPr>
        <w:numPr>
          <w:ilvl w:val="0"/>
          <w:numId w:val="1002"/>
        </w:numPr>
        <w:pStyle w:val="Compact"/>
      </w:pPr>
      <w:r>
        <w:t xml:space="preserve">The displaced homeowner next door, rebuilding</w:t>
      </w:r>
      <w:r>
        <w:t xml:space="preserve"> </w:t>
      </w:r>
      <w:r>
        <w:rPr>
          <w:b/>
        </w:rPr>
        <w:t xml:space="preserve">one house</w:t>
      </w:r>
      <w:r>
        <w:t xml:space="preserve">, faces the slow, discretionary permitting every rebuild requires.</w:t>
      </w:r>
    </w:p>
    <w:p>
      <w:pPr>
        <w:numPr>
          <w:ilvl w:val="0"/>
          <w:numId w:val="1002"/>
        </w:numPr>
        <w:pStyle w:val="Compact"/>
      </w:pPr>
      <w:r>
        <w:t xml:space="preserve">That</w:t>
      </w:r>
      <w:r>
        <w:t xml:space="preserve"> </w:t>
      </w:r>
      <w:r>
        <w:rPr>
          <w:b/>
        </w:rPr>
        <w:t xml:space="preserve">inverts disaster recovery</w:t>
      </w:r>
      <w:r>
        <w:t xml:space="preserve">: survivors should be first in line to come home, not outpaced on their own block by speculators with a ministerial shortcut. A temporary pause (SB 1090) puts residents first.</w:t>
      </w:r>
    </w:p>
    <w:p>
      <w:pPr>
        <w:pStyle w:val="Heading2"/>
      </w:pPr>
      <w:bookmarkStart w:id="24" w:name="Xab01bdd391a9e0d46244ef09a0ca40995d0f1fb"/>
      <w:r>
        <w:t xml:space="preserve">Public safety, evacuation, and infrastructure</w:t>
      </w:r>
      <w:bookmarkEnd w:id="24"/>
    </w:p>
    <w:p>
      <w:pPr>
        <w:numPr>
          <w:ilvl w:val="0"/>
          <w:numId w:val="1003"/>
        </w:numPr>
        <w:pStyle w:val="Compact"/>
      </w:pPr>
      <w:r>
        <w:t xml:space="preserve">Altadena’s foothill neighborhoods sit on</w:t>
      </w:r>
      <w:r>
        <w:t xml:space="preserve"> </w:t>
      </w:r>
      <w:r>
        <w:rPr>
          <w:b/>
        </w:rPr>
        <w:t xml:space="preserve">narrow, often single-access streets that just failed in a deadly, fast-moving fire.</w:t>
      </w:r>
      <w:r>
        <w:t xml:space="preserve"> </w:t>
      </w:r>
      <w:r>
        <w:t xml:space="preserve">Adding households and cars to those same streets is a</w:t>
      </w:r>
      <w:r>
        <w:t xml:space="preserve"> </w:t>
      </w:r>
      <w:r>
        <w:rPr>
          <w:b/>
        </w:rPr>
        <w:t xml:space="preserve">direct life-safety hazard</w:t>
      </w:r>
      <w:r>
        <w:t xml:space="preserve"> </w:t>
      </w:r>
      <w:r>
        <w:t xml:space="preserve">— it lengthens evacuation and degrades emergency egress on roads that already couldn’t clear residents in January 2025.</w:t>
      </w:r>
    </w:p>
    <w:p>
      <w:pPr>
        <w:numPr>
          <w:ilvl w:val="0"/>
          <w:numId w:val="1003"/>
        </w:numPr>
        <w:pStyle w:val="Compact"/>
      </w:pPr>
      <w:r>
        <w:t xml:space="preserve">The risk is compounded by conditions these blocks were never built to absorb:</w:t>
      </w:r>
      <w:r>
        <w:t xml:space="preserve"> </w:t>
      </w:r>
      <w:r>
        <w:rPr>
          <w:b/>
        </w:rPr>
        <w:t xml:space="preserve">no sidewalks, inadequate off-street parking, septic systems instead of public sewer, and undersized roads and utilities.</w:t>
      </w:r>
    </w:p>
    <w:p>
      <w:pPr>
        <w:numPr>
          <w:ilvl w:val="0"/>
          <w:numId w:val="1003"/>
        </w:numPr>
        <w:pStyle w:val="Compact"/>
      </w:pPr>
      <w:r>
        <w:t xml:space="preserve">Those same gaps</w:t>
      </w:r>
      <w:r>
        <w:t xml:space="preserve"> </w:t>
      </w:r>
      <w:r>
        <w:rPr>
          <w:b/>
        </w:rPr>
        <w:t xml:space="preserve">undercut the urban-infill premise SB 1123 relies on.</w:t>
      </w:r>
      <w:r>
        <w:t xml:space="preserve"> </w:t>
      </w:r>
      <w:r>
        <w:t xml:space="preserve">The SHRA assumes a site already served by urban infrastructure; a foothill block on septic, without sidewalks or adequate egress, isn’t that site — and the SHRA’s own criteria (public-sewer requirement; 75% developed-perimeter) confirm many of these lots don’t even qualify.</w:t>
      </w:r>
    </w:p>
    <w:p>
      <w:pPr>
        <w:pStyle w:val="Heading2"/>
      </w:pPr>
      <w:bookmarkStart w:id="25" w:name="X6cead605b4271278499999c49012ca594f1fe9d"/>
      <w:r>
        <w:t xml:space="preserve">This has already been Northern California’s story</w:t>
      </w:r>
      <w:bookmarkEnd w:id="25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Camp Fire / Paradise (2018, Butte Co.)</w:t>
      </w:r>
      <w:r>
        <w:t xml:space="preserve"> </w:t>
      </w:r>
      <w:r>
        <w:t xml:space="preserve">— California’s deadliest and costliest wildfire:</w:t>
      </w:r>
      <w:r>
        <w:t xml:space="preserve"> </w:t>
      </w:r>
      <w:r>
        <w:rPr>
          <w:b/>
        </w:rPr>
        <w:t xml:space="preserve">85 deaths</w:t>
      </w:r>
      <w:r>
        <w:t xml:space="preserve"> </w:t>
      </w:r>
      <w:r>
        <w:t xml:space="preserve">and roughly</w:t>
      </w:r>
      <w:r>
        <w:t xml:space="preserve"> </w:t>
      </w:r>
      <w:r>
        <w:rPr>
          <w:b/>
        </w:rPr>
        <w:t xml:space="preserve">19,000 structures</w:t>
      </w:r>
      <w:r>
        <w:t xml:space="preserve"> </w:t>
      </w:r>
      <w:r>
        <w:t xml:space="preserve">destroyed.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Tubbs Fire / Santa Rosa (2017, Sonoma Co.)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22 deaths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5,643 structures</w:t>
      </w:r>
      <w:r>
        <w:t xml:space="preserve">, including whole Santa Rosa neighborhoods like Coffey Park.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North Complex / Berry Creek (2020, Butte &amp; Plumas Co.)</w:t>
      </w:r>
      <w:r>
        <w:t xml:space="preserve"> </w:t>
      </w:r>
      <w:r>
        <w:t xml:space="preserve">— destroyed the town of Berry Creek with significant loss of life.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Dixie Fire (2021)</w:t>
      </w:r>
      <w:r>
        <w:t xml:space="preserve"> </w:t>
      </w:r>
      <w:r>
        <w:t xml:space="preserve">— nearly</w:t>
      </w:r>
      <w:r>
        <w:t xml:space="preserve"> </w:t>
      </w:r>
      <w:r>
        <w:rPr>
          <w:b/>
        </w:rPr>
        <w:t xml:space="preserve">1 million acres</w:t>
      </w:r>
      <w:r>
        <w:t xml:space="preserve">; wiped out most of the historic town of</w:t>
      </w:r>
      <w:r>
        <w:t xml:space="preserve"> </w:t>
      </w:r>
      <w:r>
        <w:rPr>
          <w:b/>
        </w:rPr>
        <w:t xml:space="preserve">Greenville</w:t>
      </w:r>
      <w:r>
        <w:t xml:space="preserve"> </w:t>
      </w:r>
      <w:r>
        <w:t xml:space="preserve">in Plumas County.</w:t>
      </w:r>
    </w:p>
    <w:p>
      <w:pPr>
        <w:pStyle w:val="Heading2"/>
      </w:pPr>
      <w:bookmarkStart w:id="26" w:name="the-argument-for-norcal-legislators"/>
      <w:r>
        <w:t xml:space="preserve">The argument for NorCal legislators</w:t>
      </w:r>
      <w:bookmarkEnd w:id="26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This could be your district next.</w:t>
      </w:r>
      <w:r>
        <w:t xml:space="preserve"> </w:t>
      </w:r>
      <w:r>
        <w:t xml:space="preserve">A recovery-control tool that works for Altadena is a template that protects Paradise, Santa Rosa, Greenville, and the next town in line.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It’s narrow and time-limited.</w:t>
      </w:r>
      <w:r>
        <w:t xml:space="preserve"> </w:t>
      </w:r>
      <w:r>
        <w:t xml:space="preserve">SB 1090 pauses the SB 1123 ministerial pathway in a defined disaster area during recovery. It is</w:t>
      </w:r>
      <w:r>
        <w:t xml:space="preserve"> </w:t>
      </w:r>
      <w:r>
        <w:rPr>
          <w:b/>
        </w:rPr>
        <w:t xml:space="preserve">look-forward</w:t>
      </w:r>
      <w:r>
        <w:t xml:space="preserve"> </w:t>
      </w:r>
      <w:r>
        <w:t xml:space="preserve">— it doesn’t repeal housing law or block building; it prevents speculative subdivision from locking in before residents can return.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It protects local control and life safety</w:t>
      </w:r>
      <w:r>
        <w:t xml:space="preserve">, which both parties value: after a disaster, how a neighborhood comes back — and whether its evacuation routes can handle more density — should be decided locally, not by whoever files a ministerial map first.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Consider strengthening it.</w:t>
      </w:r>
      <w:r>
        <w:t xml:space="preserve"> </w:t>
      </w:r>
      <w:r>
        <w:t xml:space="preserve">Ask whether the protection should extend to</w:t>
      </w:r>
      <w:r>
        <w:t xml:space="preserve"> </w:t>
      </w:r>
      <w:r>
        <w:rPr>
          <w:b/>
        </w:rPr>
        <w:t xml:space="preserve">any state- or federally declared wildfire disaster area</w:t>
      </w:r>
      <w:r>
        <w:t xml:space="preserve">, so the Legislature doesn’t have to pass a new Altadena-style bill after every fire.</w:t>
      </w:r>
    </w:p>
    <w:p>
      <w:pPr>
        <w:pStyle w:val="Heading2"/>
      </w:pPr>
      <w:bookmarkStart w:id="27" w:name="tailored-asks"/>
      <w:r>
        <w:t xml:space="preserve">Tailored asks</w:t>
      </w:r>
      <w:bookmarkEnd w:id="27"/>
    </w:p>
    <w:p>
      <w:pPr>
        <w:pStyle w:val="FirstParagraph"/>
      </w:pPr>
      <w:r>
        <w:rPr>
          <w:b/>
        </w:rPr>
        <w:t xml:space="preserve">For NorCal constituents (calling/writing your own representative):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Support SB 1090. After the Eaton Fire, speculators are using SB 1123 to subdivide burned lots into up to ten by-right units before survivors can rebuild — on narrow foothill streets that just failed in a deadly fire. The same thing could happen here after the next fire. Please protect disaster recovery and vote YES.</w:t>
      </w:r>
      <w:r>
        <w:t xml:space="preserve">”</w:t>
      </w:r>
    </w:p>
    <w:p>
      <w:pPr>
        <w:pStyle w:val="BodyText"/>
      </w:pPr>
      <w:r>
        <w:rPr>
          <w:b/>
        </w:rPr>
        <w:t xml:space="preserve">For NorCal legislators:</w:t>
      </w:r>
      <w:r>
        <w:t xml:space="preserve"> </w:t>
      </w:r>
      <w:r>
        <w:t xml:space="preserve">- Vote YES on SB 1090 in the Assembly Housing &amp; Community Development and Local Government committees, and on the floor.</w:t>
      </w:r>
      <w:r>
        <w:t xml:space="preserve"> </w:t>
      </w:r>
      <w:r>
        <w:t xml:space="preserve">- Note that your district’s fire history makes this a statewide recovery and life-safety issue.</w:t>
      </w:r>
      <w:r>
        <w:t xml:space="preserve"> </w:t>
      </w:r>
      <w:r>
        <w:t xml:space="preserve">- Explore amendments to apply the recovery pause to any declared wildfire disaster area.</w:t>
      </w:r>
    </w:p>
    <w:p>
      <w:pPr>
        <w:pStyle w:val="Heading2"/>
      </w:pPr>
      <w:bookmarkStart w:id="28" w:name="sources"/>
      <w:r>
        <w:t xml:space="preserve">Sources</w:t>
      </w:r>
      <w:bookmarkEnd w:id="28"/>
    </w:p>
    <w:p>
      <w:pPr>
        <w:numPr>
          <w:ilvl w:val="0"/>
          <w:numId w:val="1006"/>
        </w:numPr>
        <w:pStyle w:val="Compact"/>
      </w:pPr>
      <w:r>
        <w:t xml:space="preserve">Camp Fire: Britannica; Tubbs Fire &amp; Dixie Fire: Wikipedia / news coverage (figures cross-checked June 2026).</w:t>
      </w:r>
    </w:p>
    <w:p>
      <w:pPr>
        <w:numPr>
          <w:ilvl w:val="0"/>
          <w:numId w:val="1006"/>
        </w:numPr>
        <w:pStyle w:val="Compact"/>
      </w:pPr>
      <w:r>
        <w:t xml:space="preserve">SB 1090 status &amp; text: leginfo / LegiScan (passed Senate 5/27/2026; re-referred 6/11/2026 to Assembly Housing &amp; CD and Local Government).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2026-06-16T04:54:48Z</dcterms:created>
  <dcterms:modified xsi:type="dcterms:W3CDTF">2026-06-16T04:54:48Z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