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 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May 8, 2019.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w:t>
      </w:r>
      <w:r>
        <w:t xml:space="preserve"> </w:t>
      </w:r>
      <w:hyperlink w:anchor="3-1-infrastructure-as-code-library">
        <w:r>
          <w:rPr>
            <w:rStyle w:val="Hyperlink"/>
          </w:rPr>
          <w:t xml:space="preserve">3.1</w:t>
        </w:r>
      </w:hyperlink>
      <w:r>
        <w:t xml:space="preserve"> </w:t>
      </w:r>
      <w:r>
        <w:t xml:space="preserve">below). If you use the Gruntwork Subscription and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Professional Support and Reference Architecture, (b) you will not be subject to the Minimum Term (as defined in</w:t>
      </w:r>
      <w:r>
        <w:t xml:space="preserve"> </w:t>
      </w:r>
      <w:hyperlink w:anchor="1-1-auto-renewing-terms-of-12-months">
        <w:r>
          <w:rPr>
            <w:rStyle w:val="Hyperlink"/>
          </w:rPr>
          <w:t xml:space="preserve">1.1</w:t>
        </w:r>
      </w:hyperlink>
      <w:r>
        <w:t xml:space="preserve"> </w:t>
      </w:r>
      <w:r>
        <w:t xml:space="preserve">above), and</w:t>
      </w:r>
      <w:r>
        <w:t xml:space="preserve"> </w:t>
      </w:r>
      <w:hyperlink w:anchor="1-3-termination-by-you">
        <w:r>
          <w:rPr>
            <w:rStyle w:val="Hyperlink"/>
          </w:rPr>
          <w:t xml:space="preserve">1.3</w:t>
        </w:r>
      </w:hyperlink>
      <w:r>
        <w:t xml:space="preserve"> </w:t>
      </w:r>
      <w:r>
        <w:t xml:space="preserve">and</w:t>
      </w:r>
      <w:r>
        <w:t xml:space="preserve"> </w:t>
      </w:r>
      <w:hyperlink w:anchor="1-4-continuation-of-subscription-plan-services">
        <w:r>
          <w:rPr>
            <w:rStyle w:val="Hyperlink"/>
          </w:rPr>
          <w:t xml:space="preserve">1.4</w:t>
        </w:r>
      </w:hyperlink>
      <w:r>
        <w:t xml:space="preserve"> </w:t>
      </w:r>
      <w:r>
        <w:t xml:space="preserve">above shall not apply, (c) notwithstanding</w:t>
      </w:r>
      <w:r>
        <w:t xml:space="preserve"> </w:t>
      </w:r>
      <w:hyperlink w:anchor="1-5-post-termination-rights">
        <w:r>
          <w:rPr>
            <w:rStyle w:val="Hyperlink"/>
          </w:rPr>
          <w:t xml:space="preserve">1.5</w:t>
        </w:r>
      </w:hyperlink>
      <w:r>
        <w:t xml:space="preserve"> </w:t>
      </w:r>
      <w:r>
        <w:t xml:space="preserve">above, the License shall immediately terminate in full and you shall immediately cease use of all Gruntwork intellectual property, including all of your forks of the Gruntwork source code repositories, and (d) notwithstanding</w:t>
      </w:r>
      <w:r>
        <w:t xml:space="preserve"> </w:t>
      </w:r>
      <w:hyperlink w:anchor="1-3-post-termination-rights">
        <w:r>
          <w:rPr>
            <w:rStyle w:val="Hyperlink"/>
          </w:rPr>
          <w:t xml:space="preserve">1.3</w:t>
        </w:r>
      </w:hyperlink>
      <w:r>
        <w:t xml:space="preserve"> </w:t>
      </w:r>
      <w:r>
        <w:t xml:space="preserve">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shall only received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May 8, 2019.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sections 1.2</w:t>
        </w:r>
      </w:hyperlink>
      <w:r>
        <w:t xml:space="preserve"> </w:t>
      </w:r>
      <w:r>
        <w:t xml:space="preserve">and</w:t>
      </w:r>
      <w:r>
        <w:t xml:space="preserve"> </w:t>
      </w:r>
      <w:hyperlink w:anchor="1-3-termination-for-convenience">
        <w:r>
          <w:rPr>
            <w:rStyle w:val="Hyperlink"/>
          </w:rPr>
          <w:t xml:space="preserve">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May 8, 2019.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 and for any source code repositories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3.2.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3.3. Deployed in Client cloud account(s).</w:t>
      </w:r>
      <w:r>
        <w:t xml:space="preserve"> </w:t>
      </w:r>
      <w:r>
        <w:t xml:space="preserve">Gruntwork will deploy the Reference Architecture into cloud provider account(s) owned by you.</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May 8, 2019.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install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Effects of Termination.</w:t>
      </w:r>
      <w:r>
        <w:t xml:space="preserve"> </w:t>
      </w:r>
      <w:r>
        <w:t xml:space="preserve">If you or Gruntwork terminate your use of Houston, any outstanding balances due to Gruntwork for the period up to the termination date shall be immediately due in full, and you will not be entitled to a refund of any prepaid amounts.</w:t>
      </w:r>
    </w:p>
    <w:p>
      <w:pPr>
        <w:pStyle w:val="BodyText"/>
      </w:pPr>
      <w:r>
        <w:rPr>
          <w:b/>
        </w:rPr>
        <w:t xml:space="preserve">1.5.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1.6.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In consideration for your use of Houston, you shall pay Gruntwork the rate specified at</w:t>
      </w:r>
      <w:r>
        <w:t xml:space="preserve"> </w:t>
      </w:r>
      <w:hyperlink r:id="rId61">
        <w:r>
          <w:rPr>
            <w:rStyle w:val="Hyperlink"/>
          </w:rPr>
          <w:t xml:space="preserve">https://gruntwork.io/pricing</w:t>
        </w:r>
      </w:hyperlink>
      <w:r>
        <w:t xml:space="preserve"> </w:t>
      </w:r>
      <w:r>
        <w:t xml:space="preserve">for the number of Houston Auth Users and Houston Pro Users selected during registration on a monthly basis,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Gruntwork Houston Terms.</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Houston Auth User and Houston Pro User will have access to the Houston services and Houston downloadable tools, but not to the Houston source code repository, which shall remain private to Gruntwork.</w:t>
      </w:r>
    </w:p>
    <w:p>
      <w:pPr>
        <w:pStyle w:val="BodyText"/>
      </w:pPr>
      <w:r>
        <w:rPr>
          <w:b/>
        </w:rPr>
        <w:t xml:space="preserve">3.2. Houston Auth User Features.</w:t>
      </w:r>
      <w:r>
        <w:t xml:space="preserve"> </w:t>
      </w:r>
      <w:r>
        <w:t xml:space="preserve">Authorized Users who are Houston Auth Users or Houston Pro Users shall have access to the following features:</w:t>
      </w:r>
    </w:p>
    <w:p>
      <w:pPr>
        <w:pStyle w:val="BodyText"/>
      </w:pPr>
      <w:r>
        <w:rPr>
          <w:b/>
        </w:rPr>
        <w:t xml:space="preserve">3.2.1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Houston Pro User Features.</w:t>
      </w:r>
      <w:r>
        <w:t xml:space="preserve"> </w:t>
      </w:r>
      <w:r>
        <w:t xml:space="preserve">Authorized Users who are Houston Pro Users shall also have access to the following features:</w:t>
      </w:r>
    </w:p>
    <w:p>
      <w:pPr>
        <w:pStyle w:val="BodyText"/>
      </w:pPr>
      <w:r>
        <w:rPr>
          <w:b/>
        </w:rPr>
        <w:t xml:space="preserve">3.3.1. Dev UI.</w:t>
      </w:r>
      <w:r>
        <w:t xml:space="preserve"> </w:t>
      </w:r>
      <w:r>
        <w:t xml:space="preserve">Developers shall have access to a user interface they can use to deploy and manage services.</w:t>
      </w:r>
    </w:p>
    <w:p>
      <w:pPr>
        <w:pStyle w:val="BodyText"/>
      </w:pPr>
      <w:r>
        <w:rPr>
          <w:b/>
        </w:rPr>
        <w:t xml:space="preserve">3.3.2. Ops Control.</w:t>
      </w:r>
      <w:r>
        <w:t xml:space="preserve"> </w:t>
      </w:r>
      <w:r>
        <w:t xml:space="preserve">Operations engineers shall have the ability to define how a set of services are managed and deployed by using infrastructure as code.</w:t>
      </w:r>
    </w:p>
    <w:p>
      <w:pPr>
        <w:pStyle w:val="BodyText"/>
      </w:pPr>
      <w:r>
        <w:rPr>
          <w:b/>
        </w:rPr>
        <w:t xml:space="preserve">3.4.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2019-08-20T12:25:10Z</dcterms:created>
  <dcterms:modified xsi:type="dcterms:W3CDTF">2019-08-20T12:25:10Z</dcterms:modified>
</cp:coreProperties>
</file>