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w:t>
      </w:r>
      <w:r>
        <w:br w:type="textWrapping"/>
      </w:r>
      <w:r>
        <w:t xml:space="preserve">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w:t>
      </w:r>
      <w:r>
        <w:br w:type="textWrapping"/>
      </w:r>
      <w:r>
        <w:t xml:space="preserve">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w:t>
      </w:r>
      <w:r>
        <w:br w:type="textWrapping"/>
      </w:r>
      <w:r>
        <w:t xml:space="preserve">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w:t>
      </w:r>
      <w:r>
        <w:br w:type="textWrapping"/>
      </w:r>
      <w:r>
        <w:t xml:space="preserve">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 3.1 below). If you use the Gruntwork Subscription and register for the Reference Architecture, the Trial Period will begin on the date Gruntwork commits to deploying your Reference Architecture (as defined in 3.2 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Dedicated Support and Reference Architecture, (b) you will not be subject to the Minimum Term (as defined in 1.1 above), and 1.3 and 1.4 above shall not apply, (c) notwithstanding 1.5 above, the License shall immediately terminate in full and you shall immediately cease use of all Gruntwork intellectual property, including all of your forks of the Gruntwork source code repositories, and (d) notwithstanding 1.3 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w:t>
      </w:r>
      <w:r>
        <w:t xml:space="preserve"> </w:t>
      </w:r>
      <w:r>
        <w:t xml:space="preserve">Gruntwork provides a community chat room where Gruntwork customers may ask questions, discuss design decisions, and work together as a community. Gruntwork employees will periodically monitor this chat room and provide help when appropriate. This communication will be done over a medium determined by Gruntwork, such as a Slack channel.</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dedicated-support"/>
      <w:r>
        <w:t xml:space="preserve">Dedicated Support Terms</w:t>
      </w:r>
      <w:bookmarkEnd w:id="50"/>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1" w:name="term-and-termination-2"/>
      <w:r>
        <w:t xml:space="preserve">1. Term and Termination</w:t>
      </w:r>
      <w:bookmarkEnd w:id="51"/>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 unless you terminate your use of Dedicated Support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Heading3"/>
      </w:pPr>
      <w:bookmarkStart w:id="52" w:name="payment-terms-1"/>
      <w:r>
        <w:t xml:space="preserve">2. Payment Terms</w:t>
      </w:r>
      <w:bookmarkEnd w:id="52"/>
    </w:p>
    <w:p>
      <w:pPr>
        <w:pStyle w:val="FirstParagraph"/>
      </w:pPr>
      <w:r>
        <w:t xml:space="preserve">In consideration for the Dedicated Support,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1">
        <w:r>
          <w:rPr>
            <w:rStyle w:val="Hyperlink"/>
          </w:rPr>
          <w:t xml:space="preserve">section 1</w:t>
        </w:r>
      </w:hyperlink>
      <w:r>
        <w:t xml:space="preserve"> </w:t>
      </w:r>
      <w:r>
        <w:t xml:space="preserve">of these Dedicated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two business days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4" w:name="reference-architecture"/>
      <w:r>
        <w:t xml:space="preserve">Reference Architecture Terms</w:t>
      </w:r>
      <w:bookmarkEnd w:id="54"/>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September 17, 2018.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deploy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1.5.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Your payment for the Gruntwork Subscription entitles your Authorized Users for your Gruntwork Subscription to also use Houston.</w:t>
      </w:r>
    </w:p>
    <w:p>
      <w:pPr>
        <w:pStyle w:val="Heading3"/>
      </w:pPr>
      <w:bookmarkStart w:id="61" w:name="included-features-3"/>
      <w:r>
        <w:t xml:space="preserve">3. Included Features</w:t>
      </w:r>
      <w:bookmarkEnd w:id="61"/>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Authorized User will have access to the Houston services and Houston downloadable tools, but not to the Houston source code repository, which shall remain private to Gruntwork.</w:t>
      </w:r>
    </w:p>
    <w:p>
      <w:pPr>
        <w:pStyle w:val="BodyText"/>
      </w:pPr>
      <w:r>
        <w:rPr>
          <w:b/>
        </w:rPr>
        <w:t xml:space="preserve">3.2.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2" w:name="customer-responsibilities"/>
      <w:r>
        <w:t xml:space="preserve">4. Customer Responsibilities</w:t>
      </w:r>
      <w:bookmarkEnd w:id="62"/>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3" w:name="additional-provisions"/>
      <w:r>
        <w:t xml:space="preserve">5. Additional Provisions</w:t>
      </w:r>
      <w:bookmarkEnd w:id="63"/>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2019-05-09T00:18:43Z</dcterms:created>
  <dcterms:modified xsi:type="dcterms:W3CDTF">2019-05-09T00:18:43Z</dcterms:modified>
</cp:coreProperties>
</file>