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w:t>
      </w:r>
      <w:r>
        <w:br w:type="textWrapping"/>
      </w:r>
      <w:r>
        <w:t xml:space="preserve">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w:t>
      </w:r>
      <w:r>
        <w:br w:type="textWrapping"/>
      </w:r>
      <w:r>
        <w:t xml:space="preserve">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w:t>
      </w:r>
      <w:r>
        <w:br w:type="textWrapping"/>
      </w:r>
      <w:r>
        <w:t xml:space="preserve">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w:t>
      </w:r>
      <w:r>
        <w:br w:type="textWrapping"/>
      </w:r>
      <w:r>
        <w:t xml:space="preserve">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dedicated-support"/>
      <w:r>
        <w:t xml:space="preserve">Dedicated Support Terms</w:t>
      </w:r>
      <w:bookmarkEnd w:id="50"/>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1" w:name="term-and-termination-2"/>
      <w:r>
        <w:t xml:space="preserve">1. Term and Termination</w:t>
      </w:r>
      <w:bookmarkEnd w:id="51"/>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w:t>
      </w:r>
    </w:p>
    <w:p>
      <w:pPr>
        <w:pStyle w:val="Heading3"/>
      </w:pPr>
      <w:bookmarkStart w:id="52" w:name="payment-terms-1"/>
      <w:r>
        <w:t xml:space="preserve">2. Payment Terms</w:t>
      </w:r>
      <w:bookmarkEnd w:id="52"/>
    </w:p>
    <w:p>
      <w:pPr>
        <w:pStyle w:val="FirstParagraph"/>
      </w:pPr>
      <w:r>
        <w:t xml:space="preserve">In consideration for the Dedicated Support,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1">
        <w:r>
          <w:rPr>
            <w:rStyle w:val="Hyperlink"/>
          </w:rPr>
          <w:t xml:space="preserve">section 1</w:t>
        </w:r>
      </w:hyperlink>
      <w:r>
        <w:t xml:space="preserve"> </w:t>
      </w:r>
      <w:r>
        <w:t xml:space="preserve">of these Dedicated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one business day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4" w:name="reference-architecture"/>
      <w:r>
        <w:t xml:space="preserve">Reference Architecture Terms</w:t>
      </w:r>
      <w:bookmarkEnd w:id="54"/>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September 17, 2018.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deploy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1.5.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Your payment for the Gruntwork Subscription entitles your Authorized Users for your Gruntwork Subscription to also use Houston.</w:t>
      </w:r>
    </w:p>
    <w:p>
      <w:pPr>
        <w:pStyle w:val="Heading3"/>
      </w:pPr>
      <w:bookmarkStart w:id="61" w:name="included-features-3"/>
      <w:r>
        <w:t xml:space="preserve">3. Included Features</w:t>
      </w:r>
      <w:bookmarkEnd w:id="61"/>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Authorized User will have access to the Houston services and Houston downloadable tools, but not to the Houston source code repository, which shall remain private to Gruntwork.</w:t>
      </w:r>
    </w:p>
    <w:p>
      <w:pPr>
        <w:pStyle w:val="BodyText"/>
      </w:pPr>
      <w:r>
        <w:rPr>
          <w:b/>
        </w:rPr>
        <w:t xml:space="preserve">3.2.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2" w:name="customer-responsibilities"/>
      <w:r>
        <w:t xml:space="preserve">4. Customer Responsibilities</w:t>
      </w:r>
      <w:bookmarkEnd w:id="62"/>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3" w:name="additional-provisions"/>
      <w:r>
        <w:t xml:space="preserve">5. Additional Provisions</w:t>
      </w:r>
      <w:bookmarkEnd w:id="63"/>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2018-10-22T23:29:33Z</dcterms:created>
  <dcterms:modified xsi:type="dcterms:W3CDTF">2018-10-22T23:29:33Z</dcterms:modified>
</cp:coreProperties>
</file>