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Conversational Accountability System (CAS): A Software-Only, CCM-Driven Solution for Geriatric Adherence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Bridging the Cognitive Gap with LLM and Accountable Dialogue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Conversational Accountability System (CAS) proposes a unique, purely software-based solution to address the persistent challenges of medication non-adherence among geriatric patients like Mr. Sharma. Current digital health applications overwhelmingly fail older adults due to complex Graphical User Interfaces (GUIs) and a high cognitive load required for navigation and manual data entry.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 resolves this by establishing the conversational Large Language Model (LLM) as the primary, voice-first interface. This strategic shift bypasses the usability barriers of traditional apps and focuses on the two critical components a software-only solution can uniquely provide: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Accessibility:</w:t>
      </w:r>
      <w:r w:rsidDel="00000000" w:rsidR="00000000" w:rsidRPr="00000000">
        <w:rPr>
          <w:rtl w:val="0"/>
        </w:rPr>
        <w:t xml:space="preserve"> Using empathetic LLMs to simplify complex doctor instructions and ensure comprehension via the mandatory </w:t>
      </w:r>
      <w:r w:rsidDel="00000000" w:rsidR="00000000" w:rsidRPr="00000000">
        <w:rPr>
          <w:b w:val="1"/>
          <w:bCs w:val="1"/>
          <w:rtl w:val="0"/>
        </w:rPr>
        <w:t xml:space="preserve">"Teach-Back Method."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Accountability Verification:</w:t>
      </w:r>
      <w:r w:rsidDel="00000000" w:rsidR="00000000" w:rsidRPr="00000000">
        <w:rPr>
          <w:rtl w:val="0"/>
        </w:rPr>
        <w:t xml:space="preserve"> Replacing physical ingestion tracking with </w:t>
      </w:r>
      <w:r w:rsidDel="00000000" w:rsidR="00000000" w:rsidRPr="00000000">
        <w:rPr>
          <w:b w:val="1"/>
          <w:bCs w:val="1"/>
          <w:rtl w:val="0"/>
        </w:rPr>
        <w:t xml:space="preserve">Conversational Commitment and Proxy Verification</w:t>
      </w:r>
      <w:r w:rsidDel="00000000" w:rsidR="00000000" w:rsidRPr="00000000">
        <w:rPr>
          <w:rtl w:val="0"/>
        </w:rPr>
        <w:t xml:space="preserve"> protocols, which securely engage designated caregivers to verify adherence when the patient misses a dose.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value of CAS lies in its ability to autonomously generate the high-quality, documented patient engagement data required for </w:t>
      </w:r>
      <w:r w:rsidDel="00000000" w:rsidR="00000000" w:rsidRPr="00000000">
        <w:rPr>
          <w:b w:val="1"/>
          <w:bCs w:val="1"/>
          <w:rtl w:val="0"/>
        </w:rPr>
        <w:t xml:space="preserve">Chronic Care Management (CCM)</w:t>
      </w:r>
      <w:r w:rsidDel="00000000" w:rsidR="00000000" w:rsidRPr="00000000">
        <w:rPr>
          <w:rtl w:val="0"/>
        </w:rPr>
        <w:t xml:space="preserve"> billing (CPT 99490/99491). By automating the required 20+ minutes of non-face-to-face patient education, ongoing status review, and care coordination, CAS acts as a force multiplier for clinical staff, transforming the adherence tool into a financially viable, clinically integrated service.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Foundational Assessment: The Adherence Crisis and Usability Failures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Medication Non-Adherence Crisis in Geriatric Care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Medication errors and poor adherence constitute a significant public health challenge, particularly impacting vulnerable demographics such as the elderly and individuals managing multiple chronic conditions. Poor medication adherence is defined by the deviation from a prescribed regimen and is a leading contributor to treatment failure. Research has revealed alarming discrepancies between prescribed medications and those actually consumed by patients, with some studies uncovering a disparity rate as high as 76%. Incorrect dosage and timing further exacerbate adverse patient outcomes, contributing significantly to increased morbidity and mortality rates. For patients like Mr. Sharma, reliance on memory or complex handwritten notes is insufficient, highlighting the need for technological intervention that simplifies and standardizes the process.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Systemic Failures of Current Digital Solutions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market's reliance on mobile applications (apps) is demonstrably unsuitable for the geriatric population due to systemic usability and design failures.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medication reminder applications (apps), while widely available, often prove unsuitable for older adults due to complex interfaces and poor usability design. Findings from extensive cognitive walkthroughs and heuristic evaluations consistently reveal critical flaws, including difficulty in navigation, inadequate visibility (often featuring interfaces dense with instructions), and a general lack of transparency regarding functionality. User reviews confirm these structural deficits, frequently citing inconsistent or unreliable reminders, lack of flexibility for adjusting missed doses, and excessive manual input required for initial setup.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complexity of these Graphical User Interfaces (GUIs) directly correlates with low usage intention among the elderly, especially those with less formal education. When the interface is complex, dense with instructions, or user-unfriendly, it creates a significant cognitive barrier to registration and daily navigation. For example, the need for users to manually enter medications is a common usability complaint. This evidence confirms that any successful solution must dramatically shift the primary mode of interaction away from complex visual menus to overcome these inherent cognitive barriers.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CAS Architecture: Defining the Purely Conversational Solution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Conversational Accountability System (CAS) is designed as a secure, voice-first mobile/web application that operates entirely in software, overcoming the usability limitations of traditional apps by distributing core functions across dedicated digital components.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CAS Software Pillars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Conversational AI Core (LLM):</w:t>
      </w:r>
      <w:r w:rsidDel="00000000" w:rsidR="00000000" w:rsidRPr="00000000">
        <w:rPr>
          <w:rtl w:val="0"/>
        </w:rPr>
        <w:t xml:space="preserve"> This primary component manages all patient interaction, simplifying complex doctor instructions, providing education, and initiating all adherence protocols through natural dialogue.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Redundant Digital Cueing Engine:</w:t>
      </w:r>
      <w:r w:rsidDel="00000000" w:rsidR="00000000" w:rsidRPr="00000000">
        <w:rPr>
          <w:rtl w:val="0"/>
        </w:rPr>
        <w:t xml:space="preserve"> This system ensures reminders are timely and reliable by utilizing a tiered alert system across common digital channels (e.g., in-app notifications, secure SMS, email, and potentially a simplified web interface).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Verification and Proxy Module:</w:t>
      </w:r>
      <w:r w:rsidDel="00000000" w:rsidR="00000000" w:rsidRPr="00000000">
        <w:rPr>
          <w:rtl w:val="0"/>
        </w:rPr>
        <w:t xml:space="preserve"> This component replaces physical verification by logging explicit </w:t>
      </w:r>
      <w:r w:rsidDel="00000000" w:rsidR="00000000" w:rsidRPr="00000000">
        <w:rPr>
          <w:b w:val="1"/>
          <w:bCs w:val="1"/>
          <w:rtl w:val="0"/>
        </w:rPr>
        <w:t xml:space="preserve">Self-Reported Adherence</w:t>
      </w:r>
      <w:r w:rsidDel="00000000" w:rsidR="00000000" w:rsidRPr="00000000">
        <w:rPr>
          <w:rtl w:val="0"/>
        </w:rPr>
        <w:t xml:space="preserve"> and securely escalating non-adherence to designated caregivers for </w:t>
      </w:r>
      <w:r w:rsidDel="00000000" w:rsidR="00000000" w:rsidRPr="00000000">
        <w:rPr>
          <w:b w:val="1"/>
          <w:bCs w:val="1"/>
          <w:rtl w:val="0"/>
        </w:rPr>
        <w:t xml:space="preserve">Proxy Verification</w:t>
      </w:r>
      <w:r w:rsidDel="00000000" w:rsidR="00000000" w:rsidRPr="00000000">
        <w:rPr>
          <w:rtl w:val="0"/>
        </w:rPr>
        <w:t xml:space="preserve">, ensuring accountability.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Flow, Interoperability, and System Communication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 architecture ensures secure, HIPAA-compliant handling of electronic Protected Health Information (ePHI). Dialogue transcripts and adherence logs (scheduled time, self-reported time) are generated by the LLM and the Cueing Engine.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ePHI is securely transmitted to a central HIPAA-compliant cloud environment. For clinical adoption, CAS must prioritize interoperability with existing healthcare infrastructure, mandating adherence to modern data sharing standards, specifically supporting the authoring and consumption of clinical documents in </w:t>
      </w:r>
      <w:r w:rsidDel="00000000" w:rsidR="00000000" w:rsidRPr="00000000">
        <w:rPr>
          <w:b w:val="1"/>
          <w:bCs w:val="1"/>
          <w:rtl w:val="0"/>
        </w:rPr>
        <w:t xml:space="preserve">Fast Healthcare Interoperability Resources (FHIR®) formats</w:t>
      </w:r>
      <w:r w:rsidDel="00000000" w:rsidR="00000000" w:rsidRPr="00000000">
        <w:rPr>
          <w:rtl w:val="0"/>
        </w:rPr>
        <w:t xml:space="preserve">. Utilizing a </w:t>
      </w:r>
      <w:r w:rsidDel="00000000" w:rsidR="00000000" w:rsidRPr="00000000">
        <w:rPr>
          <w:b w:val="1"/>
          <w:bCs w:val="1"/>
          <w:rtl w:val="0"/>
        </w:rPr>
        <w:t xml:space="preserve">FHIR®-compliant API</w:t>
      </w:r>
      <w:r w:rsidDel="00000000" w:rsidR="00000000" w:rsidRPr="00000000">
        <w:rPr>
          <w:rtl w:val="0"/>
        </w:rPr>
        <w:t xml:space="preserve"> as the foundational communication process ensures that the adherence and engagement data generated by CAS can be seamlessly integrated into certified Electronic Health Records (EHRs).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Conversational AI Core: Mastering Health Literacy and Interaction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Conversational AI Core is the CAS system’s primary interface, specifically designed to bypass the complex navigation and dense instructions that render traditional apps unusable for the elderly.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LLM Selection and Core Capabilities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LLM selected for CAS must be a human-centric medical assistant capable of eliciting information through natural, empathetic dialogue, thereby significantly enhancing user accessibility and engagement. The system must employ specialized support models, potentially leveraging architectures similar to those clinically validated (e.g., constellation architectures utilizing 4.1T+ parameters) to ensure high medical accuracy and safety in all communications. This ensures the LLM performs well from both a clinical and user perspective.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Prompt Engineering for Instruction Simplification and Clinical Safety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LLM’s primary clinical function is to translate highly complex clinical instructions from prescriptions (e.g., drug interactions, titration schedules, specific timing requirements) into plain, non-medical language.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process necessitates a robust prompt engineering framework. Clinicians and NLP specialists must define clear clinical objectives and employ iterative prompt refinement methods—such as few-shot, chain-of-thought, and meta-prompting—to generate safe, accurate, and easily comprehensible patient communications. This structured approach ensures that the system maintains ethical standards and patient safety while maximizing the LLM's capability to enhance patient communication.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Dialogue Strategy: The "Conversational Teach-Back Method"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conversational model is structured around principles of clear communication designed specifically for patients with low health literacy. The dialogue must consistently use plain language, avoid technical jargon and acronyms, and strategically limit the amount of new information provided in any single session. Visuals, while secondary to conversation, can be incorporated on the device's display for technically complex topics.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central innovation of the CAS dialogue strategy is the mandatory use of the </w:t>
      </w:r>
      <w:r w:rsidDel="00000000" w:rsidR="00000000" w:rsidRPr="00000000">
        <w:rPr>
          <w:b w:val="1"/>
          <w:bCs w:val="1"/>
          <w:rtl w:val="0"/>
        </w:rPr>
        <w:t xml:space="preserve">Teach-Back Method</w:t>
      </w:r>
      <w:r w:rsidDel="00000000" w:rsidR="00000000" w:rsidRPr="00000000">
        <w:rPr>
          <w:rtl w:val="0"/>
        </w:rPr>
        <w:t xml:space="preserve">. After delivering an explanation of a new medication regimen or instruction (e.g., explaining a dosage change or a food interaction), the CAS LLM uses open-ended questions to facilitate conversation and then requires the user (Mr. Sharma) to summarize the key points in their own words. The system, not the patient, takes responsibility for the clarity of the communication, confirming the user's understanding of the information conveyed. To maximize engagement, the LLM integrates personal context—such as references to the patient's family, hobbies, or work—into the conversations, making the health management interactions highly personalized and motivating.</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Redundant Digital Cueing and Interface Design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Since CAS operates without specialized physical hardware, reliable digital cueing and a geriatric-optimized software interface are mandatory to ensure the patient receives the reminder and can easily interact with the system.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Voice-First Interface Mandate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must ensure that the primary user interface is intuitive, simple, and consistent, aligning with user expectations regardless of their experience or knowledge base. The primary interaction channel must be </w:t>
      </w:r>
      <w:r w:rsidDel="00000000" w:rsidR="00000000" w:rsidRPr="00000000">
        <w:rPr>
          <w:b w:val="1"/>
          <w:bCs w:val="1"/>
          <w:rtl w:val="0"/>
        </w:rPr>
        <w:t xml:space="preserve">voice-first</w:t>
      </w:r>
      <w:r w:rsidDel="00000000" w:rsidR="00000000" w:rsidRPr="00000000">
        <w:rPr>
          <w:rtl w:val="0"/>
        </w:rPr>
        <w:t xml:space="preserve">, eliminating the reliance on complex visual menus that inhibit use by the elderly.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any necessary visual interface (e.g., a supporting mobile app or web console used by Mr. Sharma or a caregiver), design must adhere to strict geriatric usability benchmarks: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Simplicity and Consistency:</w:t>
      </w:r>
      <w:r w:rsidDel="00000000" w:rsidR="00000000" w:rsidRPr="00000000">
        <w:rPr>
          <w:rtl w:val="0"/>
        </w:rPr>
        <w:t xml:space="preserve"> Operations should be easy or intuitive regardless of experience.</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Maximizing Legibility:</w:t>
      </w:r>
      <w:r w:rsidDel="00000000" w:rsidR="00000000" w:rsidRPr="00000000">
        <w:rPr>
          <w:rtl w:val="0"/>
        </w:rPr>
        <w:t xml:space="preserve"> The display must use large, high-contrast text and be compatible with accessories like glasses.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Feedback Design:</w:t>
      </w:r>
      <w:r w:rsidDel="00000000" w:rsidR="00000000" w:rsidRPr="00000000">
        <w:rPr>
          <w:rtl w:val="0"/>
        </w:rPr>
        <w:t xml:space="preserve"> The interface must provide immediate feedback for successful actions, and, for incorrect operations, offer simple error correction methods (e.g., an “undo” prompt) to increase user confidence.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Redundant Digital Cueing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uses a layered, fail-safe protocol across multiple digital communication channels to maximize the chances of a prompt being received and acknowledged.</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Cue (In-App/Conversational):</w:t>
      </w:r>
      <w:r w:rsidDel="00000000" w:rsidR="00000000" w:rsidRPr="00000000">
        <w:rPr>
          <w:rtl w:val="0"/>
        </w:rPr>
        <w:t xml:space="preserve"> The initial alert is a multi-sensory cue </w:t>
      </w:r>
      <w:r w:rsidDel="00000000" w:rsidR="00000000" w:rsidRPr="00000000">
        <w:rPr>
          <w:i w:val="1"/>
          <w:iCs w:val="1"/>
          <w:rtl w:val="0"/>
        </w:rPr>
        <w:t xml:space="preserve">within</w:t>
      </w:r>
      <w:r w:rsidDel="00000000" w:rsidR="00000000" w:rsidRPr="00000000">
        <w:rPr>
          <w:rtl w:val="0"/>
        </w:rPr>
        <w:t xml:space="preserve"> the hosting device (e.g., a prominent visual notification on the paired smartphone augmented by a distinct sound signal). The LLM initiates an immediate, context-aware verbal prompt upon system activation.</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Secondary Cue (External Digital):</w:t>
      </w:r>
      <w:r w:rsidDel="00000000" w:rsidR="00000000" w:rsidRPr="00000000">
        <w:rPr>
          <w:rtl w:val="0"/>
        </w:rPr>
        <w:t xml:space="preserve"> If the patient does not acknowledge the dose within a defined window, the system escalates the prompt via secure, external digital channels like secure SMS or email to the patient, ensuring information is communicated despite potential issues like the phone being silenced.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Adherence Accountability and Digital Verification Protocol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unique challenge of a software-only solution is confirming the medication was </w:t>
      </w:r>
      <w:r w:rsidDel="00000000" w:rsidR="00000000" w:rsidRPr="00000000">
        <w:rPr>
          <w:i w:val="1"/>
          <w:iCs w:val="1"/>
          <w:rtl w:val="0"/>
        </w:rPr>
        <w:t xml:space="preserve">consumed</w:t>
      </w:r>
      <w:r w:rsidDel="00000000" w:rsidR="00000000" w:rsidRPr="00000000">
        <w:rPr>
          <w:rtl w:val="0"/>
        </w:rPr>
        <w:t xml:space="preserve">. CAS addresses this by shifting the focus from physical sensing to verified human accountability, actively involving the care network.</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Conversational Commitment and Proxy Verification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physical verification methods are excluded, CAS implements a two-stage digital verification protocol to close the adherence data gap:</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Conversational Commitment:</w:t>
      </w:r>
      <w:r w:rsidDel="00000000" w:rsidR="00000000" w:rsidRPr="00000000">
        <w:rPr>
          <w:rtl w:val="0"/>
        </w:rPr>
        <w:t xml:space="preserve"> Immediately following the scheduled medication window, the LLM initiates a dialogue. It asks the user (Mr. Sharma) for explicit </w:t>
      </w:r>
      <w:r w:rsidDel="00000000" w:rsidR="00000000" w:rsidRPr="00000000">
        <w:rPr>
          <w:b w:val="1"/>
          <w:bCs w:val="1"/>
          <w:rtl w:val="0"/>
        </w:rPr>
        <w:t xml:space="preserve">verbal confirmation</w:t>
      </w:r>
      <w:r w:rsidDel="00000000" w:rsidR="00000000" w:rsidRPr="00000000">
        <w:rPr>
          <w:rtl w:val="0"/>
        </w:rPr>
        <w:t xml:space="preserve"> that the dose was taken, logging this as </w:t>
      </w:r>
      <w:r w:rsidDel="00000000" w:rsidR="00000000" w:rsidRPr="00000000">
        <w:rPr>
          <w:b w:val="1"/>
          <w:bCs w:val="1"/>
          <w:rtl w:val="0"/>
        </w:rPr>
        <w:t xml:space="preserve">Self-Reported Adherence</w:t>
      </w:r>
      <w:r w:rsidDel="00000000" w:rsidR="00000000" w:rsidRPr="00000000">
        <w:rPr>
          <w:rtl w:val="0"/>
        </w:rPr>
        <w:t xml:space="preserve">. This structured commitment dialogue creates a psychological accountability mechanism.</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Proxy Verification (The Unique Layer):</w:t>
      </w:r>
      <w:r w:rsidDel="00000000" w:rsidR="00000000" w:rsidRPr="00000000">
        <w:rPr>
          <w:rtl w:val="0"/>
        </w:rPr>
        <w:t xml:space="preserve"> If the patient misses the scheduled dose and fails to log Self-Reported Adherence within a critical window, the Digital Verification Module immediately triggers a </w:t>
      </w:r>
      <w:r w:rsidDel="00000000" w:rsidR="00000000" w:rsidRPr="00000000">
        <w:rPr>
          <w:b w:val="1"/>
          <w:bCs w:val="1"/>
          <w:rtl w:val="0"/>
        </w:rPr>
        <w:t xml:space="preserve">Proxy Alert</w:t>
      </w:r>
      <w:r w:rsidDel="00000000" w:rsidR="00000000" w:rsidRPr="00000000">
        <w:rPr>
          <w:rtl w:val="0"/>
        </w:rPr>
        <w:t xml:space="preserve"> to a pre-approved caregiver (e.g., family member). This alert, sent via a secure application, generates a context-aware message asking the caregiver to visually confirm the patient’s physical status (e.g., "Please confirm Mr. Sharma is awake and has access to his medications") without initially disclosing the specific medication details. This mechanism moves verification from automated physical sensing to </w:t>
      </w:r>
      <w:r w:rsidDel="00000000" w:rsidR="00000000" w:rsidRPr="00000000">
        <w:rPr>
          <w:b w:val="1"/>
          <w:bCs w:val="1"/>
          <w:rtl w:val="0"/>
        </w:rPr>
        <w:t xml:space="preserve">social and care network accountability</w:t>
      </w:r>
      <w:r w:rsidDel="00000000" w:rsidR="00000000" w:rsidRPr="00000000">
        <w:rPr>
          <w:rtl w:val="0"/>
        </w:rPr>
        <w:t xml:space="preserve"> managed by the software platform.</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Multi-Tiered Clinical Alert and Escalation Protocol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systematic, multi-tiered escalation protocol is essential for patient safety, clinical accountability, and workflow optimization. This protocol ensures that adherence failures are managed rapidly, moving from automated intervention to auxiliary personnel, and finally to the Qualified Healthcare Professional (QHP) when critical doses are involved or omissions are repeated.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Tiered Incident Response and Clinical Escalation Protocol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Adherence Status/Incident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 Action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Personnel/Billing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Scheduled Dose Due (Adherent Window)</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Redundant Digital Cues (In-App/SMS) + Conversational Prompt (Automated).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Missed Dose, No Self-Report (30 min past window)</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Personalized, Empathetic Conversational Nudge via LLM. Status logged as "Missed Self-Report."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System. Data for CCM logging.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Extended Omission (2 hours past window or user reports difficulty)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Proxy Alert</w:t>
            </w:r>
            <w:r w:rsidDel="00000000" w:rsidR="00000000" w:rsidRPr="00000000">
              <w:rPr>
                <w:rtl w:val="0"/>
              </w:rPr>
              <w:t xml:space="preserve"> to designated Caregiver/Family Contact via secure app; Visual indicator added to Provider Dashboard.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Auxiliary Personnel (Clinical Staff for CCM 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Omission/Deviation (Critical medicine or 2+ consecutive Tier 2 failures)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Executive-Level Escalation:</w:t>
            </w:r>
            <w:r w:rsidDel="00000000" w:rsidR="00000000" w:rsidRPr="00000000">
              <w:rPr>
                <w:rtl w:val="0"/>
              </w:rPr>
              <w:t xml:space="preserve"> Real-time alert to Qualified Healthcare Professional (QHP) CCM team; Incident reported via Trust Incident Reporting system (e.g., Datix).</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QHP/Physician (Required for CCM 99490/99491)</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protocol ensures that delays or omissions of critical medicines trigger faster and higher-level responses. The digital adherence logging generated by CAS is integrated directly into these mandated escalation workflows (Tier 3), aligning with clinical expectations that delays or omissions of critical medicines must be reported to management.</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Regulatory Compliance and Secure Technical Infrastructure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CAS system, handling Protected Health Information (PHI) through voice capture, storage, and transmission, must adhere to the rigorous standards set forth by HIPAA’s Privacy and Security Rules.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HIPAA Compliance for Conversational AI and ePHI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mandates that administrative, physical, and technical safeguards are implemented to protect the confidentiality, integrity, and availability of ePHI. If a vendor processes PHI on behalf of the healthcare entity (such as the LLM provider or cloud host), they are classified as a Business Associate and must execute a </w:t>
      </w:r>
      <w:r w:rsidDel="00000000" w:rsidR="00000000" w:rsidRPr="00000000">
        <w:rPr>
          <w:b w:val="1"/>
          <w:bCs w:val="1"/>
          <w:rtl w:val="0"/>
        </w:rPr>
        <w:t xml:space="preserve">Business Associate Agreement (BAA)</w:t>
      </w:r>
      <w:r w:rsidDel="00000000" w:rsidR="00000000" w:rsidRPr="00000000">
        <w:rPr>
          <w:rtl w:val="0"/>
        </w:rPr>
        <w:t xml:space="preserve">, committing to safeguard PHI according to HIPAA requirements. Sharing PHI without a BAA constitutes a compliance violation.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Building patient trust is equally paramount. Transparency regarding data privacy safeguards—explaining how the AI collects, stores, and uses data, and outlining clear consent management processes—is necessary to meet modern HIPAA requirements and overcome patient apprehension about sharing sensitive health information.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Technical Safeguards: Encryption and Access Control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Encryption is a mandatory defense mechanism for handling electronic PHI (ePHI).</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Encryption Standards:</w:t>
      </w:r>
      <w:r w:rsidDel="00000000" w:rsidR="00000000" w:rsidRPr="00000000">
        <w:rPr>
          <w:rtl w:val="0"/>
        </w:rPr>
        <w:t xml:space="preserve"> All data stored (</w:t>
      </w:r>
      <w:r w:rsidDel="00000000" w:rsidR="00000000" w:rsidRPr="00000000">
        <w:rPr>
          <w:b w:val="1"/>
          <w:bCs w:val="1"/>
          <w:rtl w:val="0"/>
        </w:rPr>
        <w:t xml:space="preserve">Data At Rest</w:t>
      </w:r>
      <w:r w:rsidDel="00000000" w:rsidR="00000000" w:rsidRPr="00000000">
        <w:rPr>
          <w:rtl w:val="0"/>
        </w:rPr>
        <w:t xml:space="preserve">) must be encrypted using robust standards, such as </w:t>
      </w:r>
      <w:r w:rsidDel="00000000" w:rsidR="00000000" w:rsidRPr="00000000">
        <w:rPr>
          <w:b w:val="1"/>
          <w:bCs w:val="1"/>
          <w:rtl w:val="0"/>
        </w:rPr>
        <w:t xml:space="preserve">AES-256 encryption</w:t>
      </w:r>
      <w:r w:rsidDel="00000000" w:rsidR="00000000" w:rsidRPr="00000000">
        <w:rPr>
          <w:rtl w:val="0"/>
        </w:rPr>
        <w:t xml:space="preserve">. Data transmitted between the application and the cloud servers (</w:t>
      </w:r>
      <w:r w:rsidDel="00000000" w:rsidR="00000000" w:rsidRPr="00000000">
        <w:rPr>
          <w:b w:val="1"/>
          <w:bCs w:val="1"/>
          <w:rtl w:val="0"/>
        </w:rPr>
        <w:t xml:space="preserve">Data In Transit</w:t>
      </w:r>
      <w:r w:rsidDel="00000000" w:rsidR="00000000" w:rsidRPr="00000000">
        <w:rPr>
          <w:rtl w:val="0"/>
        </w:rPr>
        <w:t xml:space="preserve">) must be secured using protocols like </w:t>
      </w:r>
      <w:r w:rsidDel="00000000" w:rsidR="00000000" w:rsidRPr="00000000">
        <w:rPr>
          <w:b w:val="1"/>
          <w:bCs w:val="1"/>
          <w:rtl w:val="0"/>
        </w:rPr>
        <w:t xml:space="preserve">TLS 1.3 or higher</w:t>
      </w:r>
      <w:r w:rsidDel="00000000" w:rsidR="00000000" w:rsidRPr="00000000">
        <w:rPr>
          <w:rtl w:val="0"/>
        </w:rPr>
        <w:t xml:space="preserve">. Crucially, </w:t>
      </w:r>
      <w:r w:rsidDel="00000000" w:rsidR="00000000" w:rsidRPr="00000000">
        <w:rPr>
          <w:b w:val="1"/>
          <w:bCs w:val="1"/>
          <w:rtl w:val="0"/>
        </w:rPr>
        <w:t xml:space="preserve">end-to-end encryption</w:t>
      </w:r>
      <w:r w:rsidDel="00000000" w:rsidR="00000000" w:rsidRPr="00000000">
        <w:rPr>
          <w:rtl w:val="0"/>
        </w:rPr>
        <w:t xml:space="preserve"> must be applied to all PHI, including transcribed text and the raw audio logs generated by the conversational AI, which also constitute PHI.</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Measures:</w:t>
      </w:r>
      <w:r w:rsidDel="00000000" w:rsidR="00000000" w:rsidRPr="00000000">
        <w:rPr>
          <w:rtl w:val="0"/>
        </w:rPr>
        <w:t xml:space="preserve"> The system must implement unique user authentication and strong </w:t>
      </w:r>
      <w:r w:rsidDel="00000000" w:rsidR="00000000" w:rsidRPr="00000000">
        <w:rPr>
          <w:b w:val="1"/>
          <w:bCs w:val="1"/>
          <w:rtl w:val="0"/>
        </w:rPr>
        <w:t xml:space="preserve">Role-Based Access Control (RBAC)</w:t>
      </w:r>
      <w:r w:rsidDel="00000000" w:rsidR="00000000" w:rsidRPr="00000000">
        <w:rPr>
          <w:rtl w:val="0"/>
        </w:rPr>
        <w:t xml:space="preserve"> to strictly limit who accesses patient data, aligning with HIPAA's "minimum necessary" principle. Comprehensive audit trails must be continuously maintained to monitor all access and changes to PHI, allowing for prompt detection and response to security incidents.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Financial Viability: Leveraging the CCM Model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sustainability of the CAS solution is predicated entirely on its capacity to automate patient engagement and education, thereby qualifying for consistent reimbursement under the established </w:t>
      </w:r>
      <w:r w:rsidDel="00000000" w:rsidR="00000000" w:rsidRPr="00000000">
        <w:rPr>
          <w:b w:val="1"/>
          <w:bCs w:val="1"/>
          <w:rtl w:val="0"/>
        </w:rPr>
        <w:t xml:space="preserve">Chronic Care Management (CCM)</w:t>
      </w:r>
      <w:r w:rsidDel="00000000" w:rsidR="00000000" w:rsidRPr="00000000">
        <w:rPr>
          <w:rtl w:val="0"/>
        </w:rPr>
        <w:t xml:space="preserve"> model.</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Strategic Alignment with Chronic Care Management (CCM)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 conversational core provides robust, automated support for Chronic Care Management (CCM) billing. CCM (CPT 99490, 99491) is applicable to patients managing multiple chronic conditions and requires the documentation of a comprehensive care plan and at least 20 minutes of non-face-to-face clinical staff time per calendar month.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LLM’s automated, conversational adherence coaching, simplification of complex instructions, and documented escalation protocols fulfill the requirements for "enhanced non-face-to-face communication" and "ongoing review of patient status," effectively documenting the clinical time required for billing. This automation provides a strong return on investment (ROI) by maximizing team capacity (potentially a 360% increase based on comparable AI chronic care models) and reducing costly readmissions (up to 30% reduction).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Analysis of Applicable CPT Codes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 platform is primarily designed to maximize the utilization of CCM CPT codes, as its software-only nature is best aligned with services involving clinical staff time and care coordination.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Primary CCM Reimbursement Codes for CAS Services (Estimated Rates)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CPT Code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Service Focus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Minimum Time/Criteria</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Estimated National Average 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99490</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minutes of non-face-to-face CCM (Auxiliary Personnel).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 Coordination &amp; Education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minutes/month, general supervision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$60.49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99491</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minutes of non-face-to-face CCM (Authorized Billing Provider).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Physician-led Care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minutes/month, authorized provider only</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99439</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additional 20 minutes of non-face-to-face CCM (Auxiliary Personnel).</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 Coordination (Add-on)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20 minutes/month</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$45.93</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automated, secure conversational logs provided by CAS furnish the necessary evidence to demonstrate that the 20- or 30-minute minimum monthly clinical staff time requirements have been met, supporting consistent revenue generation under the CCM model.</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VIII. Conclusion and Roadmap</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Synthesis and Competitive Advantage of CAS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Conversational Accountability System (CAS) offers a unique, holistic, </w:t>
      </w:r>
      <w:r w:rsidDel="00000000" w:rsidR="00000000" w:rsidRPr="00000000">
        <w:rPr>
          <w:b w:val="1"/>
          <w:bCs w:val="1"/>
          <w:rtl w:val="0"/>
        </w:rPr>
        <w:t xml:space="preserve">software-only</w:t>
      </w:r>
      <w:r w:rsidDel="00000000" w:rsidR="00000000" w:rsidRPr="00000000">
        <w:rPr>
          <w:rtl w:val="0"/>
        </w:rPr>
        <w:t xml:space="preserve"> solution by systematically resolving the cognitive and usability failures of existing digital medication management tools.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competitive advantage of CAS is derived from its synergistic integration of three key digital factors:</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Accessibility:</w:t>
      </w:r>
      <w:r w:rsidDel="00000000" w:rsidR="00000000" w:rsidRPr="00000000">
        <w:rPr>
          <w:rtl w:val="0"/>
        </w:rPr>
        <w:t xml:space="preserve"> A voice-first conversational AI core provides a simple, intuitive interface tailored for low health literacy, entirely bypassing the reliance on complex visual menus and navigation.</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Reliability:</w:t>
      </w:r>
      <w:r w:rsidDel="00000000" w:rsidR="00000000" w:rsidRPr="00000000">
        <w:rPr>
          <w:rtl w:val="0"/>
        </w:rPr>
        <w:t xml:space="preserve"> The system uses a redundant digital cueing engine across multiple software channels to ensure that reminders are received and processed by the user.</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Accountability Verification:</w:t>
      </w:r>
      <w:r w:rsidDel="00000000" w:rsidR="00000000" w:rsidRPr="00000000">
        <w:rPr>
          <w:rtl w:val="0"/>
        </w:rPr>
        <w:t xml:space="preserve"> The core innovation replaces physical ingestion tracking with structured </w:t>
      </w:r>
      <w:r w:rsidDel="00000000" w:rsidR="00000000" w:rsidRPr="00000000">
        <w:rPr>
          <w:b w:val="1"/>
          <w:bCs w:val="1"/>
          <w:rtl w:val="0"/>
        </w:rPr>
        <w:t xml:space="preserve">Conversational Commitment and Proxy Verification</w:t>
      </w:r>
      <w:r w:rsidDel="00000000" w:rsidR="00000000" w:rsidRPr="00000000">
        <w:rPr>
          <w:rtl w:val="0"/>
        </w:rPr>
        <w:t xml:space="preserve">, generating high-fidelity adherence data based on self-report and verified caregiver accountability.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Next Steps and Implementation Roadmap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transition CAS from concept to a clinically deployed, reimbursable product, the following phased roadmap is recommended:</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LLM Tuning and Dialogue Validation (Phase I):</w:t>
      </w:r>
      <w:r w:rsidDel="00000000" w:rsidR="00000000" w:rsidRPr="00000000">
        <w:rPr>
          <w:rtl w:val="0"/>
        </w:rPr>
        <w:t xml:space="preserve"> Develop and rigorously tune the Conversational AI Core using prompt engineering techniques to ensure accurate and safe translation of complex medical instructions into plain language.</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Trial and Usability Testing (Phase II):</w:t>
      </w:r>
      <w:r w:rsidDel="00000000" w:rsidR="00000000" w:rsidRPr="00000000">
        <w:rPr>
          <w:rtl w:val="0"/>
        </w:rPr>
        <w:t xml:space="preserve"> Conduct controlled trials with target geriatric populations (mirroring Mr. Sharma’s persona) to perform rigorous cognitive walkthroughs. This phase must quantitatively assess metrics related to conversational comprehension, navigational simplicity of the supporting app, and the efficacy of the Teach-Back Method.</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Filing and Compliance (Phase III):</w:t>
      </w:r>
      <w:r w:rsidDel="00000000" w:rsidR="00000000" w:rsidRPr="00000000">
        <w:rPr>
          <w:rtl w:val="0"/>
        </w:rPr>
        <w:t xml:space="preserve"> Execute formal Business Associate Agreements (BAAs) with all cloud and LLM vendors to secure HIPAA compliance for ePHI handling. Establish secure protocols for Proxy Verification data transmission.</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CCM Integration and Commercialization (Phase IV):</w:t>
      </w:r>
      <w:r w:rsidDel="00000000" w:rsidR="00000000" w:rsidRPr="00000000">
        <w:rPr>
          <w:rtl w:val="0"/>
        </w:rPr>
        <w:t xml:space="preserve"> Establish partnerships with specialized Chronic Care Management (CCM) organizations. Integrate the CAS FHIR-compliant data stream into their clinical oversight and billing portals to maximize recurring revenue capture under applicable CPT codes (99490/99491).</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Medication Management Apps: Usable by Older Adults? - PMC - NIH, https://pmc.ncbi.nlm.nih.gov/articles/PMC5694345/ 2. Enhancing User Experience through Optimization Design Method for Elderly Medication Reminder Mobile Applications: A QFD-Based Research Approach - MDPI, https://www.mdpi.com/2079-9292/12/13/2860 3. Chronic Care Management (CCM) - AAFP, https://www.aafp.org/family-physician/practice-and-career/getting-paid/coding/chronic-care-management.html 4. Enhancing Medication Adherence with an IoT-based Pill Dispenser and Smart Cup - Cal State Fullerton, https://www.fullerton.edu/ecs/faculty/apanangadan/publications/SmartMedicationManagement_AIMHC-2024.pdf 5. Electronic Medication Management system (EMM) - Australian Digital Health Agency, https://www.digitalhealth.gov.au/healthcare-providers/initiatives-and-programs/digital-health-standards/digital-health-standards-guidelines/get-started/5-standards-for-systems-and-technologies/electronic-medication-management-system-emm 6. Ask Patients with Patience: Enabling LLMs for Human-Centric Medical Dialogue with Grounded Reasoning - arXiv, https://arxiv.org/html/2502.07143v1 7. Hippocratic AI: Home, https://hippocraticai.com/ 8. Prompt Engineering in Clinical Practice: Tutorial for Clinicians - PMC - NIH, https://pmc.ncbi.nlm.nih.gov/articles/PMC12439060/ 9. Prompt Engineering in Clinical Practice: Tutorial for Clinicians, https://www.jmir.org/2025/1/e72644 10. Addressing Low Health Literacy and Limited English Proficiency - AAP, https://www.aap.org/en/practice-management/providing-patient--and-family-centered-care/addressing-low-health-literacy-and-limited-english-proficiency/ 11. Improving Verbal Communication to Promote Patient Health Literacy, https://www.chcs.org/resource/improving-verbal-communication-to-promote-patient-health-literacy/ 12. Design Principles to Accommodate Older Adults - PMC - PubMed Central, https://pmc.ncbi.nlm.nih.gov/articles/PMC4777049/ 13. Positive Strategies for Enhancing Elderly Interaction Experience in Smart Healthcare through Optimized Design Methods: An INPD-Based Research Approach - MDPI, https://www.mdpi.com/2071-1050/16/20/8770 14. Missed medication doses in hospitalised patients: a descriptive account of quality improvement measures and time series analysis - Oxford Academic, https://academic.oup.com/intqhc/article/25/5/564/1797776 15. STANDARD OPERATING PROCEDURE OMITTED AND DELAYED DOSES OF MEDICINES SOP ID NUMBER TW10-037 SOP 05 VERSION NUMBER 4 APPROVING COM - WWL NHS Foundation Trust, https://www.wwl.nhs.uk/media/FOI/October%202023/9248%20-%20OMITTED%20AND%20DELAYED%20DOSES%20OF%20MEDICINES%20SOP%205.pdf 16. AI and HIPAA: Navigating Security and Privacy With Conversational AI, https://curogram.com/blog/hipaa-compliance-for-conversational-ai-in-healthcare 17. Mastering HIPAA-Compliant Conversational AI: The 2025 Compliance Blueprint - Sidetool, https://www.sidetool.co/post/mastering-hipaa-compliant-conversational-ai-2025/ 18. ccm, cccm, pcm | nachc, https://www.nachc.org/wp-content/uploads/2023/07/Reimbursement-Tips_CCM-CCCM-PCM.pdf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