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4A" w:rsidRPr="00400183" w:rsidRDefault="00C9374A" w:rsidP="00C9374A">
      <w:pPr>
        <w:rPr>
          <w:rFonts w:ascii="Times New Roman" w:hAnsi="Times New Roman"/>
          <w:i/>
          <w:sz w:val="18"/>
          <w:szCs w:val="18"/>
        </w:rPr>
      </w:pPr>
      <w:bookmarkStart w:id="0" w:name="_GoBack"/>
      <w:bookmarkEnd w:id="0"/>
      <w:r w:rsidRPr="00400183">
        <w:rPr>
          <w:rFonts w:ascii="Times New Roman" w:hAnsi="Times New Roman"/>
          <w:i/>
          <w:sz w:val="18"/>
          <w:szCs w:val="18"/>
        </w:rPr>
        <w:t xml:space="preserve"> Ek.</w:t>
      </w:r>
      <w:proofErr w:type="gramStart"/>
      <w:r w:rsidR="00400183" w:rsidRPr="00400183">
        <w:rPr>
          <w:rFonts w:ascii="Times New Roman" w:hAnsi="Times New Roman"/>
          <w:i/>
          <w:sz w:val="18"/>
          <w:szCs w:val="18"/>
        </w:rPr>
        <w:t>9</w:t>
      </w:r>
      <w:r w:rsidRPr="00400183">
        <w:rPr>
          <w:rFonts w:ascii="Times New Roman" w:hAnsi="Times New Roman"/>
          <w:i/>
          <w:sz w:val="18"/>
          <w:szCs w:val="18"/>
        </w:rPr>
        <w:t>.1</w:t>
      </w:r>
      <w:proofErr w:type="gramEnd"/>
      <w:r w:rsidRPr="00400183">
        <w:rPr>
          <w:rFonts w:ascii="Times New Roman" w:hAnsi="Times New Roman"/>
          <w:i/>
          <w:sz w:val="18"/>
          <w:szCs w:val="18"/>
        </w:rPr>
        <w:t xml:space="preserve">: </w:t>
      </w:r>
      <w:r w:rsidR="00400183" w:rsidRPr="00400183">
        <w:rPr>
          <w:rFonts w:ascii="Times New Roman" w:hAnsi="Times New Roman"/>
          <w:i/>
          <w:sz w:val="18"/>
          <w:szCs w:val="18"/>
        </w:rPr>
        <w:t>27.</w:t>
      </w:r>
      <w:r w:rsidRPr="00400183">
        <w:rPr>
          <w:rFonts w:ascii="Times New Roman" w:hAnsi="Times New Roman"/>
          <w:i/>
          <w:sz w:val="18"/>
          <w:szCs w:val="18"/>
        </w:rPr>
        <w:t>11.20</w:t>
      </w:r>
      <w:r w:rsidR="00400183" w:rsidRPr="00400183">
        <w:rPr>
          <w:rFonts w:ascii="Times New Roman" w:hAnsi="Times New Roman"/>
          <w:i/>
          <w:sz w:val="18"/>
          <w:szCs w:val="18"/>
        </w:rPr>
        <w:t>20</w:t>
      </w:r>
      <w:r w:rsidRPr="00400183">
        <w:rPr>
          <w:rFonts w:ascii="Times New Roman" w:hAnsi="Times New Roman"/>
          <w:i/>
          <w:sz w:val="18"/>
          <w:szCs w:val="18"/>
        </w:rPr>
        <w:t>/0</w:t>
      </w:r>
      <w:r w:rsidR="00400183" w:rsidRPr="00400183">
        <w:rPr>
          <w:rFonts w:ascii="Times New Roman" w:hAnsi="Times New Roman"/>
          <w:i/>
          <w:sz w:val="18"/>
          <w:szCs w:val="18"/>
        </w:rPr>
        <w:t>7-09</w:t>
      </w:r>
      <w:r w:rsidRPr="00400183">
        <w:rPr>
          <w:rFonts w:ascii="Times New Roman" w:hAnsi="Times New Roman"/>
          <w:i/>
          <w:sz w:val="18"/>
          <w:szCs w:val="18"/>
        </w:rPr>
        <w:t xml:space="preserve"> gün ve sayılı Senato kararı ekidir.</w:t>
      </w:r>
    </w:p>
    <w:p w:rsidR="00C9374A" w:rsidRPr="00400183" w:rsidRDefault="00C9374A" w:rsidP="00C9374A">
      <w:pPr>
        <w:rPr>
          <w:rFonts w:ascii="Times New Roman" w:hAnsi="Times New Roman"/>
          <w:i/>
          <w:sz w:val="24"/>
          <w:szCs w:val="24"/>
        </w:rPr>
      </w:pPr>
      <w:r w:rsidRPr="00400183"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609600" cy="591820"/>
            <wp:effectExtent l="0" t="0" r="0" b="0"/>
            <wp:wrapThrough wrapText="bothSides">
              <wp:wrapPolygon edited="0">
                <wp:start x="5400" y="0"/>
                <wp:lineTo x="0" y="4172"/>
                <wp:lineTo x="0" y="18773"/>
                <wp:lineTo x="5400" y="20858"/>
                <wp:lineTo x="16200" y="20858"/>
                <wp:lineTo x="20925" y="15991"/>
                <wp:lineTo x="20925" y="2781"/>
                <wp:lineTo x="15525" y="0"/>
                <wp:lineTo x="540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3E92" w:rsidRPr="00400183" w:rsidRDefault="00D73E92" w:rsidP="00C9374A">
      <w:pPr>
        <w:outlineLvl w:val="0"/>
        <w:rPr>
          <w:rFonts w:ascii="Times New Roman" w:hAnsi="Times New Roman"/>
          <w:b/>
          <w:sz w:val="24"/>
          <w:szCs w:val="24"/>
        </w:rPr>
      </w:pPr>
    </w:p>
    <w:p w:rsidR="004847C2" w:rsidRPr="00400183" w:rsidRDefault="00810011" w:rsidP="00D73E92">
      <w:pPr>
        <w:pStyle w:val="AralkYok"/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00183">
        <w:rPr>
          <w:rFonts w:ascii="Times New Roman" w:hAnsi="Times New Roman"/>
          <w:b/>
          <w:caps/>
          <w:sz w:val="24"/>
          <w:szCs w:val="24"/>
        </w:rPr>
        <w:t>Yıldız Teknik</w:t>
      </w:r>
      <w:r w:rsidR="004847C2" w:rsidRPr="00400183">
        <w:rPr>
          <w:rFonts w:ascii="Times New Roman" w:hAnsi="Times New Roman"/>
          <w:b/>
          <w:caps/>
          <w:sz w:val="24"/>
          <w:szCs w:val="24"/>
        </w:rPr>
        <w:t xml:space="preserve"> Üniversitesi</w:t>
      </w:r>
    </w:p>
    <w:p w:rsidR="004847C2" w:rsidRPr="00400183" w:rsidRDefault="004847C2" w:rsidP="00D73E92">
      <w:pPr>
        <w:pStyle w:val="AralkYok"/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00183">
        <w:rPr>
          <w:rFonts w:ascii="Times New Roman" w:hAnsi="Times New Roman"/>
          <w:b/>
          <w:caps/>
          <w:sz w:val="24"/>
          <w:szCs w:val="24"/>
        </w:rPr>
        <w:t>Önceki Öğrenmenin Tanınmasına İlişkin Yönerge</w:t>
      </w:r>
    </w:p>
    <w:p w:rsidR="0041773F" w:rsidRPr="00400183" w:rsidRDefault="0041773F" w:rsidP="00D73E92">
      <w:pPr>
        <w:pStyle w:val="AralkYok"/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00183">
        <w:rPr>
          <w:rFonts w:ascii="Times New Roman" w:hAnsi="Times New Roman"/>
          <w:i/>
          <w:sz w:val="24"/>
          <w:szCs w:val="24"/>
        </w:rPr>
        <w:t>(09.11.2017/07-34 gün ve sayılı Senato kararında kabul edilmiştir.)</w:t>
      </w:r>
    </w:p>
    <w:p w:rsidR="00D73E92" w:rsidRPr="00400183" w:rsidRDefault="00D73E92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Amaç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MADDE 1</w:t>
      </w:r>
      <w:r w:rsidR="001C3319" w:rsidRPr="00400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00183">
        <w:rPr>
          <w:rFonts w:ascii="Times New Roman" w:hAnsi="Times New Roman"/>
          <w:b/>
          <w:bCs/>
          <w:sz w:val="24"/>
          <w:szCs w:val="24"/>
        </w:rPr>
        <w:t>-</w:t>
      </w:r>
      <w:r w:rsidR="001C3319" w:rsidRPr="00400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00183">
        <w:rPr>
          <w:rFonts w:ascii="Times New Roman" w:hAnsi="Times New Roman"/>
          <w:b/>
          <w:bCs/>
          <w:sz w:val="24"/>
          <w:szCs w:val="24"/>
        </w:rPr>
        <w:t xml:space="preserve">(1) </w:t>
      </w:r>
      <w:r w:rsidRPr="00400183">
        <w:rPr>
          <w:rFonts w:ascii="Times New Roman" w:hAnsi="Times New Roman"/>
          <w:sz w:val="24"/>
          <w:szCs w:val="24"/>
        </w:rPr>
        <w:t xml:space="preserve">Bu yönergenin amacı, öğrencilerin bir yükseköğretim kurumu dışında edindikleri kazanımların tanınması, kredilendirilmesi ve intibakı için uyulması gereken esasları belirlemektir. </w:t>
      </w:r>
    </w:p>
    <w:p w:rsidR="00D73E92" w:rsidRPr="00400183" w:rsidRDefault="00D73E92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4"/>
          <w:szCs w:val="4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Kapsam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MADDE 2</w:t>
      </w:r>
      <w:r w:rsidR="001C3319" w:rsidRPr="00400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00183">
        <w:rPr>
          <w:rFonts w:ascii="Times New Roman" w:hAnsi="Times New Roman"/>
          <w:b/>
          <w:bCs/>
          <w:sz w:val="24"/>
          <w:szCs w:val="24"/>
        </w:rPr>
        <w:t xml:space="preserve">- (1) </w:t>
      </w:r>
      <w:r w:rsidRPr="00400183">
        <w:rPr>
          <w:rFonts w:ascii="Times New Roman" w:hAnsi="Times New Roman"/>
          <w:sz w:val="24"/>
          <w:szCs w:val="24"/>
        </w:rPr>
        <w:t xml:space="preserve">Bu yönerge </w:t>
      </w:r>
      <w:r w:rsidR="00810011" w:rsidRPr="00400183">
        <w:rPr>
          <w:rFonts w:ascii="Times New Roman" w:hAnsi="Times New Roman"/>
          <w:sz w:val="24"/>
          <w:szCs w:val="24"/>
        </w:rPr>
        <w:t>Yıldız Teknik</w:t>
      </w:r>
      <w:r w:rsidRPr="00400183">
        <w:rPr>
          <w:rFonts w:ascii="Times New Roman" w:hAnsi="Times New Roman"/>
          <w:sz w:val="24"/>
          <w:szCs w:val="24"/>
        </w:rPr>
        <w:t xml:space="preserve"> Üniversitesi’ne kayıt yaptırmış öğrencilerin;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sz w:val="24"/>
          <w:szCs w:val="24"/>
        </w:rPr>
        <w:t xml:space="preserve">a) Özel ilgi ile kazanılmış bilgi, beceri ve yetkinliklerinin muafiyet sınavları yolu ile tanınması,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sz w:val="24"/>
          <w:szCs w:val="24"/>
        </w:rPr>
        <w:t xml:space="preserve">b) İş yeri deneyimlerinin </w:t>
      </w:r>
      <w:proofErr w:type="spellStart"/>
      <w:r w:rsidRPr="00400183">
        <w:rPr>
          <w:rFonts w:ascii="Times New Roman" w:hAnsi="Times New Roman"/>
          <w:sz w:val="24"/>
          <w:szCs w:val="24"/>
        </w:rPr>
        <w:t>portfolyo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hazırlama ve muafiyet sınavları suretiyle tanınması,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sz w:val="24"/>
          <w:szCs w:val="24"/>
        </w:rPr>
        <w:t xml:space="preserve">c) Akredite olmuş kuruluşlardan aldıkları sertifikaların tanınması ve intibaklarına ilişkin esasları kapsar. </w:t>
      </w:r>
    </w:p>
    <w:p w:rsidR="00D73E92" w:rsidRPr="00400183" w:rsidRDefault="00D73E92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4"/>
          <w:szCs w:val="4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Dayanak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MADDE 3</w:t>
      </w:r>
      <w:r w:rsidR="001C3319" w:rsidRPr="00400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00183">
        <w:rPr>
          <w:rFonts w:ascii="Times New Roman" w:hAnsi="Times New Roman"/>
          <w:b/>
          <w:bCs/>
          <w:sz w:val="24"/>
          <w:szCs w:val="24"/>
        </w:rPr>
        <w:t>-</w:t>
      </w:r>
      <w:r w:rsidR="001C3319" w:rsidRPr="00400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00183">
        <w:rPr>
          <w:rFonts w:ascii="Times New Roman" w:hAnsi="Times New Roman"/>
          <w:b/>
          <w:bCs/>
          <w:sz w:val="24"/>
          <w:szCs w:val="24"/>
        </w:rPr>
        <w:t xml:space="preserve">(1) </w:t>
      </w:r>
      <w:r w:rsidRPr="00400183">
        <w:rPr>
          <w:rFonts w:ascii="Times New Roman" w:hAnsi="Times New Roman"/>
          <w:sz w:val="24"/>
          <w:szCs w:val="24"/>
        </w:rPr>
        <w:t>Bu yönerge, 2547 Sayılı Yükseköğretim Kanunu’nun 44 üncü maddesinin b fıkrasına dayanılarak hazırlanmıştır.</w:t>
      </w:r>
    </w:p>
    <w:p w:rsidR="00697920" w:rsidRPr="00400183" w:rsidRDefault="00697920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4"/>
          <w:szCs w:val="4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Genel hükümler </w:t>
      </w:r>
    </w:p>
    <w:p w:rsidR="00C9090D" w:rsidRPr="00400183" w:rsidRDefault="004847C2" w:rsidP="00C9090D">
      <w:pPr>
        <w:autoSpaceDE w:val="0"/>
        <w:autoSpaceDN w:val="0"/>
        <w:adjustRightInd w:val="0"/>
        <w:jc w:val="both"/>
        <w:rPr>
          <w:rStyle w:val="style2"/>
          <w:rFonts w:ascii="Times New Roman" w:hAnsi="Times New Roman"/>
          <w:b/>
          <w:bCs/>
          <w:color w:val="FF0000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4- (1) </w:t>
      </w:r>
      <w:r w:rsidR="00697920" w:rsidRPr="00400183">
        <w:rPr>
          <w:rFonts w:ascii="Times New Roman" w:hAnsi="Times New Roman"/>
          <w:sz w:val="24"/>
          <w:szCs w:val="24"/>
        </w:rPr>
        <w:t>Önceki öğrenme</w:t>
      </w:r>
      <w:r w:rsidR="000A0D5B" w:rsidRPr="00400183">
        <w:rPr>
          <w:rFonts w:ascii="Times New Roman" w:hAnsi="Times New Roman"/>
          <w:sz w:val="24"/>
          <w:szCs w:val="24"/>
        </w:rPr>
        <w:t>n</w:t>
      </w:r>
      <w:r w:rsidR="00697920" w:rsidRPr="00400183">
        <w:rPr>
          <w:rFonts w:ascii="Times New Roman" w:hAnsi="Times New Roman"/>
          <w:sz w:val="24"/>
          <w:szCs w:val="24"/>
        </w:rPr>
        <w:t>in tanınması</w:t>
      </w:r>
      <w:r w:rsidR="000A0D5B" w:rsidRPr="00400183">
        <w:rPr>
          <w:rFonts w:ascii="Times New Roman" w:hAnsi="Times New Roman"/>
          <w:sz w:val="24"/>
          <w:szCs w:val="24"/>
        </w:rPr>
        <w:t xml:space="preserve">na ilişkin </w:t>
      </w:r>
      <w:r w:rsidR="00697920" w:rsidRPr="00400183">
        <w:rPr>
          <w:rFonts w:ascii="Times New Roman" w:hAnsi="Times New Roman"/>
          <w:sz w:val="24"/>
          <w:szCs w:val="24"/>
        </w:rPr>
        <w:t>başvuru</w:t>
      </w:r>
      <w:r w:rsidR="000A0D5B" w:rsidRPr="00400183">
        <w:rPr>
          <w:rFonts w:ascii="Times New Roman" w:hAnsi="Times New Roman"/>
          <w:sz w:val="24"/>
          <w:szCs w:val="24"/>
        </w:rPr>
        <w:t xml:space="preserve"> ve değerlendirme işlemleri,</w:t>
      </w:r>
      <w:r w:rsidR="00697920" w:rsidRPr="00400183">
        <w:rPr>
          <w:rFonts w:ascii="Times New Roman" w:hAnsi="Times New Roman"/>
          <w:sz w:val="24"/>
          <w:szCs w:val="24"/>
        </w:rPr>
        <w:t xml:space="preserve"> </w:t>
      </w:r>
      <w:r w:rsidR="000A0D5B" w:rsidRPr="00400183">
        <w:rPr>
          <w:rFonts w:ascii="Times New Roman" w:hAnsi="Times New Roman"/>
          <w:sz w:val="24"/>
          <w:szCs w:val="24"/>
        </w:rPr>
        <w:t>YTÜ A</w:t>
      </w:r>
      <w:r w:rsidR="00697920" w:rsidRPr="00400183">
        <w:rPr>
          <w:rFonts w:ascii="Times New Roman" w:hAnsi="Times New Roman"/>
          <w:sz w:val="24"/>
          <w:szCs w:val="24"/>
        </w:rPr>
        <w:t xml:space="preserve">kademik </w:t>
      </w:r>
      <w:r w:rsidR="000A0D5B" w:rsidRPr="00400183">
        <w:rPr>
          <w:rFonts w:ascii="Times New Roman" w:hAnsi="Times New Roman"/>
          <w:sz w:val="24"/>
          <w:szCs w:val="24"/>
        </w:rPr>
        <w:t>T</w:t>
      </w:r>
      <w:r w:rsidR="00697920" w:rsidRPr="00400183">
        <w:rPr>
          <w:rFonts w:ascii="Times New Roman" w:hAnsi="Times New Roman"/>
          <w:sz w:val="24"/>
          <w:szCs w:val="24"/>
        </w:rPr>
        <w:t>akvim</w:t>
      </w:r>
      <w:r w:rsidR="000A0D5B" w:rsidRPr="00400183">
        <w:rPr>
          <w:rFonts w:ascii="Times New Roman" w:hAnsi="Times New Roman"/>
          <w:sz w:val="24"/>
          <w:szCs w:val="24"/>
        </w:rPr>
        <w:t>in</w:t>
      </w:r>
      <w:r w:rsidR="00697920" w:rsidRPr="00400183">
        <w:rPr>
          <w:rFonts w:ascii="Times New Roman" w:hAnsi="Times New Roman"/>
          <w:sz w:val="24"/>
          <w:szCs w:val="24"/>
        </w:rPr>
        <w:t>de belirtilen tarihler iç</w:t>
      </w:r>
      <w:r w:rsidR="000A0D5B" w:rsidRPr="00400183">
        <w:rPr>
          <w:rFonts w:ascii="Times New Roman" w:hAnsi="Times New Roman"/>
          <w:sz w:val="24"/>
          <w:szCs w:val="24"/>
        </w:rPr>
        <w:t>er</w:t>
      </w:r>
      <w:r w:rsidR="00697920" w:rsidRPr="00400183">
        <w:rPr>
          <w:rFonts w:ascii="Times New Roman" w:hAnsi="Times New Roman"/>
          <w:sz w:val="24"/>
          <w:szCs w:val="24"/>
        </w:rPr>
        <w:t>i</w:t>
      </w:r>
      <w:r w:rsidR="000A0D5B" w:rsidRPr="00400183">
        <w:rPr>
          <w:rFonts w:ascii="Times New Roman" w:hAnsi="Times New Roman"/>
          <w:sz w:val="24"/>
          <w:szCs w:val="24"/>
        </w:rPr>
        <w:t>si</w:t>
      </w:r>
      <w:r w:rsidR="00697920" w:rsidRPr="00400183">
        <w:rPr>
          <w:rFonts w:ascii="Times New Roman" w:hAnsi="Times New Roman"/>
          <w:sz w:val="24"/>
          <w:szCs w:val="24"/>
        </w:rPr>
        <w:t>nde yapılır.</w:t>
      </w:r>
      <w:r w:rsidR="00C9090D" w:rsidRPr="00400183">
        <w:rPr>
          <w:rFonts w:ascii="Times New Roman" w:hAnsi="Times New Roman"/>
          <w:sz w:val="24"/>
          <w:szCs w:val="24"/>
        </w:rPr>
        <w:t xml:space="preserve"> 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(06.12.2018 tarih ve 2018/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07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-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10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sayılı Senato kararı ile değişiklik yapılmıştır.)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(2) </w:t>
      </w:r>
      <w:r w:rsidRPr="00400183">
        <w:rPr>
          <w:rFonts w:ascii="Times New Roman" w:hAnsi="Times New Roman"/>
          <w:bCs/>
          <w:sz w:val="24"/>
          <w:szCs w:val="24"/>
        </w:rPr>
        <w:t>G</w:t>
      </w:r>
      <w:r w:rsidRPr="00400183">
        <w:rPr>
          <w:rFonts w:ascii="Times New Roman" w:hAnsi="Times New Roman"/>
          <w:sz w:val="24"/>
          <w:szCs w:val="24"/>
        </w:rPr>
        <w:t xml:space="preserve">eç başvuru ve postadaki gecikmeler kabul edilmez. Fotokopi, faks, onaysız belge ve eksik belge olması durumlarında başvuru işleme alınmaz.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(3) </w:t>
      </w:r>
      <w:r w:rsidRPr="00400183">
        <w:rPr>
          <w:rFonts w:ascii="Times New Roman" w:hAnsi="Times New Roman"/>
          <w:sz w:val="24"/>
          <w:szCs w:val="24"/>
        </w:rPr>
        <w:t>Başvurular</w:t>
      </w:r>
      <w:r w:rsidR="003F2429" w:rsidRPr="00400183">
        <w:rPr>
          <w:rFonts w:ascii="Times New Roman" w:hAnsi="Times New Roman"/>
          <w:sz w:val="24"/>
          <w:szCs w:val="24"/>
        </w:rPr>
        <w:t>,</w:t>
      </w:r>
      <w:r w:rsidRPr="00400183">
        <w:rPr>
          <w:rFonts w:ascii="Times New Roman" w:hAnsi="Times New Roman"/>
          <w:sz w:val="24"/>
          <w:szCs w:val="24"/>
        </w:rPr>
        <w:t xml:space="preserve"> Fakülte ve Yüksekokullarda ilgili Bölüm Başkanlıklarına; Enstitülerde ise </w:t>
      </w:r>
      <w:r w:rsidRPr="00400183">
        <w:rPr>
          <w:rFonts w:ascii="Times New Roman" w:hAnsi="Times New Roman"/>
          <w:bCs/>
          <w:sz w:val="24"/>
          <w:szCs w:val="24"/>
        </w:rPr>
        <w:t>Anabilim Dalı Başkanlıklarına</w:t>
      </w:r>
      <w:r w:rsidRPr="00400183">
        <w:rPr>
          <w:rFonts w:ascii="Times New Roman" w:hAnsi="Times New Roman"/>
          <w:sz w:val="24"/>
          <w:szCs w:val="24"/>
        </w:rPr>
        <w:t xml:space="preserve"> yapılır. </w:t>
      </w:r>
      <w:r w:rsidR="003F2429" w:rsidRPr="00400183">
        <w:rPr>
          <w:rFonts w:ascii="Times New Roman" w:hAnsi="Times New Roman"/>
          <w:sz w:val="24"/>
          <w:szCs w:val="24"/>
        </w:rPr>
        <w:t>Başvuruların değerlendirilmesi için her birimde en az üç öğretim üyesinden oluşan Önceden Kazanılmış Yeterliliklerin Tanınması Komisyonu kurulur.</w:t>
      </w:r>
      <w:r w:rsidR="00067C7C" w:rsidRPr="00400183">
        <w:rPr>
          <w:rFonts w:ascii="Times New Roman" w:hAnsi="Times New Roman"/>
          <w:sz w:val="24"/>
          <w:szCs w:val="24"/>
        </w:rPr>
        <w:t xml:space="preserve"> Bu komisyon iki yıl sürelidir. Süre bitiminde aynı üyelerden veya farklı üyelerde yeni bir komisyon kurulur.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lastRenderedPageBreak/>
        <w:t xml:space="preserve">(4) </w:t>
      </w:r>
      <w:r w:rsidRPr="00400183">
        <w:rPr>
          <w:rFonts w:ascii="Times New Roman" w:hAnsi="Times New Roman"/>
          <w:sz w:val="24"/>
          <w:szCs w:val="24"/>
        </w:rPr>
        <w:t xml:space="preserve">Yapılan başvurular sonucunda, önceden kazanılmış yeterliliklerin tanınması kapsamında hangi derslerden yeterlilik sınavı açılıp açılmayacağı ders koordinatörünün </w:t>
      </w:r>
      <w:r w:rsidRPr="00400183">
        <w:rPr>
          <w:rFonts w:ascii="Times New Roman" w:hAnsi="Times New Roman"/>
          <w:bCs/>
          <w:sz w:val="24"/>
          <w:szCs w:val="24"/>
        </w:rPr>
        <w:t>önerisi</w:t>
      </w:r>
      <w:r w:rsidR="00C044FF" w:rsidRPr="00400183">
        <w:rPr>
          <w:rFonts w:ascii="Times New Roman" w:hAnsi="Times New Roman"/>
          <w:bCs/>
          <w:sz w:val="24"/>
          <w:szCs w:val="24"/>
        </w:rPr>
        <w:t xml:space="preserve"> ve </w:t>
      </w:r>
      <w:r w:rsidR="003F2429" w:rsidRPr="00400183">
        <w:rPr>
          <w:rFonts w:ascii="Times New Roman" w:hAnsi="Times New Roman"/>
          <w:sz w:val="24"/>
          <w:szCs w:val="24"/>
        </w:rPr>
        <w:t xml:space="preserve">Önceden Kazanılmış Yeterliliklerin Tanınması Komisyonunun raporu </w:t>
      </w:r>
      <w:r w:rsidR="00C044FF" w:rsidRPr="00400183">
        <w:rPr>
          <w:rFonts w:ascii="Times New Roman" w:hAnsi="Times New Roman"/>
          <w:sz w:val="24"/>
          <w:szCs w:val="24"/>
        </w:rPr>
        <w:t xml:space="preserve">eşliğinde </w:t>
      </w:r>
      <w:r w:rsidRPr="00400183">
        <w:rPr>
          <w:rFonts w:ascii="Times New Roman" w:hAnsi="Times New Roman"/>
          <w:sz w:val="24"/>
          <w:szCs w:val="24"/>
        </w:rPr>
        <w:t xml:space="preserve">bölüm/ enstitü kurulu </w:t>
      </w:r>
      <w:r w:rsidR="00C044FF" w:rsidRPr="00400183">
        <w:rPr>
          <w:rFonts w:ascii="Times New Roman" w:hAnsi="Times New Roman"/>
          <w:sz w:val="24"/>
          <w:szCs w:val="24"/>
        </w:rPr>
        <w:t xml:space="preserve">görüşü ile ilgili Yönetim Kurulu tarafından </w:t>
      </w:r>
      <w:r w:rsidRPr="00400183">
        <w:rPr>
          <w:rFonts w:ascii="Times New Roman" w:hAnsi="Times New Roman"/>
          <w:sz w:val="24"/>
          <w:szCs w:val="24"/>
        </w:rPr>
        <w:t xml:space="preserve">karara bağlanır. Önceden kazanılmış yeterliliklerin tanınması sureti ile laboratuvar, atölye, tez, bitirme çalışması, yönlendirilmiş çalışma, tasarım ve proje gibi dersler için tanınma başvurusu kabul edilmez. </w:t>
      </w:r>
    </w:p>
    <w:p w:rsidR="004847C2" w:rsidRPr="00400183" w:rsidRDefault="004847C2" w:rsidP="004847C2">
      <w:pPr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(5) </w:t>
      </w:r>
      <w:r w:rsidRPr="00400183">
        <w:rPr>
          <w:rFonts w:ascii="Times New Roman" w:hAnsi="Times New Roman"/>
          <w:sz w:val="24"/>
          <w:szCs w:val="24"/>
        </w:rPr>
        <w:t>Bu yönergenin Madde 2</w:t>
      </w:r>
      <w:r w:rsidR="00F070D4" w:rsidRPr="00400183">
        <w:rPr>
          <w:rFonts w:ascii="Times New Roman" w:hAnsi="Times New Roman"/>
          <w:sz w:val="24"/>
          <w:szCs w:val="24"/>
        </w:rPr>
        <w:t>’</w:t>
      </w:r>
      <w:r w:rsidRPr="00400183">
        <w:rPr>
          <w:rFonts w:ascii="Times New Roman" w:hAnsi="Times New Roman"/>
          <w:sz w:val="24"/>
          <w:szCs w:val="24"/>
        </w:rPr>
        <w:t>de bahsi geçen tanım</w:t>
      </w:r>
      <w:r w:rsidR="00F070D4" w:rsidRPr="00400183">
        <w:rPr>
          <w:rFonts w:ascii="Times New Roman" w:hAnsi="Times New Roman"/>
          <w:sz w:val="24"/>
          <w:szCs w:val="24"/>
        </w:rPr>
        <w:t xml:space="preserve">lara uygun olarak </w:t>
      </w:r>
      <w:r w:rsidRPr="00400183">
        <w:rPr>
          <w:rFonts w:ascii="Times New Roman" w:hAnsi="Times New Roman"/>
          <w:sz w:val="24"/>
          <w:szCs w:val="24"/>
        </w:rPr>
        <w:t xml:space="preserve">toplamda en çok </w:t>
      </w:r>
      <w:r w:rsidR="00F070D4" w:rsidRPr="00400183">
        <w:rPr>
          <w:rFonts w:ascii="Times New Roman" w:hAnsi="Times New Roman"/>
          <w:sz w:val="24"/>
          <w:szCs w:val="24"/>
        </w:rPr>
        <w:t>18</w:t>
      </w:r>
      <w:r w:rsidRPr="00400183">
        <w:rPr>
          <w:rFonts w:ascii="Times New Roman" w:hAnsi="Times New Roman"/>
          <w:sz w:val="24"/>
          <w:szCs w:val="24"/>
        </w:rPr>
        <w:t xml:space="preserve"> kredilik ders tanınabilir.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(6) </w:t>
      </w:r>
      <w:r w:rsidRPr="00400183">
        <w:rPr>
          <w:rFonts w:ascii="Times New Roman" w:hAnsi="Times New Roman"/>
          <w:sz w:val="24"/>
          <w:szCs w:val="24"/>
        </w:rPr>
        <w:t xml:space="preserve">Yeterlilik değerlendirmesinde başarılı olmak için, </w:t>
      </w:r>
      <w:r w:rsidR="00810011" w:rsidRPr="00400183">
        <w:rPr>
          <w:rFonts w:ascii="Times New Roman" w:hAnsi="Times New Roman"/>
          <w:sz w:val="24"/>
          <w:szCs w:val="24"/>
        </w:rPr>
        <w:t>Yıldız Teknik</w:t>
      </w:r>
      <w:r w:rsidRPr="00400183">
        <w:rPr>
          <w:rFonts w:ascii="Times New Roman" w:hAnsi="Times New Roman"/>
          <w:sz w:val="24"/>
          <w:szCs w:val="24"/>
        </w:rPr>
        <w:t xml:space="preserve"> Üniversitesinin ilgili yönetmelik hükümlerine göre başarılı olma şartı aranır. Başarılı olunan dersler harf notuna göre değerlendirilerek ortalamaya katılır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(7) </w:t>
      </w:r>
      <w:r w:rsidR="00F070D4" w:rsidRPr="00400183">
        <w:rPr>
          <w:rFonts w:ascii="Times New Roman" w:hAnsi="Times New Roman"/>
          <w:sz w:val="24"/>
          <w:szCs w:val="24"/>
        </w:rPr>
        <w:t>T</w:t>
      </w:r>
      <w:r w:rsidRPr="00400183">
        <w:rPr>
          <w:rFonts w:ascii="Times New Roman" w:hAnsi="Times New Roman"/>
          <w:sz w:val="24"/>
          <w:szCs w:val="24"/>
        </w:rPr>
        <w:t>a</w:t>
      </w:r>
      <w:r w:rsidR="00F070D4" w:rsidRPr="00400183">
        <w:rPr>
          <w:rFonts w:ascii="Times New Roman" w:hAnsi="Times New Roman"/>
          <w:sz w:val="24"/>
          <w:szCs w:val="24"/>
        </w:rPr>
        <w:t xml:space="preserve">nınma </w:t>
      </w:r>
      <w:r w:rsidRPr="00400183">
        <w:rPr>
          <w:rFonts w:ascii="Times New Roman" w:hAnsi="Times New Roman"/>
          <w:sz w:val="24"/>
          <w:szCs w:val="24"/>
        </w:rPr>
        <w:t xml:space="preserve">sonuçlarına itiraz süresi, ilanı müteakip üç iş günüdür. </w:t>
      </w:r>
      <w:r w:rsidR="00F070D4" w:rsidRPr="00400183">
        <w:rPr>
          <w:rFonts w:ascii="Times New Roman" w:hAnsi="Times New Roman"/>
          <w:sz w:val="24"/>
          <w:szCs w:val="24"/>
        </w:rPr>
        <w:t>İtiraz, en geç 3 iş günü içinde sonuçlandırılır.</w:t>
      </w:r>
    </w:p>
    <w:p w:rsidR="00D8660F" w:rsidRPr="00400183" w:rsidRDefault="00601A2E" w:rsidP="00D8660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sz w:val="24"/>
          <w:szCs w:val="24"/>
        </w:rPr>
        <w:t>(8)</w:t>
      </w:r>
      <w:r w:rsidRPr="00400183">
        <w:rPr>
          <w:rFonts w:ascii="Times New Roman" w:hAnsi="Times New Roman"/>
          <w:sz w:val="24"/>
          <w:szCs w:val="24"/>
        </w:rPr>
        <w:t xml:space="preserve"> Öğrencinin kayıtlı olduğu program/bölümden veya yaz okulu/özel öğrenci yoluyla yurtiçi/yurtdışı Yüksek Öğretim Kurumlarından alarak başarısız olduğu dersler, bu yönerge kapsamında değerlendirilmez.</w:t>
      </w:r>
      <w:r w:rsidR="00D8660F" w:rsidRPr="00400183">
        <w:rPr>
          <w:rFonts w:ascii="Times New Roman" w:hAnsi="Times New Roman"/>
          <w:sz w:val="24"/>
          <w:szCs w:val="24"/>
        </w:rPr>
        <w:t xml:space="preserve"> </w:t>
      </w:r>
      <w:r w:rsidR="00D8660F" w:rsidRPr="00400183">
        <w:rPr>
          <w:rFonts w:ascii="Times New Roman" w:hAnsi="Times New Roman"/>
          <w:b/>
          <w:i/>
          <w:sz w:val="24"/>
          <w:szCs w:val="24"/>
        </w:rPr>
        <w:t>(11.07.</w:t>
      </w:r>
      <w:r w:rsidR="002221FB" w:rsidRPr="00400183">
        <w:rPr>
          <w:rFonts w:ascii="Times New Roman" w:hAnsi="Times New Roman"/>
          <w:b/>
          <w:i/>
          <w:sz w:val="24"/>
          <w:szCs w:val="24"/>
        </w:rPr>
        <w:t>2019/04</w:t>
      </w:r>
      <w:r w:rsidR="00D8660F" w:rsidRPr="00400183">
        <w:rPr>
          <w:rFonts w:ascii="Times New Roman" w:hAnsi="Times New Roman"/>
          <w:b/>
          <w:i/>
          <w:sz w:val="24"/>
          <w:szCs w:val="24"/>
        </w:rPr>
        <w:t>-0</w:t>
      </w:r>
      <w:r w:rsidR="00C9374A" w:rsidRPr="00400183">
        <w:rPr>
          <w:rFonts w:ascii="Times New Roman" w:hAnsi="Times New Roman"/>
          <w:b/>
          <w:i/>
          <w:sz w:val="24"/>
          <w:szCs w:val="24"/>
        </w:rPr>
        <w:t>3</w:t>
      </w:r>
      <w:r w:rsidR="00D8660F" w:rsidRPr="00400183">
        <w:rPr>
          <w:rFonts w:ascii="Times New Roman" w:hAnsi="Times New Roman"/>
          <w:b/>
          <w:i/>
          <w:sz w:val="24"/>
          <w:szCs w:val="24"/>
        </w:rPr>
        <w:t xml:space="preserve"> gün ve sayılı Senato kararı ile ekleme yapılmıştır.)</w:t>
      </w:r>
    </w:p>
    <w:p w:rsidR="00400183" w:rsidRPr="00400183" w:rsidRDefault="00400183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Özel ilgi ile edinilmiş kazanımların muafiyet sınavları yoluyla tanınması </w:t>
      </w:r>
    </w:p>
    <w:p w:rsidR="00C9090D" w:rsidRPr="00400183" w:rsidRDefault="004847C2" w:rsidP="00C9090D">
      <w:pPr>
        <w:autoSpaceDE w:val="0"/>
        <w:autoSpaceDN w:val="0"/>
        <w:adjustRightInd w:val="0"/>
        <w:jc w:val="both"/>
        <w:rPr>
          <w:rStyle w:val="style2"/>
          <w:rFonts w:ascii="Times New Roman" w:hAnsi="Times New Roman"/>
          <w:b/>
          <w:bCs/>
          <w:color w:val="FF0000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5- (1) </w:t>
      </w:r>
      <w:r w:rsidRPr="00400183">
        <w:rPr>
          <w:rFonts w:ascii="Times New Roman" w:hAnsi="Times New Roman"/>
          <w:sz w:val="24"/>
          <w:szCs w:val="24"/>
        </w:rPr>
        <w:t xml:space="preserve">Öğrenci sertifikalandırılamamış veya belgelendirilememiş, kendi özel gayreti ile edindiği kazanımlar için, </w:t>
      </w:r>
      <w:r w:rsidR="00DE07D3" w:rsidRPr="00400183">
        <w:rPr>
          <w:rFonts w:ascii="Times New Roman" w:hAnsi="Times New Roman"/>
          <w:sz w:val="24"/>
          <w:szCs w:val="24"/>
        </w:rPr>
        <w:t xml:space="preserve">Akademik Takvimde belirtilen tarihlerde yapılacak </w:t>
      </w:r>
      <w:r w:rsidRPr="00400183">
        <w:rPr>
          <w:rFonts w:ascii="Times New Roman" w:hAnsi="Times New Roman"/>
          <w:sz w:val="24"/>
          <w:szCs w:val="24"/>
        </w:rPr>
        <w:t>muafiyet sınavlarına başvurabilir.</w:t>
      </w:r>
      <w:r w:rsidR="00C9090D" w:rsidRPr="00400183">
        <w:rPr>
          <w:rFonts w:ascii="Times New Roman" w:hAnsi="Times New Roman"/>
          <w:sz w:val="24"/>
          <w:szCs w:val="24"/>
        </w:rPr>
        <w:t xml:space="preserve"> 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(06.12.2018 tarih ve 2018/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07-10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sayılı Senato kararı ile değişiklik yapılmıştır.)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(2) </w:t>
      </w:r>
      <w:r w:rsidRPr="00400183">
        <w:rPr>
          <w:rFonts w:ascii="Times New Roman" w:hAnsi="Times New Roman"/>
          <w:sz w:val="24"/>
          <w:szCs w:val="24"/>
        </w:rPr>
        <w:t>Hangi derslerden muafiyet sınavları açılacağı, başvuru dilekçelerin</w:t>
      </w:r>
      <w:r w:rsidR="00C044FF" w:rsidRPr="00400183">
        <w:rPr>
          <w:rFonts w:ascii="Times New Roman" w:hAnsi="Times New Roman"/>
          <w:sz w:val="24"/>
          <w:szCs w:val="24"/>
        </w:rPr>
        <w:t xml:space="preserve">e göre ders koordinatörünün </w:t>
      </w:r>
      <w:r w:rsidR="00C044FF" w:rsidRPr="00400183">
        <w:rPr>
          <w:rFonts w:ascii="Times New Roman" w:hAnsi="Times New Roman"/>
          <w:bCs/>
          <w:sz w:val="24"/>
          <w:szCs w:val="24"/>
        </w:rPr>
        <w:t xml:space="preserve">önerisi ve </w:t>
      </w:r>
      <w:r w:rsidR="00C044FF" w:rsidRPr="00400183">
        <w:rPr>
          <w:rFonts w:ascii="Times New Roman" w:hAnsi="Times New Roman"/>
          <w:sz w:val="24"/>
          <w:szCs w:val="24"/>
        </w:rPr>
        <w:t xml:space="preserve">Önceden Kazanılmış Yeterliliklerin Tanınması Komisyonunun raporu eşliğinde bölüm/ enstitü kurulu görüşü ile ilgili Yönetim Kurulu tarafından karara bağlanır </w:t>
      </w:r>
      <w:r w:rsidRPr="00400183">
        <w:rPr>
          <w:rFonts w:ascii="Times New Roman" w:hAnsi="Times New Roman"/>
          <w:sz w:val="24"/>
          <w:szCs w:val="24"/>
        </w:rPr>
        <w:t xml:space="preserve">ve sınav tarihinden en az iki </w:t>
      </w:r>
      <w:r w:rsidRPr="00400183">
        <w:rPr>
          <w:rFonts w:ascii="Times New Roman" w:hAnsi="Times New Roman"/>
          <w:bCs/>
          <w:sz w:val="24"/>
          <w:szCs w:val="24"/>
        </w:rPr>
        <w:t>iş</w:t>
      </w:r>
      <w:r w:rsidRPr="00400183">
        <w:rPr>
          <w:rFonts w:ascii="Times New Roman" w:hAnsi="Times New Roman"/>
          <w:sz w:val="24"/>
          <w:szCs w:val="24"/>
        </w:rPr>
        <w:t xml:space="preserve"> günü önce durum ilan edilir. </w:t>
      </w:r>
    </w:p>
    <w:p w:rsidR="00400183" w:rsidRPr="00400183" w:rsidRDefault="004847C2" w:rsidP="00400183">
      <w:pPr>
        <w:autoSpaceDE w:val="0"/>
        <w:autoSpaceDN w:val="0"/>
        <w:adjustRightInd w:val="0"/>
        <w:jc w:val="both"/>
        <w:rPr>
          <w:rStyle w:val="style2"/>
          <w:rFonts w:ascii="Times New Roman" w:hAnsi="Times New Roman"/>
          <w:b/>
          <w:i/>
          <w:sz w:val="24"/>
          <w:szCs w:val="24"/>
        </w:rPr>
      </w:pPr>
      <w:proofErr w:type="gramStart"/>
      <w:r w:rsidRPr="007C2A0A">
        <w:rPr>
          <w:rFonts w:ascii="Times New Roman" w:hAnsi="Times New Roman"/>
          <w:b/>
          <w:bCs/>
          <w:sz w:val="24"/>
          <w:szCs w:val="24"/>
        </w:rPr>
        <w:t>(3)</w:t>
      </w:r>
      <w:r w:rsidRPr="007C2A0A">
        <w:rPr>
          <w:rFonts w:ascii="Times New Roman" w:hAnsi="Times New Roman"/>
          <w:bCs/>
          <w:sz w:val="24"/>
          <w:szCs w:val="24"/>
        </w:rPr>
        <w:t xml:space="preserve"> </w:t>
      </w:r>
      <w:r w:rsidR="007C2A0A" w:rsidRPr="007C2A0A">
        <w:rPr>
          <w:rFonts w:ascii="Times New Roman" w:hAnsi="Times New Roman"/>
          <w:bCs/>
          <w:sz w:val="24"/>
          <w:szCs w:val="24"/>
        </w:rPr>
        <w:t>Madde 4’teki kredi sınırının dışında kalmak üzere Temel Bilgisayar Bilimleri, Bilgisayar kullanımı, Teknik İngilizc</w:t>
      </w:r>
      <w:r w:rsidR="007C2A0A" w:rsidRPr="007C2A0A">
        <w:rPr>
          <w:rFonts w:ascii="Times New Roman" w:hAnsi="Times New Roman"/>
          <w:sz w:val="24"/>
          <w:szCs w:val="24"/>
        </w:rPr>
        <w:t xml:space="preserve">e, İş Hayatı için İngilizce, Temel Bilgi Teknolojisi Kullanımı, İş Sağlığı ve Güvenliği </w:t>
      </w:r>
      <w:proofErr w:type="spellStart"/>
      <w:r w:rsidR="007C2A0A" w:rsidRPr="007C2A0A">
        <w:rPr>
          <w:rFonts w:ascii="Times New Roman" w:hAnsi="Times New Roman"/>
          <w:sz w:val="24"/>
          <w:szCs w:val="24"/>
        </w:rPr>
        <w:t>v.b</w:t>
      </w:r>
      <w:proofErr w:type="spellEnd"/>
      <w:r w:rsidR="007C2A0A" w:rsidRPr="007C2A0A">
        <w:rPr>
          <w:rFonts w:ascii="Times New Roman" w:hAnsi="Times New Roman"/>
          <w:sz w:val="24"/>
          <w:szCs w:val="24"/>
        </w:rPr>
        <w:t>. dersler için üniversite genelinde veya Fakülte/Bölüm bazında dersi veren ilgili Bölüm Başkanlığı tarafından muafiyet sınavı yapılabilir</w:t>
      </w:r>
      <w:r w:rsidR="00400183" w:rsidRPr="007C2A0A">
        <w:rPr>
          <w:rStyle w:val="style2"/>
          <w:rFonts w:ascii="Times New Roman" w:hAnsi="Times New Roman"/>
          <w:b/>
          <w:i/>
          <w:sz w:val="24"/>
          <w:szCs w:val="24"/>
        </w:rPr>
        <w:t xml:space="preserve"> (27.11.2020 tarih ve</w:t>
      </w:r>
      <w:r w:rsidR="00400183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2020/07-09 sayılı Senato kararı ile değişiklik yapılmıştır.)</w:t>
      </w:r>
      <w:proofErr w:type="gramEnd"/>
    </w:p>
    <w:p w:rsidR="00C9090D" w:rsidRPr="00400183" w:rsidRDefault="004847C2" w:rsidP="00C9090D">
      <w:pPr>
        <w:autoSpaceDE w:val="0"/>
        <w:autoSpaceDN w:val="0"/>
        <w:adjustRightInd w:val="0"/>
        <w:jc w:val="both"/>
        <w:rPr>
          <w:rStyle w:val="style2"/>
          <w:rFonts w:ascii="Times New Roman" w:hAnsi="Times New Roman"/>
          <w:b/>
          <w:bCs/>
          <w:color w:val="FF0000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 (4) </w:t>
      </w:r>
      <w:r w:rsidRPr="00400183">
        <w:rPr>
          <w:rFonts w:ascii="Times New Roman" w:hAnsi="Times New Roman"/>
          <w:sz w:val="24"/>
          <w:szCs w:val="24"/>
        </w:rPr>
        <w:t xml:space="preserve">Muafiyet sınavları yazılı olarak veya elektronik ortamda yapılabileceği gibi, dersin özelliğine göre başka ölçme yöntemleri kullanılarak da yürütülebilir. </w:t>
      </w:r>
      <w:r w:rsidR="00C9090D" w:rsidRPr="00400183">
        <w:rPr>
          <w:rFonts w:ascii="Times New Roman" w:hAnsi="Times New Roman"/>
          <w:sz w:val="24"/>
          <w:szCs w:val="24"/>
        </w:rPr>
        <w:t xml:space="preserve"> 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(06.12.2018 tarih ve 2018/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07-10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sayılı Senato kararı ile eklenmiştir.)</w:t>
      </w:r>
    </w:p>
    <w:p w:rsidR="00C9090D" w:rsidRPr="00400183" w:rsidRDefault="003D2DCD" w:rsidP="00400183">
      <w:pPr>
        <w:pStyle w:val="AralkYok"/>
        <w:jc w:val="both"/>
        <w:rPr>
          <w:rStyle w:val="style2"/>
          <w:rFonts w:ascii="Times New Roman" w:hAnsi="Times New Roman"/>
          <w:b/>
          <w:bCs/>
          <w:color w:val="FF0000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(5)</w:t>
      </w:r>
      <w:r w:rsidRPr="00400183">
        <w:rPr>
          <w:rFonts w:ascii="Times New Roman" w:hAnsi="Times New Roman"/>
          <w:bCs/>
          <w:sz w:val="24"/>
          <w:szCs w:val="24"/>
        </w:rPr>
        <w:t xml:space="preserve"> Muafiyet sınavlarının başarı değerlendirmesinde </w:t>
      </w:r>
      <w:r w:rsidR="004A1064" w:rsidRPr="00400183">
        <w:rPr>
          <w:rFonts w:ascii="Times New Roman" w:hAnsi="Times New Roman"/>
          <w:bCs/>
          <w:sz w:val="24"/>
          <w:szCs w:val="24"/>
        </w:rPr>
        <w:t xml:space="preserve">başarı notları </w:t>
      </w:r>
      <w:r w:rsidRPr="00400183">
        <w:rPr>
          <w:rFonts w:ascii="Times New Roman" w:hAnsi="Times New Roman"/>
          <w:bCs/>
          <w:sz w:val="24"/>
          <w:szCs w:val="24"/>
        </w:rPr>
        <w:t>aşağıdaki tablo</w:t>
      </w:r>
      <w:r w:rsidR="004A1064" w:rsidRPr="00400183">
        <w:rPr>
          <w:rFonts w:ascii="Times New Roman" w:hAnsi="Times New Roman"/>
          <w:bCs/>
          <w:sz w:val="24"/>
          <w:szCs w:val="24"/>
        </w:rPr>
        <w:t>ya</w:t>
      </w:r>
      <w:r w:rsidRPr="00400183">
        <w:rPr>
          <w:rFonts w:ascii="Times New Roman" w:hAnsi="Times New Roman"/>
          <w:bCs/>
          <w:sz w:val="24"/>
          <w:szCs w:val="24"/>
        </w:rPr>
        <w:t xml:space="preserve"> </w:t>
      </w:r>
      <w:r w:rsidR="004A1064" w:rsidRPr="00400183">
        <w:rPr>
          <w:rFonts w:ascii="Times New Roman" w:hAnsi="Times New Roman"/>
          <w:bCs/>
          <w:sz w:val="24"/>
          <w:szCs w:val="24"/>
        </w:rPr>
        <w:t>göre değerlendirilir.</w:t>
      </w:r>
      <w:r w:rsidR="00C9090D" w:rsidRPr="00400183">
        <w:rPr>
          <w:rFonts w:ascii="Times New Roman" w:hAnsi="Times New Roman"/>
          <w:bCs/>
          <w:sz w:val="24"/>
          <w:szCs w:val="24"/>
        </w:rPr>
        <w:t xml:space="preserve"> 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(06.12.2018 tarih ve 2018/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07-10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sayılı Senato kararı ile eklenmiştir.)</w:t>
      </w:r>
    </w:p>
    <w:tbl>
      <w:tblPr>
        <w:tblStyle w:val="TabloKlavuzu"/>
        <w:tblW w:w="8789" w:type="dxa"/>
        <w:tblInd w:w="137" w:type="dxa"/>
        <w:tblLook w:val="04A0" w:firstRow="1" w:lastRow="0" w:firstColumn="1" w:lastColumn="0" w:noHBand="0" w:noVBand="1"/>
      </w:tblPr>
      <w:tblGrid>
        <w:gridCol w:w="3018"/>
        <w:gridCol w:w="3021"/>
        <w:gridCol w:w="2750"/>
      </w:tblGrid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400183">
              <w:rPr>
                <w:rFonts w:ascii="Times New Roman" w:hAnsi="Times New Roman"/>
              </w:rPr>
              <w:lastRenderedPageBreak/>
              <w:t>Harf Başarı Notu</w:t>
            </w:r>
          </w:p>
        </w:tc>
        <w:tc>
          <w:tcPr>
            <w:tcW w:w="3021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400183">
              <w:rPr>
                <w:rFonts w:ascii="Times New Roman" w:hAnsi="Times New Roman"/>
              </w:rPr>
              <w:t>Yüzlük Başarı Notu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400183">
              <w:rPr>
                <w:rFonts w:ascii="Times New Roman" w:hAnsi="Times New Roman"/>
              </w:rPr>
              <w:t>Dörtlük Başarı Notu</w:t>
            </w:r>
          </w:p>
        </w:tc>
      </w:tr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AA</w:t>
            </w:r>
          </w:p>
        </w:tc>
        <w:tc>
          <w:tcPr>
            <w:tcW w:w="3021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90-100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400183">
              <w:rPr>
                <w:rFonts w:ascii="Times New Roman" w:hAnsi="Times New Roman"/>
                <w:bCs/>
              </w:rPr>
              <w:t>4.00</w:t>
            </w:r>
          </w:p>
        </w:tc>
      </w:tr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BA</w:t>
            </w:r>
          </w:p>
        </w:tc>
        <w:tc>
          <w:tcPr>
            <w:tcW w:w="3021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80-89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400183">
              <w:rPr>
                <w:rFonts w:ascii="Times New Roman" w:hAnsi="Times New Roman"/>
                <w:bCs/>
              </w:rPr>
              <w:t>3.50</w:t>
            </w:r>
          </w:p>
        </w:tc>
      </w:tr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BB</w:t>
            </w:r>
          </w:p>
        </w:tc>
        <w:tc>
          <w:tcPr>
            <w:tcW w:w="3021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70-79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400183">
              <w:rPr>
                <w:rFonts w:ascii="Times New Roman" w:hAnsi="Times New Roman"/>
                <w:bCs/>
              </w:rPr>
              <w:t>3.00</w:t>
            </w:r>
          </w:p>
        </w:tc>
      </w:tr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CB</w:t>
            </w:r>
          </w:p>
        </w:tc>
        <w:tc>
          <w:tcPr>
            <w:tcW w:w="3021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60-69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400183">
              <w:rPr>
                <w:rFonts w:ascii="Times New Roman" w:hAnsi="Times New Roman"/>
                <w:bCs/>
              </w:rPr>
              <w:t>2.50</w:t>
            </w:r>
          </w:p>
        </w:tc>
      </w:tr>
      <w:tr w:rsidR="004A1064" w:rsidRPr="00400183" w:rsidTr="00400183">
        <w:trPr>
          <w:trHeight w:val="227"/>
        </w:trPr>
        <w:tc>
          <w:tcPr>
            <w:tcW w:w="3018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CC</w:t>
            </w:r>
          </w:p>
        </w:tc>
        <w:tc>
          <w:tcPr>
            <w:tcW w:w="3021" w:type="dxa"/>
          </w:tcPr>
          <w:p w:rsidR="004A1064" w:rsidRPr="00400183" w:rsidRDefault="004B04E7" w:rsidP="004B04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00183">
              <w:rPr>
                <w:rFonts w:ascii="Times New Roman" w:hAnsi="Times New Roman"/>
              </w:rPr>
              <w:t>50-</w:t>
            </w:r>
            <w:r w:rsidR="004A1064" w:rsidRPr="00400183">
              <w:rPr>
                <w:rFonts w:ascii="Times New Roman" w:hAnsi="Times New Roman"/>
              </w:rPr>
              <w:t>59</w:t>
            </w:r>
          </w:p>
        </w:tc>
        <w:tc>
          <w:tcPr>
            <w:tcW w:w="2750" w:type="dxa"/>
          </w:tcPr>
          <w:p w:rsidR="004A1064" w:rsidRPr="00400183" w:rsidRDefault="004A1064" w:rsidP="004847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400183">
              <w:rPr>
                <w:rFonts w:ascii="Times New Roman" w:hAnsi="Times New Roman"/>
                <w:bCs/>
              </w:rPr>
              <w:t>2.00</w:t>
            </w:r>
          </w:p>
        </w:tc>
      </w:tr>
    </w:tbl>
    <w:p w:rsidR="00D01081" w:rsidRPr="00400183" w:rsidRDefault="00C9090D" w:rsidP="003D2DC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400183">
        <w:rPr>
          <w:rFonts w:ascii="Times New Roman" w:hAnsi="Times New Roman"/>
        </w:rPr>
        <w:t xml:space="preserve">Not: </w:t>
      </w:r>
      <w:r w:rsidR="00D01081" w:rsidRPr="00400183">
        <w:rPr>
          <w:rFonts w:ascii="Times New Roman" w:hAnsi="Times New Roman"/>
        </w:rPr>
        <w:t xml:space="preserve">Sınav sonucuna göre; Yüzlük Başarı Notu, </w:t>
      </w:r>
      <w:r w:rsidR="004B04E7" w:rsidRPr="00400183">
        <w:rPr>
          <w:rFonts w:ascii="Times New Roman" w:hAnsi="Times New Roman"/>
        </w:rPr>
        <w:t>50’nin</w:t>
      </w:r>
      <w:r w:rsidR="00D01081" w:rsidRPr="00400183">
        <w:rPr>
          <w:rFonts w:ascii="Times New Roman" w:hAnsi="Times New Roman"/>
        </w:rPr>
        <w:t xml:space="preserve"> altında kalan notlar değerlendirmeye alınmaz.</w:t>
      </w:r>
    </w:p>
    <w:p w:rsidR="00C9090D" w:rsidRPr="00400183" w:rsidRDefault="004847C2" w:rsidP="00C9090D">
      <w:pPr>
        <w:autoSpaceDE w:val="0"/>
        <w:autoSpaceDN w:val="0"/>
        <w:adjustRightInd w:val="0"/>
        <w:jc w:val="both"/>
        <w:rPr>
          <w:rStyle w:val="style2"/>
          <w:rFonts w:ascii="Times New Roman" w:hAnsi="Times New Roman"/>
          <w:b/>
          <w:i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(</w:t>
      </w:r>
      <w:r w:rsidR="003D2DCD" w:rsidRPr="00400183">
        <w:rPr>
          <w:rFonts w:ascii="Times New Roman" w:hAnsi="Times New Roman"/>
          <w:b/>
          <w:bCs/>
          <w:sz w:val="24"/>
          <w:szCs w:val="24"/>
        </w:rPr>
        <w:t>6</w:t>
      </w:r>
      <w:r w:rsidRPr="00400183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3D2DCD" w:rsidRPr="00400183">
        <w:rPr>
          <w:rFonts w:ascii="Times New Roman" w:hAnsi="Times New Roman"/>
          <w:sz w:val="24"/>
          <w:szCs w:val="24"/>
        </w:rPr>
        <w:t>S</w:t>
      </w:r>
      <w:r w:rsidRPr="00400183">
        <w:rPr>
          <w:rFonts w:ascii="Times New Roman" w:hAnsi="Times New Roman"/>
          <w:sz w:val="24"/>
          <w:szCs w:val="24"/>
        </w:rPr>
        <w:t>ınavların yürütülmesi</w:t>
      </w:r>
      <w:r w:rsidR="003D2DCD" w:rsidRPr="00400183">
        <w:rPr>
          <w:rFonts w:ascii="Times New Roman" w:hAnsi="Times New Roman"/>
          <w:sz w:val="24"/>
          <w:szCs w:val="24"/>
        </w:rPr>
        <w:t xml:space="preserve">nde </w:t>
      </w:r>
      <w:r w:rsidR="00810011" w:rsidRPr="00400183">
        <w:rPr>
          <w:rFonts w:ascii="Times New Roman" w:hAnsi="Times New Roman"/>
          <w:sz w:val="24"/>
          <w:szCs w:val="24"/>
        </w:rPr>
        <w:t>Yıldız Teknik</w:t>
      </w:r>
      <w:r w:rsidRPr="00400183">
        <w:rPr>
          <w:rFonts w:ascii="Times New Roman" w:hAnsi="Times New Roman"/>
          <w:sz w:val="24"/>
          <w:szCs w:val="24"/>
        </w:rPr>
        <w:t xml:space="preserve"> Üniversitesinin ilgili yönetmelik hükümleri uygulanır.</w:t>
      </w:r>
      <w:r w:rsidR="00C9090D" w:rsidRPr="00400183">
        <w:rPr>
          <w:rFonts w:ascii="Times New Roman" w:hAnsi="Times New Roman"/>
          <w:sz w:val="24"/>
          <w:szCs w:val="24"/>
        </w:rPr>
        <w:t xml:space="preserve"> 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>(06.12.2018 tarih ve 2018/</w:t>
      </w:r>
      <w:r w:rsidR="00C77323" w:rsidRPr="00400183">
        <w:rPr>
          <w:rStyle w:val="style2"/>
          <w:rFonts w:ascii="Times New Roman" w:hAnsi="Times New Roman"/>
          <w:b/>
          <w:i/>
          <w:sz w:val="24"/>
          <w:szCs w:val="24"/>
        </w:rPr>
        <w:t>07-10</w:t>
      </w:r>
      <w:r w:rsidR="00C9090D" w:rsidRPr="00400183">
        <w:rPr>
          <w:rStyle w:val="style2"/>
          <w:rFonts w:ascii="Times New Roman" w:hAnsi="Times New Roman"/>
          <w:b/>
          <w:i/>
          <w:sz w:val="24"/>
          <w:szCs w:val="24"/>
        </w:rPr>
        <w:t xml:space="preserve"> sayılı Senato kararı ile eklenmiştir.)</w:t>
      </w:r>
    </w:p>
    <w:p w:rsidR="00400183" w:rsidRPr="00400183" w:rsidRDefault="00400183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6"/>
          <w:szCs w:val="6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İş yeri deneyimlerinin </w:t>
      </w:r>
      <w:proofErr w:type="spellStart"/>
      <w:r w:rsidRPr="00400183">
        <w:rPr>
          <w:rFonts w:ascii="Times New Roman" w:hAnsi="Times New Roman"/>
          <w:b/>
          <w:bCs/>
          <w:sz w:val="24"/>
          <w:szCs w:val="24"/>
        </w:rPr>
        <w:t>portfolyo</w:t>
      </w:r>
      <w:proofErr w:type="spellEnd"/>
      <w:r w:rsidRPr="00400183">
        <w:rPr>
          <w:rFonts w:ascii="Times New Roman" w:hAnsi="Times New Roman"/>
          <w:b/>
          <w:bCs/>
          <w:sz w:val="24"/>
          <w:szCs w:val="24"/>
        </w:rPr>
        <w:t xml:space="preserve"> hazırlama ve muafiyet sınavları suretiyle tanınması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6- (1) </w:t>
      </w:r>
      <w:r w:rsidRPr="00400183">
        <w:rPr>
          <w:rFonts w:ascii="Times New Roman" w:hAnsi="Times New Roman"/>
          <w:sz w:val="24"/>
          <w:szCs w:val="24"/>
        </w:rPr>
        <w:t xml:space="preserve">Kurumsal yapıdaki iş yerlerinde elde edilen pratik kazanımlar ile iş yerlerinde hizmet içi eğitimler suretiyle elde edilmiş kazanımlar, belgelenmesi halinde tanınma başvurusu için kullanılabilir.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(2) </w:t>
      </w:r>
      <w:r w:rsidRPr="00400183">
        <w:rPr>
          <w:rFonts w:ascii="Times New Roman" w:hAnsi="Times New Roman"/>
          <w:sz w:val="24"/>
          <w:szCs w:val="24"/>
        </w:rPr>
        <w:t xml:space="preserve">Öğrenci, kazanımlar süresince ilgili iş yerinde Sosyal Güvenlik Kurumuna kayıtlı olarak bulunduğunu belgelemeli ve başvurusunda kazanmış olduğu bilgi, beceri ve yetkinlikleri elde ettiği faaliyetleri, çalışma-eğitim süreleri işyerinin en üst yetkilisi tarafından onaylanmış belgeler ile sunmalıdır. </w:t>
      </w:r>
    </w:p>
    <w:p w:rsidR="00C044FF" w:rsidRPr="00400183" w:rsidRDefault="004847C2" w:rsidP="00C044FF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(3) </w:t>
      </w:r>
      <w:r w:rsidRPr="00400183">
        <w:rPr>
          <w:rFonts w:ascii="Times New Roman" w:hAnsi="Times New Roman"/>
          <w:sz w:val="24"/>
          <w:szCs w:val="24"/>
        </w:rPr>
        <w:t xml:space="preserve">Başvuruyu müteakip öğrenciden, kazanımlarının kapsandığı derslerinden muafiyet değerlendirmesi yapılabilmesi için, önceden </w:t>
      </w:r>
      <w:r w:rsidR="00C044FF" w:rsidRPr="00400183">
        <w:rPr>
          <w:rFonts w:ascii="Times New Roman" w:hAnsi="Times New Roman"/>
          <w:sz w:val="24"/>
          <w:szCs w:val="24"/>
        </w:rPr>
        <w:t xml:space="preserve">konusu, alanı ve </w:t>
      </w:r>
      <w:r w:rsidRPr="00400183">
        <w:rPr>
          <w:rFonts w:ascii="Times New Roman" w:hAnsi="Times New Roman"/>
          <w:sz w:val="24"/>
          <w:szCs w:val="24"/>
        </w:rPr>
        <w:t xml:space="preserve">kapsamı belirlenmiş bir </w:t>
      </w:r>
      <w:proofErr w:type="spellStart"/>
      <w:r w:rsidRPr="00400183">
        <w:rPr>
          <w:rFonts w:ascii="Times New Roman" w:hAnsi="Times New Roman"/>
          <w:sz w:val="24"/>
          <w:szCs w:val="24"/>
        </w:rPr>
        <w:t>portfolyo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hazırlanması istenir ve kendisine ders kayıt haftası </w:t>
      </w:r>
      <w:proofErr w:type="gramStart"/>
      <w:r w:rsidRPr="00400183">
        <w:rPr>
          <w:rFonts w:ascii="Times New Roman" w:hAnsi="Times New Roman"/>
          <w:sz w:val="24"/>
          <w:szCs w:val="24"/>
        </w:rPr>
        <w:t>dahil</w:t>
      </w:r>
      <w:proofErr w:type="gramEnd"/>
      <w:r w:rsidRPr="00400183">
        <w:rPr>
          <w:rFonts w:ascii="Times New Roman" w:hAnsi="Times New Roman"/>
          <w:sz w:val="24"/>
          <w:szCs w:val="24"/>
        </w:rPr>
        <w:t xml:space="preserve"> edilerek iki hafta süre tanınır.</w:t>
      </w:r>
      <w:r w:rsidRPr="00400183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400183">
        <w:rPr>
          <w:rFonts w:ascii="Times New Roman" w:eastAsia="Times New Roman" w:hAnsi="Times New Roman"/>
          <w:bCs/>
          <w:spacing w:val="-1"/>
          <w:sz w:val="24"/>
          <w:szCs w:val="24"/>
        </w:rPr>
        <w:t>Süre</w:t>
      </w:r>
      <w:r w:rsidR="00C044FF" w:rsidRPr="00400183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sonunda </w:t>
      </w:r>
      <w:proofErr w:type="spellStart"/>
      <w:r w:rsidR="00C044FF" w:rsidRPr="00400183">
        <w:rPr>
          <w:rFonts w:ascii="Times New Roman" w:eastAsia="Times New Roman" w:hAnsi="Times New Roman"/>
          <w:bCs/>
          <w:spacing w:val="-1"/>
          <w:sz w:val="24"/>
          <w:szCs w:val="24"/>
        </w:rPr>
        <w:t>p</w:t>
      </w:r>
      <w:r w:rsidR="00C044FF" w:rsidRPr="00400183">
        <w:rPr>
          <w:rFonts w:ascii="Times New Roman" w:hAnsi="Times New Roman"/>
          <w:sz w:val="24"/>
          <w:szCs w:val="24"/>
        </w:rPr>
        <w:t>ortfolyosunu</w:t>
      </w:r>
      <w:proofErr w:type="spellEnd"/>
      <w:r w:rsidR="00C044FF" w:rsidRPr="00400183">
        <w:rPr>
          <w:rFonts w:ascii="Times New Roman" w:hAnsi="Times New Roman"/>
          <w:sz w:val="24"/>
          <w:szCs w:val="24"/>
        </w:rPr>
        <w:t xml:space="preserve"> teslim eden öğrencinin muafiyet durumu, ders koordinatörünün </w:t>
      </w:r>
      <w:r w:rsidR="00C044FF" w:rsidRPr="00400183">
        <w:rPr>
          <w:rFonts w:ascii="Times New Roman" w:hAnsi="Times New Roman"/>
          <w:bCs/>
          <w:sz w:val="24"/>
          <w:szCs w:val="24"/>
        </w:rPr>
        <w:t xml:space="preserve">önerisi ve </w:t>
      </w:r>
      <w:r w:rsidR="00C044FF" w:rsidRPr="00400183">
        <w:rPr>
          <w:rFonts w:ascii="Times New Roman" w:hAnsi="Times New Roman"/>
          <w:sz w:val="24"/>
          <w:szCs w:val="24"/>
        </w:rPr>
        <w:t>Önceden Kazanılmış Yeterliliklerin Tanınması Komisyonunun raporu eşliğinde bölüm/ enstitü kurulu görüşü ile ilgili Yönetim Kurulu tarafından karara bağlanır.</w:t>
      </w:r>
    </w:p>
    <w:p w:rsidR="004847C2" w:rsidRPr="00400183" w:rsidRDefault="004847C2" w:rsidP="004847C2">
      <w:pPr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(4) </w:t>
      </w:r>
      <w:r w:rsidRPr="00400183">
        <w:rPr>
          <w:rFonts w:ascii="Times New Roman" w:hAnsi="Times New Roman"/>
          <w:sz w:val="24"/>
          <w:szCs w:val="24"/>
        </w:rPr>
        <w:t>Alınan hizmet içi eğitimlerin her 40</w:t>
      </w:r>
      <w:r w:rsidR="00E21158" w:rsidRPr="00400183">
        <w:rPr>
          <w:rFonts w:ascii="Times New Roman" w:hAnsi="Times New Roman"/>
          <w:sz w:val="24"/>
          <w:szCs w:val="24"/>
        </w:rPr>
        <w:t xml:space="preserve"> </w:t>
      </w:r>
      <w:r w:rsidRPr="00400183">
        <w:rPr>
          <w:rFonts w:ascii="Times New Roman" w:hAnsi="Times New Roman"/>
          <w:sz w:val="24"/>
          <w:szCs w:val="24"/>
        </w:rPr>
        <w:t xml:space="preserve">saati 1 kredi; pratik çalışmalar ile kazanılan yetkinliklerin </w:t>
      </w:r>
      <w:r w:rsidR="003F2429" w:rsidRPr="00400183">
        <w:rPr>
          <w:rFonts w:ascii="Times New Roman" w:hAnsi="Times New Roman"/>
          <w:sz w:val="24"/>
          <w:szCs w:val="24"/>
        </w:rPr>
        <w:t xml:space="preserve">ve iş yeri uygulamalarının </w:t>
      </w:r>
      <w:r w:rsidRPr="00400183">
        <w:rPr>
          <w:rFonts w:ascii="Times New Roman" w:hAnsi="Times New Roman"/>
          <w:sz w:val="24"/>
          <w:szCs w:val="24"/>
        </w:rPr>
        <w:t>her 50 saati 1 kredi olarak sayılır.</w:t>
      </w:r>
      <w:r w:rsidR="00E21158" w:rsidRPr="00400183">
        <w:rPr>
          <w:rFonts w:ascii="Times New Roman" w:hAnsi="Times New Roman"/>
          <w:sz w:val="24"/>
          <w:szCs w:val="24"/>
        </w:rPr>
        <w:t xml:space="preserve"> </w:t>
      </w:r>
      <w:r w:rsidR="003F2429" w:rsidRPr="00400183">
        <w:rPr>
          <w:rFonts w:ascii="Times New Roman" w:hAnsi="Times New Roman"/>
          <w:sz w:val="24"/>
          <w:szCs w:val="24"/>
        </w:rPr>
        <w:t xml:space="preserve">Bu şekilde en fazla 6 kredilik dersten muafiyet yapılabilir. </w:t>
      </w:r>
    </w:p>
    <w:p w:rsidR="00BE2F1E" w:rsidRPr="00400183" w:rsidRDefault="004847C2" w:rsidP="00BE2F1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>(</w:t>
      </w:r>
      <w:r w:rsidR="00BE2F1E" w:rsidRPr="00400183">
        <w:rPr>
          <w:rFonts w:ascii="Times New Roman" w:hAnsi="Times New Roman"/>
          <w:b/>
          <w:bCs/>
          <w:sz w:val="24"/>
          <w:szCs w:val="24"/>
        </w:rPr>
        <w:t>5</w:t>
      </w:r>
      <w:r w:rsidRPr="00400183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1C3319" w:rsidRPr="00400183">
        <w:rPr>
          <w:rFonts w:ascii="Times New Roman" w:hAnsi="Times New Roman"/>
          <w:sz w:val="24"/>
          <w:szCs w:val="24"/>
        </w:rPr>
        <w:t>L</w:t>
      </w:r>
      <w:r w:rsidRPr="00400183">
        <w:rPr>
          <w:rFonts w:ascii="Times New Roman" w:hAnsi="Times New Roman"/>
          <w:sz w:val="24"/>
          <w:szCs w:val="24"/>
        </w:rPr>
        <w:t xml:space="preserve">isans öğrencilerden </w:t>
      </w:r>
      <w:r w:rsidR="001C3319" w:rsidRPr="00400183">
        <w:rPr>
          <w:rFonts w:ascii="Times New Roman" w:hAnsi="Times New Roman"/>
          <w:sz w:val="24"/>
          <w:szCs w:val="24"/>
        </w:rPr>
        <w:t>kayıtlı olduğu bölüm/</w:t>
      </w:r>
      <w:r w:rsidRPr="00400183">
        <w:rPr>
          <w:rFonts w:ascii="Times New Roman" w:hAnsi="Times New Roman"/>
          <w:sz w:val="24"/>
          <w:szCs w:val="24"/>
        </w:rPr>
        <w:t xml:space="preserve">program alanında son iki yılda SCI - SCI </w:t>
      </w:r>
      <w:proofErr w:type="spellStart"/>
      <w:r w:rsidRPr="00400183">
        <w:rPr>
          <w:rFonts w:ascii="Times New Roman" w:hAnsi="Times New Roman"/>
          <w:sz w:val="24"/>
          <w:szCs w:val="24"/>
        </w:rPr>
        <w:t>Expanded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- SSCI - AHCI indeksli dergilerde yayınlanmış başlıca yazarı </w:t>
      </w:r>
      <w:r w:rsidR="003F2429" w:rsidRPr="00400183">
        <w:rPr>
          <w:rFonts w:ascii="Times New Roman" w:hAnsi="Times New Roman"/>
          <w:sz w:val="24"/>
          <w:szCs w:val="24"/>
        </w:rPr>
        <w:t>olduğu ya da ilk sırada ismi b</w:t>
      </w:r>
      <w:r w:rsidRPr="00400183">
        <w:rPr>
          <w:rFonts w:ascii="Times New Roman" w:hAnsi="Times New Roman"/>
          <w:sz w:val="24"/>
          <w:szCs w:val="24"/>
        </w:rPr>
        <w:t xml:space="preserve">ulunan öğrenciler, bu kazanımlarının tanınması için başvurabilir. Her bir makale </w:t>
      </w:r>
      <w:r w:rsidR="003F2429" w:rsidRPr="00400183">
        <w:rPr>
          <w:rFonts w:ascii="Times New Roman" w:hAnsi="Times New Roman"/>
          <w:sz w:val="24"/>
          <w:szCs w:val="24"/>
        </w:rPr>
        <w:t>3</w:t>
      </w:r>
      <w:r w:rsidRPr="00400183">
        <w:rPr>
          <w:rFonts w:ascii="Times New Roman" w:hAnsi="Times New Roman"/>
          <w:sz w:val="24"/>
          <w:szCs w:val="24"/>
        </w:rPr>
        <w:t xml:space="preserve"> kredi olmak üzere bu yol ile en fazla </w:t>
      </w:r>
      <w:r w:rsidR="003F2429" w:rsidRPr="00400183">
        <w:rPr>
          <w:rFonts w:ascii="Times New Roman" w:hAnsi="Times New Roman"/>
          <w:sz w:val="24"/>
          <w:szCs w:val="24"/>
        </w:rPr>
        <w:t>6</w:t>
      </w:r>
      <w:r w:rsidRPr="00400183">
        <w:rPr>
          <w:rFonts w:ascii="Times New Roman" w:hAnsi="Times New Roman"/>
          <w:sz w:val="24"/>
          <w:szCs w:val="24"/>
        </w:rPr>
        <w:t xml:space="preserve"> kredilik dersten muafiyet yapılabilir. Belirtilen krediler Madde 4’teki kredi sınırının dışında tutul</w:t>
      </w:r>
      <w:r w:rsidR="003F2429" w:rsidRPr="00400183">
        <w:rPr>
          <w:rFonts w:ascii="Times New Roman" w:hAnsi="Times New Roman"/>
          <w:sz w:val="24"/>
          <w:szCs w:val="24"/>
        </w:rPr>
        <w:t>ur.</w:t>
      </w:r>
      <w:r w:rsidRPr="00400183">
        <w:rPr>
          <w:rFonts w:ascii="Times New Roman" w:hAnsi="Times New Roman"/>
          <w:sz w:val="24"/>
          <w:szCs w:val="24"/>
        </w:rPr>
        <w:t xml:space="preserve"> Değerlendirme</w:t>
      </w:r>
      <w:r w:rsidR="00BE2F1E" w:rsidRPr="00400183">
        <w:rPr>
          <w:rFonts w:ascii="Times New Roman" w:hAnsi="Times New Roman"/>
          <w:sz w:val="24"/>
          <w:szCs w:val="24"/>
        </w:rPr>
        <w:t>,</w:t>
      </w:r>
      <w:r w:rsidRPr="00400183">
        <w:rPr>
          <w:rFonts w:ascii="Times New Roman" w:hAnsi="Times New Roman"/>
          <w:sz w:val="24"/>
          <w:szCs w:val="24"/>
        </w:rPr>
        <w:t xml:space="preserve"> </w:t>
      </w:r>
      <w:r w:rsidR="00BE2F1E" w:rsidRPr="00400183">
        <w:rPr>
          <w:rFonts w:ascii="Times New Roman" w:hAnsi="Times New Roman"/>
          <w:sz w:val="24"/>
          <w:szCs w:val="24"/>
        </w:rPr>
        <w:t xml:space="preserve">Önceden Kazanılmış Yeterliliklerin Tanınması Komisyonunun raporu eşliğinde bölüm kurulu görüşü </w:t>
      </w:r>
      <w:r w:rsidR="001C3319" w:rsidRPr="00400183">
        <w:rPr>
          <w:rFonts w:ascii="Times New Roman" w:hAnsi="Times New Roman"/>
          <w:sz w:val="24"/>
          <w:szCs w:val="24"/>
        </w:rPr>
        <w:t xml:space="preserve">doğrultusunda ilgili </w:t>
      </w:r>
      <w:r w:rsidR="00BE2F1E" w:rsidRPr="00400183">
        <w:rPr>
          <w:rFonts w:ascii="Times New Roman" w:hAnsi="Times New Roman"/>
          <w:sz w:val="24"/>
          <w:szCs w:val="24"/>
        </w:rPr>
        <w:t>Yönetim Kurulu tarafından karara bağlanır.</w:t>
      </w:r>
    </w:p>
    <w:p w:rsidR="00D73E92" w:rsidRPr="00400183" w:rsidRDefault="001C3319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sz w:val="24"/>
          <w:szCs w:val="24"/>
        </w:rPr>
        <w:t>(6) Diğer yeterlilikler, ilgili birimlerin kurullarında değerlendirilir ve karar verilir.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Akredite olmuş-tanınmış sertifika kuruluşlarından alınmış sertifikaların tanınması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7- (1) </w:t>
      </w:r>
      <w:r w:rsidRPr="00400183">
        <w:rPr>
          <w:rFonts w:ascii="Times New Roman" w:hAnsi="Times New Roman"/>
          <w:sz w:val="24"/>
          <w:szCs w:val="24"/>
        </w:rPr>
        <w:t xml:space="preserve">Program kazanımları ile örtüşmek kaydı ile hangi sertifikalara ilişkin kazanımların değerlendirileceği ilgili akademik birimin yönetim kurulu kararı ile belirlenir.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lastRenderedPageBreak/>
        <w:t xml:space="preserve">(2) </w:t>
      </w:r>
      <w:r w:rsidRPr="00400183">
        <w:rPr>
          <w:rFonts w:ascii="Times New Roman" w:hAnsi="Times New Roman"/>
          <w:sz w:val="24"/>
          <w:szCs w:val="24"/>
        </w:rPr>
        <w:t xml:space="preserve">Bu madde ile tanınacak </w:t>
      </w:r>
      <w:r w:rsidR="00305835" w:rsidRPr="00400183">
        <w:rPr>
          <w:rFonts w:ascii="Times New Roman" w:hAnsi="Times New Roman"/>
          <w:sz w:val="24"/>
          <w:szCs w:val="24"/>
        </w:rPr>
        <w:t xml:space="preserve">başta </w:t>
      </w:r>
      <w:r w:rsidRPr="00400183">
        <w:rPr>
          <w:rFonts w:ascii="Times New Roman" w:hAnsi="Times New Roman"/>
          <w:sz w:val="24"/>
          <w:szCs w:val="24"/>
        </w:rPr>
        <w:t>yabancı dil ve bilgisayar kullanım yeterlikleri Madde 4</w:t>
      </w:r>
      <w:r w:rsidR="00305835" w:rsidRPr="00400183">
        <w:rPr>
          <w:rFonts w:ascii="Times New Roman" w:hAnsi="Times New Roman"/>
          <w:sz w:val="24"/>
          <w:szCs w:val="24"/>
        </w:rPr>
        <w:t>’</w:t>
      </w:r>
      <w:r w:rsidRPr="00400183">
        <w:rPr>
          <w:rFonts w:ascii="Times New Roman" w:hAnsi="Times New Roman"/>
          <w:sz w:val="24"/>
          <w:szCs w:val="24"/>
        </w:rPr>
        <w:t>te</w:t>
      </w:r>
      <w:r w:rsidR="00305835" w:rsidRPr="00400183">
        <w:rPr>
          <w:rFonts w:ascii="Times New Roman" w:hAnsi="Times New Roman"/>
          <w:sz w:val="24"/>
          <w:szCs w:val="24"/>
        </w:rPr>
        <w:t xml:space="preserve"> belirtilen </w:t>
      </w:r>
      <w:r w:rsidRPr="00400183">
        <w:rPr>
          <w:rFonts w:ascii="Times New Roman" w:hAnsi="Times New Roman"/>
          <w:sz w:val="24"/>
          <w:szCs w:val="24"/>
        </w:rPr>
        <w:t xml:space="preserve">kredi sınırının dışındadır. </w:t>
      </w:r>
    </w:p>
    <w:p w:rsidR="00305835" w:rsidRPr="00400183" w:rsidRDefault="004847C2" w:rsidP="0030583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(3) </w:t>
      </w:r>
      <w:r w:rsidRPr="00400183">
        <w:rPr>
          <w:rFonts w:ascii="Times New Roman" w:hAnsi="Times New Roman"/>
          <w:sz w:val="24"/>
          <w:szCs w:val="24"/>
        </w:rPr>
        <w:t xml:space="preserve">Avrupa Bilgisayar Kullanma Lisansı Temel Düzey </w:t>
      </w:r>
      <w:r w:rsidR="00305835" w:rsidRPr="00400183">
        <w:rPr>
          <w:rFonts w:ascii="Times New Roman" w:hAnsi="Times New Roman"/>
          <w:sz w:val="24"/>
          <w:szCs w:val="24"/>
        </w:rPr>
        <w:t xml:space="preserve">veya İleri Düzey </w:t>
      </w:r>
      <w:r w:rsidRPr="00400183">
        <w:rPr>
          <w:rFonts w:ascii="Times New Roman" w:hAnsi="Times New Roman"/>
          <w:sz w:val="24"/>
          <w:szCs w:val="24"/>
        </w:rPr>
        <w:t>(</w:t>
      </w:r>
      <w:proofErr w:type="spellStart"/>
      <w:r w:rsidRPr="00400183">
        <w:rPr>
          <w:rFonts w:ascii="Times New Roman" w:hAnsi="Times New Roman"/>
          <w:sz w:val="24"/>
          <w:szCs w:val="24"/>
        </w:rPr>
        <w:t>European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183">
        <w:rPr>
          <w:rFonts w:ascii="Times New Roman" w:hAnsi="Times New Roman"/>
          <w:sz w:val="24"/>
          <w:szCs w:val="24"/>
        </w:rPr>
        <w:t>Computer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183">
        <w:rPr>
          <w:rFonts w:ascii="Times New Roman" w:hAnsi="Times New Roman"/>
          <w:sz w:val="24"/>
          <w:szCs w:val="24"/>
        </w:rPr>
        <w:t>Driving</w:t>
      </w:r>
      <w:proofErr w:type="spellEnd"/>
      <w:r w:rsidRPr="00400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183">
        <w:rPr>
          <w:rFonts w:ascii="Times New Roman" w:hAnsi="Times New Roman"/>
          <w:sz w:val="24"/>
          <w:szCs w:val="24"/>
        </w:rPr>
        <w:t>Licence</w:t>
      </w:r>
      <w:proofErr w:type="spellEnd"/>
      <w:r w:rsidRPr="00400183">
        <w:rPr>
          <w:rFonts w:ascii="Times New Roman" w:hAnsi="Times New Roman"/>
          <w:sz w:val="24"/>
          <w:szCs w:val="24"/>
        </w:rPr>
        <w:t>, Basic Level</w:t>
      </w:r>
      <w:r w:rsidR="00305835" w:rsidRPr="00400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835" w:rsidRPr="00400183">
        <w:rPr>
          <w:rFonts w:ascii="Times New Roman" w:hAnsi="Times New Roman"/>
          <w:sz w:val="24"/>
          <w:szCs w:val="24"/>
        </w:rPr>
        <w:t>or</w:t>
      </w:r>
      <w:proofErr w:type="spellEnd"/>
      <w:r w:rsidR="00305835" w:rsidRPr="00400183">
        <w:rPr>
          <w:rFonts w:ascii="Times New Roman" w:hAnsi="Times New Roman"/>
          <w:sz w:val="24"/>
          <w:szCs w:val="24"/>
        </w:rPr>
        <w:t xml:space="preserve"> Advanced Level</w:t>
      </w:r>
      <w:r w:rsidRPr="00400183">
        <w:rPr>
          <w:rFonts w:ascii="Times New Roman" w:hAnsi="Times New Roman"/>
          <w:sz w:val="24"/>
          <w:szCs w:val="24"/>
        </w:rPr>
        <w:t>) Sertifikasına sahip lisans öğrencileri</w:t>
      </w:r>
      <w:r w:rsidR="00305835" w:rsidRPr="00400183">
        <w:rPr>
          <w:rFonts w:ascii="Times New Roman" w:hAnsi="Times New Roman"/>
          <w:sz w:val="24"/>
          <w:szCs w:val="24"/>
        </w:rPr>
        <w:t>,</w:t>
      </w:r>
      <w:r w:rsidRPr="00400183">
        <w:rPr>
          <w:rFonts w:ascii="Times New Roman" w:hAnsi="Times New Roman"/>
          <w:sz w:val="24"/>
          <w:szCs w:val="24"/>
        </w:rPr>
        <w:t xml:space="preserve"> başvuru süresi içerisinde onaylı sertifikaları ile başvurmaları halinde kendi ders planlarında yer alan dersten muaf edil</w:t>
      </w:r>
      <w:r w:rsidR="00305835" w:rsidRPr="00400183">
        <w:rPr>
          <w:rFonts w:ascii="Times New Roman" w:hAnsi="Times New Roman"/>
          <w:sz w:val="24"/>
          <w:szCs w:val="24"/>
        </w:rPr>
        <w:t>ebilirler.</w:t>
      </w:r>
      <w:r w:rsidRPr="00400183">
        <w:rPr>
          <w:rFonts w:ascii="Times New Roman" w:hAnsi="Times New Roman"/>
          <w:sz w:val="24"/>
          <w:szCs w:val="24"/>
        </w:rPr>
        <w:t xml:space="preserve"> 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(4) </w:t>
      </w:r>
      <w:r w:rsidRPr="00400183">
        <w:rPr>
          <w:rFonts w:ascii="Times New Roman" w:hAnsi="Times New Roman"/>
          <w:sz w:val="24"/>
          <w:szCs w:val="24"/>
        </w:rPr>
        <w:t xml:space="preserve">Öğretim dili Türkçe olan programa kesin kaydını yaptıran öğrenci, lisans programı için </w:t>
      </w:r>
      <w:r w:rsidR="00305835" w:rsidRPr="00400183">
        <w:rPr>
          <w:rFonts w:ascii="Times New Roman" w:hAnsi="Times New Roman"/>
          <w:sz w:val="24"/>
          <w:szCs w:val="24"/>
        </w:rPr>
        <w:t xml:space="preserve">en az B2 </w:t>
      </w:r>
      <w:r w:rsidRPr="00400183">
        <w:rPr>
          <w:rFonts w:ascii="Times New Roman" w:hAnsi="Times New Roman"/>
          <w:sz w:val="24"/>
          <w:szCs w:val="24"/>
        </w:rPr>
        <w:t>düzeyinde</w:t>
      </w:r>
      <w:r w:rsidR="00305835" w:rsidRPr="00400183">
        <w:rPr>
          <w:rFonts w:ascii="Times New Roman" w:hAnsi="Times New Roman"/>
          <w:sz w:val="24"/>
          <w:szCs w:val="24"/>
        </w:rPr>
        <w:t xml:space="preserve"> (Avrupa Dil </w:t>
      </w:r>
      <w:proofErr w:type="spellStart"/>
      <w:r w:rsidR="00305835" w:rsidRPr="00400183">
        <w:rPr>
          <w:rFonts w:ascii="Times New Roman" w:hAnsi="Times New Roman"/>
          <w:sz w:val="24"/>
          <w:szCs w:val="24"/>
        </w:rPr>
        <w:t>Portfolyosu</w:t>
      </w:r>
      <w:proofErr w:type="spellEnd"/>
      <w:r w:rsidR="00305835" w:rsidRPr="00400183">
        <w:rPr>
          <w:rFonts w:ascii="Times New Roman" w:hAnsi="Times New Roman"/>
          <w:sz w:val="24"/>
          <w:szCs w:val="24"/>
        </w:rPr>
        <w:t xml:space="preserve"> düzeyi) </w:t>
      </w:r>
      <w:r w:rsidRPr="00400183">
        <w:rPr>
          <w:rFonts w:ascii="Times New Roman" w:hAnsi="Times New Roman"/>
          <w:sz w:val="24"/>
          <w:szCs w:val="24"/>
        </w:rPr>
        <w:t xml:space="preserve">olduğunu belgenin aslını kayıt sürecinde teslim etmek koşuluyla kayıt yaptırılan programdaki </w:t>
      </w:r>
      <w:r w:rsidR="00305835" w:rsidRPr="00400183">
        <w:rPr>
          <w:rFonts w:ascii="Times New Roman" w:hAnsi="Times New Roman"/>
          <w:sz w:val="24"/>
          <w:szCs w:val="24"/>
        </w:rPr>
        <w:t>seç</w:t>
      </w:r>
      <w:r w:rsidR="00D73E92" w:rsidRPr="00400183">
        <w:rPr>
          <w:rFonts w:ascii="Times New Roman" w:hAnsi="Times New Roman"/>
          <w:sz w:val="24"/>
          <w:szCs w:val="24"/>
        </w:rPr>
        <w:t>mel</w:t>
      </w:r>
      <w:r w:rsidR="00305835" w:rsidRPr="00400183">
        <w:rPr>
          <w:rFonts w:ascii="Times New Roman" w:hAnsi="Times New Roman"/>
          <w:sz w:val="24"/>
          <w:szCs w:val="24"/>
        </w:rPr>
        <w:t>i/</w:t>
      </w:r>
      <w:r w:rsidRPr="00400183">
        <w:rPr>
          <w:rFonts w:ascii="Times New Roman" w:hAnsi="Times New Roman"/>
          <w:sz w:val="24"/>
          <w:szCs w:val="24"/>
        </w:rPr>
        <w:t>zorunlu yaba</w:t>
      </w:r>
      <w:r w:rsidR="00305835" w:rsidRPr="00400183">
        <w:rPr>
          <w:rFonts w:ascii="Times New Roman" w:hAnsi="Times New Roman"/>
          <w:sz w:val="24"/>
          <w:szCs w:val="24"/>
        </w:rPr>
        <w:t>ncı dil derslerinden muaf olabilirler.</w:t>
      </w: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(5) </w:t>
      </w:r>
      <w:r w:rsidRPr="00400183">
        <w:rPr>
          <w:rFonts w:ascii="Times New Roman" w:hAnsi="Times New Roman"/>
          <w:sz w:val="24"/>
          <w:szCs w:val="24"/>
        </w:rPr>
        <w:t xml:space="preserve">Öğretim dili kısmen veya tamamen yabancı dilde olan programlara kesin kaydını yaptıran öğrenci ise </w:t>
      </w:r>
      <w:r w:rsidR="00305835" w:rsidRPr="00400183">
        <w:rPr>
          <w:rFonts w:ascii="Times New Roman" w:hAnsi="Times New Roman"/>
          <w:sz w:val="24"/>
          <w:szCs w:val="24"/>
        </w:rPr>
        <w:t>en az C1</w:t>
      </w:r>
      <w:r w:rsidRPr="00400183">
        <w:rPr>
          <w:rFonts w:ascii="Times New Roman" w:hAnsi="Times New Roman"/>
          <w:sz w:val="24"/>
          <w:szCs w:val="24"/>
        </w:rPr>
        <w:t xml:space="preserve"> düzeyinde </w:t>
      </w:r>
      <w:r w:rsidR="00305835" w:rsidRPr="00400183">
        <w:rPr>
          <w:rFonts w:ascii="Times New Roman" w:hAnsi="Times New Roman"/>
          <w:sz w:val="24"/>
          <w:szCs w:val="24"/>
        </w:rPr>
        <w:t xml:space="preserve">(Avrupa Dil </w:t>
      </w:r>
      <w:proofErr w:type="spellStart"/>
      <w:r w:rsidR="00305835" w:rsidRPr="00400183">
        <w:rPr>
          <w:rFonts w:ascii="Times New Roman" w:hAnsi="Times New Roman"/>
          <w:sz w:val="24"/>
          <w:szCs w:val="24"/>
        </w:rPr>
        <w:t>Portfolyosu</w:t>
      </w:r>
      <w:proofErr w:type="spellEnd"/>
      <w:r w:rsidR="00305835" w:rsidRPr="00400183">
        <w:rPr>
          <w:rFonts w:ascii="Times New Roman" w:hAnsi="Times New Roman"/>
          <w:sz w:val="24"/>
          <w:szCs w:val="24"/>
        </w:rPr>
        <w:t xml:space="preserve"> düzeyi) </w:t>
      </w:r>
      <w:r w:rsidRPr="00400183">
        <w:rPr>
          <w:rFonts w:ascii="Times New Roman" w:hAnsi="Times New Roman"/>
          <w:sz w:val="24"/>
          <w:szCs w:val="24"/>
        </w:rPr>
        <w:t xml:space="preserve">olduğunu belgenin aslını kayıt sürecinde teslim etmek koşuluyla kayıt yaptırılan programdaki </w:t>
      </w:r>
      <w:r w:rsidR="00305835" w:rsidRPr="00400183">
        <w:rPr>
          <w:rFonts w:ascii="Times New Roman" w:hAnsi="Times New Roman"/>
          <w:sz w:val="24"/>
          <w:szCs w:val="24"/>
        </w:rPr>
        <w:t>seçmeli/zorunlu yabancı dil derslerinden muaf olabilirler.</w:t>
      </w:r>
      <w:r w:rsidRPr="00400183">
        <w:rPr>
          <w:rFonts w:ascii="Times New Roman" w:hAnsi="Times New Roman"/>
          <w:sz w:val="24"/>
          <w:szCs w:val="24"/>
        </w:rPr>
        <w:t xml:space="preserve"> </w:t>
      </w:r>
    </w:p>
    <w:p w:rsidR="004E1A8D" w:rsidRPr="00400183" w:rsidRDefault="00305835" w:rsidP="0030583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sz w:val="24"/>
          <w:szCs w:val="24"/>
        </w:rPr>
        <w:t>(6)</w:t>
      </w:r>
      <w:r w:rsidRPr="00400183">
        <w:rPr>
          <w:rFonts w:ascii="Times New Roman" w:hAnsi="Times New Roman"/>
          <w:sz w:val="24"/>
          <w:szCs w:val="24"/>
        </w:rPr>
        <w:t xml:space="preserve"> Bu kapsamdaki muafiyetler, Önceden Kazanılmış Yeterliliklerin Tanınması Komisyonunun raporu eşliğinde bölüm</w:t>
      </w:r>
      <w:r w:rsidR="006E08F9" w:rsidRPr="00400183">
        <w:rPr>
          <w:rFonts w:ascii="Times New Roman" w:hAnsi="Times New Roman"/>
          <w:sz w:val="24"/>
          <w:szCs w:val="24"/>
        </w:rPr>
        <w:t xml:space="preserve"> </w:t>
      </w:r>
      <w:r w:rsidRPr="00400183">
        <w:rPr>
          <w:rFonts w:ascii="Times New Roman" w:hAnsi="Times New Roman"/>
          <w:sz w:val="24"/>
          <w:szCs w:val="24"/>
        </w:rPr>
        <w:t>/ enstitü kurulu görüşü ile ilgili Yönetim Kurulu tarafından karara bağlanır.</w:t>
      </w:r>
    </w:p>
    <w:p w:rsidR="00400183" w:rsidRPr="00400183" w:rsidRDefault="00400183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Yürürlük </w:t>
      </w:r>
    </w:p>
    <w:p w:rsidR="00D73E9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8- (1) </w:t>
      </w:r>
      <w:r w:rsidRPr="00400183">
        <w:rPr>
          <w:rFonts w:ascii="Times New Roman" w:hAnsi="Times New Roman"/>
          <w:sz w:val="24"/>
          <w:szCs w:val="24"/>
        </w:rPr>
        <w:t xml:space="preserve">Bu Yönerge, senato tarafından kabul edildikten sonra yürürlüğe girer. </w:t>
      </w:r>
    </w:p>
    <w:p w:rsidR="00400183" w:rsidRPr="00400183" w:rsidRDefault="00400183" w:rsidP="004847C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4847C2" w:rsidRPr="00400183" w:rsidRDefault="004847C2" w:rsidP="004847C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Yürütme </w:t>
      </w:r>
    </w:p>
    <w:p w:rsidR="00853C40" w:rsidRPr="00400183" w:rsidRDefault="004847C2" w:rsidP="004847C2">
      <w:pPr>
        <w:jc w:val="both"/>
        <w:rPr>
          <w:rFonts w:ascii="Times New Roman" w:hAnsi="Times New Roman"/>
          <w:sz w:val="24"/>
          <w:szCs w:val="24"/>
        </w:rPr>
      </w:pPr>
      <w:r w:rsidRPr="00400183">
        <w:rPr>
          <w:rFonts w:ascii="Times New Roman" w:hAnsi="Times New Roman"/>
          <w:b/>
          <w:bCs/>
          <w:sz w:val="24"/>
          <w:szCs w:val="24"/>
        </w:rPr>
        <w:t xml:space="preserve">MADDE 9- (1) </w:t>
      </w:r>
      <w:r w:rsidRPr="00400183">
        <w:rPr>
          <w:rFonts w:ascii="Times New Roman" w:hAnsi="Times New Roman"/>
          <w:sz w:val="24"/>
          <w:szCs w:val="24"/>
        </w:rPr>
        <w:t xml:space="preserve">Bu Yönerge hükümleri, </w:t>
      </w:r>
      <w:r w:rsidR="00810011" w:rsidRPr="00400183">
        <w:rPr>
          <w:rFonts w:ascii="Times New Roman" w:hAnsi="Times New Roman"/>
          <w:sz w:val="24"/>
          <w:szCs w:val="24"/>
        </w:rPr>
        <w:t>Yıldız Teknik</w:t>
      </w:r>
      <w:r w:rsidRPr="00400183">
        <w:rPr>
          <w:rFonts w:ascii="Times New Roman" w:hAnsi="Times New Roman"/>
          <w:sz w:val="24"/>
          <w:szCs w:val="24"/>
        </w:rPr>
        <w:t xml:space="preserve"> Üniversitesi Rektörü tarafından yürütülür.</w:t>
      </w:r>
    </w:p>
    <w:p w:rsidR="00E21158" w:rsidRPr="00400183" w:rsidRDefault="00E21158" w:rsidP="004847C2">
      <w:pPr>
        <w:jc w:val="both"/>
        <w:rPr>
          <w:rFonts w:ascii="Times New Roman" w:hAnsi="Times New Roman"/>
          <w:sz w:val="24"/>
          <w:szCs w:val="24"/>
        </w:rPr>
      </w:pPr>
    </w:p>
    <w:sectPr w:rsidR="00E21158" w:rsidRPr="00400183" w:rsidSect="001F052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4" w:rsidRDefault="006D03F4" w:rsidP="00403381">
      <w:pPr>
        <w:spacing w:after="0" w:line="240" w:lineRule="auto"/>
      </w:pPr>
      <w:r>
        <w:separator/>
      </w:r>
    </w:p>
  </w:endnote>
  <w:endnote w:type="continuationSeparator" w:id="0">
    <w:p w:rsidR="006D03F4" w:rsidRDefault="006D03F4" w:rsidP="0040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81" w:rsidRDefault="00403381">
    <w:pPr>
      <w:pStyle w:val="Altbilgi"/>
    </w:pPr>
    <w:r>
      <w:t xml:space="preserve">Doküman No: YÖ-064; Revizyon Tarihi: </w:t>
    </w:r>
    <w:r w:rsidR="00400183">
      <w:t>27.11</w:t>
    </w:r>
    <w:r w:rsidR="002C4CC0">
      <w:t>.20</w:t>
    </w:r>
    <w:r w:rsidR="00400183">
      <w:t>20</w:t>
    </w:r>
    <w:r w:rsidR="002C4CC0">
      <w:t>; Revizyon No:0</w:t>
    </w:r>
    <w:r w:rsidR="00400183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4" w:rsidRDefault="006D03F4" w:rsidP="00403381">
      <w:pPr>
        <w:spacing w:after="0" w:line="240" w:lineRule="auto"/>
      </w:pPr>
      <w:r>
        <w:separator/>
      </w:r>
    </w:p>
  </w:footnote>
  <w:footnote w:type="continuationSeparator" w:id="0">
    <w:p w:rsidR="006D03F4" w:rsidRDefault="006D03F4" w:rsidP="00403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4EA1"/>
    <w:multiLevelType w:val="hybridMultilevel"/>
    <w:tmpl w:val="0D281994"/>
    <w:lvl w:ilvl="0" w:tplc="82F680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822CC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auto"/>
      </w:r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2AD22">
      <w:start w:val="2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ED6AA704">
      <w:start w:val="8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17"/>
    <w:rsid w:val="00006D26"/>
    <w:rsid w:val="00050FBB"/>
    <w:rsid w:val="00067C7C"/>
    <w:rsid w:val="000A0D5B"/>
    <w:rsid w:val="00180644"/>
    <w:rsid w:val="001B10A5"/>
    <w:rsid w:val="001C3319"/>
    <w:rsid w:val="001F0525"/>
    <w:rsid w:val="0020173E"/>
    <w:rsid w:val="0021669A"/>
    <w:rsid w:val="002221FB"/>
    <w:rsid w:val="00266204"/>
    <w:rsid w:val="002C4CC0"/>
    <w:rsid w:val="00305835"/>
    <w:rsid w:val="003372E4"/>
    <w:rsid w:val="003D2DCD"/>
    <w:rsid w:val="003F2429"/>
    <w:rsid w:val="00400183"/>
    <w:rsid w:val="00403381"/>
    <w:rsid w:val="00410ED2"/>
    <w:rsid w:val="0041773F"/>
    <w:rsid w:val="004847C2"/>
    <w:rsid w:val="004A1064"/>
    <w:rsid w:val="004B04E7"/>
    <w:rsid w:val="004B23C4"/>
    <w:rsid w:val="004E1A8D"/>
    <w:rsid w:val="00590AB9"/>
    <w:rsid w:val="005A0412"/>
    <w:rsid w:val="005F1264"/>
    <w:rsid w:val="00601A2E"/>
    <w:rsid w:val="006157DC"/>
    <w:rsid w:val="0063220C"/>
    <w:rsid w:val="00697920"/>
    <w:rsid w:val="006D03F4"/>
    <w:rsid w:val="006E08F9"/>
    <w:rsid w:val="00727690"/>
    <w:rsid w:val="0073004F"/>
    <w:rsid w:val="007B6F14"/>
    <w:rsid w:val="007C2A0A"/>
    <w:rsid w:val="00810011"/>
    <w:rsid w:val="00842F4B"/>
    <w:rsid w:val="00853C40"/>
    <w:rsid w:val="008F3FB4"/>
    <w:rsid w:val="00A55322"/>
    <w:rsid w:val="00A8367F"/>
    <w:rsid w:val="00A85D28"/>
    <w:rsid w:val="00AD7018"/>
    <w:rsid w:val="00AE4856"/>
    <w:rsid w:val="00B45DC0"/>
    <w:rsid w:val="00BB66EA"/>
    <w:rsid w:val="00BE2F1E"/>
    <w:rsid w:val="00BF0817"/>
    <w:rsid w:val="00BF637B"/>
    <w:rsid w:val="00C044FF"/>
    <w:rsid w:val="00C77323"/>
    <w:rsid w:val="00C9090D"/>
    <w:rsid w:val="00C9374A"/>
    <w:rsid w:val="00D01081"/>
    <w:rsid w:val="00D345DB"/>
    <w:rsid w:val="00D73E92"/>
    <w:rsid w:val="00D8660F"/>
    <w:rsid w:val="00DC3478"/>
    <w:rsid w:val="00DE07D3"/>
    <w:rsid w:val="00E21158"/>
    <w:rsid w:val="00E87DE7"/>
    <w:rsid w:val="00E9768F"/>
    <w:rsid w:val="00F070D4"/>
    <w:rsid w:val="00F73EE7"/>
    <w:rsid w:val="00FB799F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A63439-D9F4-4103-9B3B-2112C73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7C2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73E92"/>
    <w:pPr>
      <w:spacing w:after="0" w:line="240" w:lineRule="auto"/>
    </w:pPr>
    <w:rPr>
      <w:rFonts w:ascii="Calibri" w:eastAsia="Calibri" w:hAnsi="Calibri" w:cs="Times New Roman"/>
    </w:rPr>
  </w:style>
  <w:style w:type="paragraph" w:styleId="stbilgi">
    <w:name w:val="header"/>
    <w:basedOn w:val="Normal"/>
    <w:link w:val="stbilgiChar"/>
    <w:uiPriority w:val="99"/>
    <w:unhideWhenUsed/>
    <w:rsid w:val="00403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03381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403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03381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0A0D5B"/>
    <w:pPr>
      <w:ind w:left="720"/>
      <w:contextualSpacing/>
    </w:pPr>
  </w:style>
  <w:style w:type="table" w:styleId="TabloKlavuzu">
    <w:name w:val="Table Grid"/>
    <w:basedOn w:val="NormalTablo"/>
    <w:uiPriority w:val="59"/>
    <w:rsid w:val="004A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">
    <w:name w:val="style2"/>
    <w:basedOn w:val="VarsaylanParagrafYazTipi"/>
    <w:rsid w:val="00C9090D"/>
  </w:style>
  <w:style w:type="character" w:customStyle="1" w:styleId="Gvdemetni2">
    <w:name w:val="Gövde metni (2)_"/>
    <w:basedOn w:val="VarsaylanParagrafYazTipi"/>
    <w:link w:val="Gvdemetni20"/>
    <w:rsid w:val="00D8660F"/>
    <w:rPr>
      <w:rFonts w:ascii="Calibri" w:eastAsia="Calibri" w:hAnsi="Calibri" w:cs="Calibri"/>
      <w:shd w:val="clear" w:color="auto" w:fill="FFFFFF"/>
    </w:rPr>
  </w:style>
  <w:style w:type="paragraph" w:customStyle="1" w:styleId="Gvdemetni20">
    <w:name w:val="Gövde metni (2)"/>
    <w:basedOn w:val="Normal"/>
    <w:link w:val="Gvdemetni2"/>
    <w:rsid w:val="00D8660F"/>
    <w:pPr>
      <w:widowControl w:val="0"/>
      <w:shd w:val="clear" w:color="auto" w:fill="FFFFFF"/>
      <w:spacing w:before="120" w:after="360" w:line="307" w:lineRule="exact"/>
      <w:ind w:hanging="280"/>
      <w:jc w:val="both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Turkay</dc:creator>
  <cp:lastModifiedBy>Acer</cp:lastModifiedBy>
  <cp:revision>2</cp:revision>
  <dcterms:created xsi:type="dcterms:W3CDTF">2020-12-02T10:36:00Z</dcterms:created>
  <dcterms:modified xsi:type="dcterms:W3CDTF">2020-12-02T10:36:00Z</dcterms:modified>
</cp:coreProperties>
</file>