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F8BD" w14:textId="77777777" w:rsidR="006F5696" w:rsidRDefault="006F5696">
      <w:pPr>
        <w:spacing w:before="3000"/>
      </w:pPr>
    </w:p>
    <w:p w14:paraId="17DB288E" w14:textId="77777777" w:rsidR="006F5696" w:rsidRDefault="00000000">
      <w:pPr>
        <w:spacing w:after="200"/>
        <w:jc w:val="center"/>
      </w:pPr>
      <w:r>
        <w:rPr>
          <w:b/>
          <w:bCs/>
          <w:color w:val="1B3A5C"/>
          <w:sz w:val="44"/>
          <w:szCs w:val="44"/>
        </w:rPr>
        <w:t>EMIF GROUP PROJECT</w:t>
      </w:r>
    </w:p>
    <w:p w14:paraId="4DAF8469" w14:textId="77777777" w:rsidR="006F5696" w:rsidRDefault="00000000">
      <w:pPr>
        <w:spacing w:after="100"/>
        <w:jc w:val="center"/>
      </w:pPr>
      <w:r>
        <w:rPr>
          <w:color w:val="2E75B6"/>
          <w:sz w:val="34"/>
          <w:szCs w:val="34"/>
        </w:rPr>
        <w:t>Literature &amp; GitHub Reference Guide</w:t>
      </w:r>
    </w:p>
    <w:p w14:paraId="61778C28" w14:textId="77777777" w:rsidR="006F5696" w:rsidRDefault="00000000">
      <w:pPr>
        <w:pBdr>
          <w:bottom w:val="single" w:sz="6" w:space="12" w:color="2E75B6"/>
        </w:pBdr>
        <w:spacing w:after="400"/>
        <w:jc w:val="center"/>
      </w:pPr>
      <w:r>
        <w:rPr>
          <w:i/>
          <w:iCs/>
          <w:color w:val="555555"/>
          <w:sz w:val="24"/>
          <w:szCs w:val="24"/>
        </w:rPr>
        <w:t>Forecasting the Effect of Oil Price Increases on Financial Markets</w:t>
      </w:r>
    </w:p>
    <w:p w14:paraId="4248B678" w14:textId="77777777" w:rsidR="006F5696" w:rsidRDefault="006F5696">
      <w:pPr>
        <w:spacing w:before="600"/>
      </w:pPr>
    </w:p>
    <w:p w14:paraId="7A8CEE8F" w14:textId="77777777" w:rsidR="006F5696" w:rsidRDefault="00000000">
      <w:pPr>
        <w:jc w:val="center"/>
      </w:pPr>
      <w:r>
        <w:rPr>
          <w:color w:val="333333"/>
          <w:sz w:val="22"/>
          <w:szCs w:val="22"/>
        </w:rPr>
        <w:t>Your Dataset: Daily (1990–2026), Monthly &amp; Quarterly macro indicators</w:t>
      </w:r>
    </w:p>
    <w:p w14:paraId="0BA8E368" w14:textId="77777777" w:rsidR="006F5696" w:rsidRDefault="00000000">
      <w:pPr>
        <w:spacing w:after="100"/>
        <w:jc w:val="center"/>
      </w:pPr>
      <w:r>
        <w:rPr>
          <w:color w:val="555555"/>
        </w:rPr>
        <w:t>Variables: WTI, Brent, S&amp;P 500, MSCI World, MSCI EM, Russell 2000, US 10Y &amp; 2Y Rates, HY Credit, Gold, ISM, GDP components</w:t>
      </w:r>
    </w:p>
    <w:p w14:paraId="6928BF35" w14:textId="77777777" w:rsidR="006F5696" w:rsidRPr="00FC4C4A" w:rsidRDefault="00000000">
      <w:pPr>
        <w:spacing w:before="800"/>
        <w:jc w:val="center"/>
        <w:rPr>
          <w:lang w:val="de-DE"/>
        </w:rPr>
      </w:pPr>
      <w:r w:rsidRPr="00FC4C4A">
        <w:rPr>
          <w:color w:val="888888"/>
          <w:sz w:val="22"/>
          <w:szCs w:val="22"/>
          <w:lang w:val="de-DE"/>
        </w:rPr>
        <w:t>Spring 2026</w:t>
      </w:r>
    </w:p>
    <w:p w14:paraId="5B3C3775" w14:textId="77777777" w:rsidR="006F5696" w:rsidRPr="00FC4C4A" w:rsidRDefault="00000000">
      <w:pPr>
        <w:rPr>
          <w:lang w:val="de-DE"/>
        </w:rPr>
      </w:pPr>
      <w:r w:rsidRPr="00FC4C4A">
        <w:rPr>
          <w:lang w:val="de-DE"/>
        </w:rPr>
        <w:br w:type="page"/>
      </w:r>
    </w:p>
    <w:p w14:paraId="3028703A" w14:textId="77777777" w:rsidR="006F5696" w:rsidRPr="00FC4C4A" w:rsidRDefault="00000000">
      <w:pPr>
        <w:pStyle w:val="Titre1"/>
        <w:pBdr>
          <w:bottom w:val="single" w:sz="4" w:space="8" w:color="2E75B6"/>
        </w:pBdr>
        <w:rPr>
          <w:lang w:val="de-DE"/>
        </w:rPr>
      </w:pPr>
      <w:r w:rsidRPr="00FC4C4A">
        <w:rPr>
          <w:color w:val="1B3A5C"/>
          <w:lang w:val="de-DE"/>
        </w:rPr>
        <w:lastRenderedPageBreak/>
        <w:t>1. Key Academic Studies</w:t>
      </w:r>
    </w:p>
    <w:p w14:paraId="1A662A0E" w14:textId="77777777" w:rsidR="006F5696" w:rsidRDefault="00000000">
      <w:pPr>
        <w:spacing w:after="120"/>
      </w:pPr>
      <w:r w:rsidRPr="00FC4C4A">
        <w:rPr>
          <w:lang w:val="de-DE"/>
        </w:rPr>
        <w:t xml:space="preserve">The following 12 studies form the essential reading list for your project. </w:t>
      </w:r>
      <w:r>
        <w:t>They are organized from the most foundational/methodological to the most applied. Each study is mapped to your specific project needs.</w:t>
      </w:r>
    </w:p>
    <w:p w14:paraId="5C680B6A" w14:textId="77777777" w:rsidR="006F5696" w:rsidRDefault="006F5696">
      <w:pPr>
        <w:spacing w:after="80"/>
      </w:pPr>
    </w:p>
    <w:p w14:paraId="1E8AC16B" w14:textId="77777777" w:rsidR="006F5696" w:rsidRDefault="00000000">
      <w:pPr>
        <w:pStyle w:val="Titre2"/>
      </w:pPr>
      <w:r>
        <w:rPr>
          <w:color w:val="2E75B6"/>
        </w:rPr>
        <w:t>1. Kilian, L. (2009)</w:t>
      </w:r>
    </w:p>
    <w:p w14:paraId="4C2AEC87" w14:textId="77777777" w:rsidR="006F5696" w:rsidRDefault="00000000">
      <w:pPr>
        <w:spacing w:after="60"/>
      </w:pPr>
      <w:r>
        <w:rPr>
          <w:b/>
          <w:bCs/>
          <w:i/>
          <w:iCs/>
          <w:color w:val="333333"/>
          <w:sz w:val="21"/>
          <w:szCs w:val="21"/>
        </w:rPr>
        <w:t>Not All Oil Price Shocks Are Alike: Disentangling Demand and Supply Shocks in the Crude Oil Market</w:t>
      </w:r>
    </w:p>
    <w:p w14:paraId="25C0DBE6" w14:textId="77777777" w:rsidR="006F5696" w:rsidRDefault="00000000">
      <w:pPr>
        <w:spacing w:after="80"/>
      </w:pPr>
      <w:r>
        <w:rPr>
          <w:color w:val="666666"/>
          <w:sz w:val="18"/>
          <w:szCs w:val="18"/>
        </w:rPr>
        <w:t>American Economic Review, 99(3), 1053-1069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5D39EDD2"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72C0CCC2"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697C363F" w14:textId="77777777" w:rsidR="006F5696" w:rsidRDefault="00000000">
            <w:pPr>
              <w:spacing w:after="40"/>
            </w:pPr>
            <w:r>
              <w:rPr>
                <w:sz w:val="18"/>
                <w:szCs w:val="18"/>
              </w:rPr>
              <w:t>Foundational paper. Proposes a 3-variable SVAR to decompose oil price movements into supply shocks, aggregate demand shocks, and oil-specific demand shocks. Demonstrates that the source of the oil price change matters enormously for macroeconomic outcomes. This is the methodological backbone for your project.</w:t>
            </w:r>
          </w:p>
        </w:tc>
      </w:tr>
      <w:tr w:rsidR="006F5696" w14:paraId="4FB36505"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12657073"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5897B97A" w14:textId="77777777" w:rsidR="006F5696" w:rsidRDefault="00000000">
            <w:pPr>
              <w:spacing w:after="40"/>
            </w:pPr>
            <w:r>
              <w:rPr>
                <w:i/>
                <w:iCs/>
                <w:color w:val="555555"/>
                <w:sz w:val="18"/>
                <w:szCs w:val="18"/>
              </w:rPr>
              <w:t>Structural VAR with Cholesky identification, impulse response functions, historical decomposition, forecast error variance decomposition</w:t>
            </w:r>
          </w:p>
        </w:tc>
      </w:tr>
      <w:tr w:rsidR="006F5696" w14:paraId="25B6ECEA"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03759A4"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5676C6D6" w14:textId="77777777" w:rsidR="006F5696" w:rsidRDefault="00000000">
            <w:hyperlink r:id="rId7" w:history="1">
              <w:r>
                <w:rPr>
                  <w:color w:val="2E75B6"/>
                  <w:sz w:val="18"/>
                  <w:szCs w:val="18"/>
                  <w:u w:val="single"/>
                </w:rPr>
                <w:t>https://www.aeaweb.org/articles?id=10.1257/aer.99.3.1053</w:t>
              </w:r>
            </w:hyperlink>
          </w:p>
        </w:tc>
      </w:tr>
    </w:tbl>
    <w:p w14:paraId="75AB996F" w14:textId="77777777" w:rsidR="006F5696" w:rsidRDefault="006F5696">
      <w:pPr>
        <w:spacing w:after="200"/>
      </w:pPr>
    </w:p>
    <w:p w14:paraId="532A1BA7" w14:textId="77777777" w:rsidR="006F5696" w:rsidRDefault="00000000">
      <w:pPr>
        <w:pStyle w:val="Titre2"/>
      </w:pPr>
      <w:r>
        <w:rPr>
          <w:color w:val="2E75B6"/>
        </w:rPr>
        <w:t>2. Kilian, L. &amp; Park, C. (2009)</w:t>
      </w:r>
    </w:p>
    <w:p w14:paraId="1173B7E7" w14:textId="77777777" w:rsidR="006F5696" w:rsidRDefault="00000000">
      <w:pPr>
        <w:spacing w:after="60"/>
      </w:pPr>
      <w:r>
        <w:rPr>
          <w:b/>
          <w:bCs/>
          <w:i/>
          <w:iCs/>
          <w:color w:val="333333"/>
          <w:sz w:val="21"/>
          <w:szCs w:val="21"/>
        </w:rPr>
        <w:t>The Impact of Oil Price Shocks on the U.S. Stock Market</w:t>
      </w:r>
    </w:p>
    <w:p w14:paraId="1F62D16B" w14:textId="77777777" w:rsidR="006F5696" w:rsidRDefault="00000000">
      <w:pPr>
        <w:spacing w:after="80"/>
      </w:pPr>
      <w:r>
        <w:rPr>
          <w:color w:val="666666"/>
          <w:sz w:val="18"/>
          <w:szCs w:val="18"/>
        </w:rPr>
        <w:t>International Economic Review, 50(4), 1267-1287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33021F29"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2D08A7B3"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40164FD9" w14:textId="77777777" w:rsidR="006F5696" w:rsidRDefault="00000000">
            <w:pPr>
              <w:spacing w:after="40"/>
            </w:pPr>
            <w:r>
              <w:rPr>
                <w:sz w:val="18"/>
                <w:szCs w:val="18"/>
              </w:rPr>
              <w:t>Directly answers your project question. Extends Kilian (2009) to stock returns. Shows that stock market responses differ by shock type: aggregate demand shocks boost stocks, precautionary demand shocks depress them, and supply shocks have minimal effect. Also analyzes industry-level returns (energy vs. consumer sectors). Essential reference.</w:t>
            </w:r>
          </w:p>
        </w:tc>
      </w:tr>
      <w:tr w:rsidR="006F5696" w14:paraId="65725888"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73722DE0"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7E56DD3D" w14:textId="77777777" w:rsidR="006F5696" w:rsidRDefault="00000000">
            <w:pPr>
              <w:spacing w:after="40"/>
            </w:pPr>
            <w:r>
              <w:rPr>
                <w:i/>
                <w:iCs/>
                <w:color w:val="555555"/>
                <w:sz w:val="18"/>
                <w:szCs w:val="18"/>
              </w:rPr>
              <w:t>SVAR, cumulative impulse responses, variance decomposition, industry-level portfolio analysis</w:t>
            </w:r>
          </w:p>
        </w:tc>
      </w:tr>
      <w:tr w:rsidR="006F5696" w14:paraId="0FE857F1"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EBB3E7B"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2058F629" w14:textId="77777777" w:rsidR="006F5696" w:rsidRDefault="00000000">
            <w:hyperlink r:id="rId8" w:history="1">
              <w:r>
                <w:rPr>
                  <w:color w:val="2E75B6"/>
                  <w:sz w:val="18"/>
                  <w:szCs w:val="18"/>
                  <w:u w:val="single"/>
                </w:rPr>
                <w:t>https://onlinelibrary.wiley.com/doi/abs/10.1111/j.1468-2354.2009.00568.x</w:t>
              </w:r>
            </w:hyperlink>
          </w:p>
        </w:tc>
      </w:tr>
    </w:tbl>
    <w:p w14:paraId="5F82723E" w14:textId="77777777" w:rsidR="006F5696" w:rsidRDefault="006F5696">
      <w:pPr>
        <w:spacing w:after="200"/>
      </w:pPr>
    </w:p>
    <w:p w14:paraId="2A65AF7B" w14:textId="77777777" w:rsidR="006F5696" w:rsidRDefault="00000000">
      <w:pPr>
        <w:pStyle w:val="Titre2"/>
      </w:pPr>
      <w:r>
        <w:rPr>
          <w:color w:val="2E75B6"/>
        </w:rPr>
        <w:t>3. Hamilton, J.D. (2003)</w:t>
      </w:r>
    </w:p>
    <w:p w14:paraId="1A09DE4C" w14:textId="77777777" w:rsidR="006F5696" w:rsidRDefault="00000000">
      <w:pPr>
        <w:spacing w:after="60"/>
      </w:pPr>
      <w:r>
        <w:rPr>
          <w:b/>
          <w:bCs/>
          <w:i/>
          <w:iCs/>
          <w:color w:val="333333"/>
          <w:sz w:val="21"/>
          <w:szCs w:val="21"/>
        </w:rPr>
        <w:t>What Is an Oil Shock?</w:t>
      </w:r>
    </w:p>
    <w:p w14:paraId="07A1D092" w14:textId="77777777" w:rsidR="006F5696" w:rsidRDefault="00000000">
      <w:pPr>
        <w:spacing w:after="80"/>
      </w:pPr>
      <w:r>
        <w:rPr>
          <w:color w:val="666666"/>
          <w:sz w:val="18"/>
          <w:szCs w:val="18"/>
        </w:rPr>
        <w:t>Journal of Econometrics, 113(2), 363-398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12B291C1"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5CB250A"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3D58CCB8" w14:textId="77777777" w:rsidR="006F5696" w:rsidRDefault="00000000">
            <w:pPr>
              <w:spacing w:after="40"/>
            </w:pPr>
            <w:r>
              <w:rPr>
                <w:sz w:val="18"/>
                <w:szCs w:val="18"/>
              </w:rPr>
              <w:t>Establishes the nonlinear, asymmetric relationship between oil prices and GDP. Oil price increases matter more than decreases, and increases that correct previous declines have less predictive power. Provides the theoretical foundation for your asymmetry analysis (censoring negative oil returns).</w:t>
            </w:r>
          </w:p>
        </w:tc>
      </w:tr>
      <w:tr w:rsidR="006F5696" w14:paraId="19C1878E"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78E4398"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57C41E0C" w14:textId="77777777" w:rsidR="006F5696" w:rsidRDefault="00000000">
            <w:pPr>
              <w:spacing w:after="40"/>
            </w:pPr>
            <w:r>
              <w:rPr>
                <w:i/>
                <w:iCs/>
                <w:color w:val="555555"/>
                <w:sz w:val="18"/>
                <w:szCs w:val="18"/>
              </w:rPr>
              <w:t>Nonlinear regression, flexible nonlinear inference, net oil price increase transformation</w:t>
            </w:r>
          </w:p>
        </w:tc>
      </w:tr>
      <w:tr w:rsidR="006F5696" w14:paraId="320A6407"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07A1A38"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574CA2B2" w14:textId="77777777" w:rsidR="006F5696" w:rsidRDefault="00000000">
            <w:hyperlink r:id="rId9" w:history="1">
              <w:r>
                <w:rPr>
                  <w:color w:val="2E75B6"/>
                  <w:sz w:val="18"/>
                  <w:szCs w:val="18"/>
                  <w:u w:val="single"/>
                </w:rPr>
                <w:t>https://econweb.ucsd.edu/~jhamilto/oil.pdf</w:t>
              </w:r>
            </w:hyperlink>
          </w:p>
        </w:tc>
      </w:tr>
    </w:tbl>
    <w:p w14:paraId="53AC2075" w14:textId="77777777" w:rsidR="006F5696" w:rsidRDefault="006F5696">
      <w:pPr>
        <w:spacing w:after="200"/>
      </w:pPr>
    </w:p>
    <w:p w14:paraId="0D660006" w14:textId="77777777" w:rsidR="006F5696" w:rsidRDefault="00000000">
      <w:pPr>
        <w:pStyle w:val="Titre2"/>
      </w:pPr>
      <w:r>
        <w:rPr>
          <w:color w:val="2E75B6"/>
        </w:rPr>
        <w:t>4. Mork, K.A. (1989)</w:t>
      </w:r>
    </w:p>
    <w:p w14:paraId="1D1B9FA7" w14:textId="77777777" w:rsidR="006F5696" w:rsidRDefault="00000000">
      <w:pPr>
        <w:spacing w:after="60"/>
      </w:pPr>
      <w:r>
        <w:rPr>
          <w:b/>
          <w:bCs/>
          <w:i/>
          <w:iCs/>
          <w:color w:val="333333"/>
          <w:sz w:val="21"/>
          <w:szCs w:val="21"/>
        </w:rPr>
        <w:t>Oil and the Macroeconomy When Prices Go Up and Down: An Extension of Hamilton's Results</w:t>
      </w:r>
    </w:p>
    <w:p w14:paraId="47C8895B" w14:textId="77777777" w:rsidR="006F5696" w:rsidRDefault="00000000">
      <w:pPr>
        <w:spacing w:after="80"/>
      </w:pPr>
      <w:r>
        <w:rPr>
          <w:color w:val="666666"/>
          <w:sz w:val="18"/>
          <w:szCs w:val="18"/>
        </w:rPr>
        <w:lastRenderedPageBreak/>
        <w:t>Journal of Political Economy, 97(3), 740-744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59F2A65F"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734A5108"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05138C1B" w14:textId="77777777" w:rsidR="006F5696" w:rsidRDefault="00000000">
            <w:pPr>
              <w:spacing w:after="40"/>
            </w:pPr>
            <w:r>
              <w:rPr>
                <w:sz w:val="18"/>
                <w:szCs w:val="18"/>
              </w:rPr>
              <w:t>The original paper establishing oil price asymmetry. Shows that oil price increases reduce output while decreases have minimal effect. Provides the simplest framework for your asymmetry check: separate positive and negative oil returns, then test each separately.</w:t>
            </w:r>
          </w:p>
        </w:tc>
      </w:tr>
      <w:tr w:rsidR="006F5696" w14:paraId="7284AA08"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4CE57E0D"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1B219603" w14:textId="77777777" w:rsidR="006F5696" w:rsidRDefault="00000000">
            <w:pPr>
              <w:spacing w:after="40"/>
            </w:pPr>
            <w:r>
              <w:rPr>
                <w:i/>
                <w:iCs/>
                <w:color w:val="555555"/>
                <w:sz w:val="18"/>
                <w:szCs w:val="18"/>
              </w:rPr>
              <w:t>VAR with asymmetric oil price decomposition (positive/negative changes)</w:t>
            </w:r>
          </w:p>
        </w:tc>
      </w:tr>
      <w:tr w:rsidR="006F5696" w14:paraId="139E791C"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67BF6E8"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3CBC01D1" w14:textId="77777777" w:rsidR="006F5696" w:rsidRDefault="00000000">
            <w:hyperlink r:id="rId10" w:history="1">
              <w:r>
                <w:rPr>
                  <w:color w:val="2E75B6"/>
                  <w:sz w:val="18"/>
                  <w:szCs w:val="18"/>
                  <w:u w:val="single"/>
                </w:rPr>
                <w:t>https://ideas.repec.org/a/ucp/jpolec/v97y1989i3p740-44.html</w:t>
              </w:r>
            </w:hyperlink>
          </w:p>
        </w:tc>
      </w:tr>
    </w:tbl>
    <w:p w14:paraId="4198D3E8" w14:textId="77777777" w:rsidR="006F5696" w:rsidRDefault="006F5696">
      <w:pPr>
        <w:spacing w:after="200"/>
      </w:pPr>
    </w:p>
    <w:p w14:paraId="1F062F9E" w14:textId="77777777" w:rsidR="006F5696" w:rsidRDefault="00000000">
      <w:pPr>
        <w:pStyle w:val="Titre2"/>
      </w:pPr>
      <w:r>
        <w:rPr>
          <w:color w:val="2E75B6"/>
        </w:rPr>
        <w:t>5. Hamilton, J.D. (1983)</w:t>
      </w:r>
    </w:p>
    <w:p w14:paraId="4B5D8D0D" w14:textId="77777777" w:rsidR="006F5696" w:rsidRDefault="00000000">
      <w:pPr>
        <w:spacing w:after="60"/>
      </w:pPr>
      <w:r>
        <w:rPr>
          <w:b/>
          <w:bCs/>
          <w:i/>
          <w:iCs/>
          <w:color w:val="333333"/>
          <w:sz w:val="21"/>
          <w:szCs w:val="21"/>
        </w:rPr>
        <w:t>Oil and the Macroeconomy Since World War II</w:t>
      </w:r>
    </w:p>
    <w:p w14:paraId="5EF8FE97" w14:textId="77777777" w:rsidR="006F5696" w:rsidRDefault="00000000">
      <w:pPr>
        <w:spacing w:after="80"/>
      </w:pPr>
      <w:r>
        <w:rPr>
          <w:color w:val="666666"/>
          <w:sz w:val="18"/>
          <w:szCs w:val="18"/>
        </w:rPr>
        <w:t>Journal of Political Economy, 91(2), 228-248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6059B48E"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114BE304"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2750C31B" w14:textId="77777777" w:rsidR="006F5696" w:rsidRDefault="00000000">
            <w:pPr>
              <w:spacing w:after="40"/>
            </w:pPr>
            <w:r>
              <w:rPr>
                <w:sz w:val="18"/>
                <w:szCs w:val="18"/>
              </w:rPr>
              <w:t>The seminal paper. Established that oil price increases preceded almost every post-WWII U.S. recession. Motivates the entire research agenda on oil-macro/financial linkages. Cite this as the origin of the literature.</w:t>
            </w:r>
          </w:p>
        </w:tc>
      </w:tr>
      <w:tr w:rsidR="006F5696" w14:paraId="33EFC505"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C708BF1"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34B58D05" w14:textId="77777777" w:rsidR="006F5696" w:rsidRDefault="00000000">
            <w:pPr>
              <w:spacing w:after="40"/>
            </w:pPr>
            <w:r>
              <w:rPr>
                <w:i/>
                <w:iCs/>
                <w:color w:val="555555"/>
                <w:sz w:val="18"/>
                <w:szCs w:val="18"/>
              </w:rPr>
              <w:t>Historical analysis, Granger causality tests</w:t>
            </w:r>
          </w:p>
        </w:tc>
      </w:tr>
      <w:tr w:rsidR="006F5696" w14:paraId="5EA693FA"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1066203E"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38EFB2AE" w14:textId="77777777" w:rsidR="006F5696" w:rsidRDefault="00000000">
            <w:hyperlink r:id="rId11" w:history="1">
              <w:r>
                <w:rPr>
                  <w:color w:val="2E75B6"/>
                  <w:sz w:val="18"/>
                  <w:szCs w:val="18"/>
                  <w:u w:val="single"/>
                </w:rPr>
                <w:t>https://www.jstor.org/stable/1832055</w:t>
              </w:r>
            </w:hyperlink>
          </w:p>
        </w:tc>
      </w:tr>
    </w:tbl>
    <w:p w14:paraId="3787C4B3" w14:textId="77777777" w:rsidR="006F5696" w:rsidRDefault="006F5696">
      <w:pPr>
        <w:spacing w:after="200"/>
      </w:pPr>
    </w:p>
    <w:p w14:paraId="6E91C990" w14:textId="77777777" w:rsidR="006F5696" w:rsidRDefault="00000000">
      <w:pPr>
        <w:pStyle w:val="Titre2"/>
      </w:pPr>
      <w:r>
        <w:rPr>
          <w:color w:val="2E75B6"/>
        </w:rPr>
        <w:t>6. Apergis, N. &amp; Miller, S.M. (2009)</w:t>
      </w:r>
    </w:p>
    <w:p w14:paraId="69EE7E8A" w14:textId="77777777" w:rsidR="006F5696" w:rsidRDefault="00000000">
      <w:pPr>
        <w:spacing w:after="60"/>
      </w:pPr>
      <w:r>
        <w:rPr>
          <w:b/>
          <w:bCs/>
          <w:i/>
          <w:iCs/>
          <w:color w:val="333333"/>
          <w:sz w:val="21"/>
          <w:szCs w:val="21"/>
        </w:rPr>
        <w:t>Do Structural Oil-Market Shocks Affect Stock Prices?</w:t>
      </w:r>
    </w:p>
    <w:p w14:paraId="7D795D41" w14:textId="77777777" w:rsidR="006F5696" w:rsidRDefault="00000000">
      <w:pPr>
        <w:spacing w:after="80"/>
      </w:pPr>
      <w:r>
        <w:rPr>
          <w:color w:val="666666"/>
          <w:sz w:val="18"/>
          <w:szCs w:val="18"/>
        </w:rPr>
        <w:t>Energy Economics, 31(4), 569-575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1F8132D4"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3FB80BF"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5286FC12" w14:textId="77777777" w:rsidR="006F5696" w:rsidRDefault="00000000">
            <w:pPr>
              <w:spacing w:after="40"/>
            </w:pPr>
            <w:r>
              <w:rPr>
                <w:sz w:val="18"/>
                <w:szCs w:val="18"/>
              </w:rPr>
              <w:t>Extends Kilian's framework internationally. Tests the oil-stock relationship across 8 countries (US, Germany, France, Japan, etc.) using VECM and VAR. Relevant because your dataset includes MSCI World and MSCI EM, allowing cross-market comparisons.</w:t>
            </w:r>
          </w:p>
        </w:tc>
      </w:tr>
      <w:tr w:rsidR="006F5696" w14:paraId="7EEC1511"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A87C542"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05A75171" w14:textId="77777777" w:rsidR="006F5696" w:rsidRDefault="00000000">
            <w:pPr>
              <w:spacing w:after="40"/>
            </w:pPr>
            <w:r>
              <w:rPr>
                <w:i/>
                <w:iCs/>
                <w:color w:val="555555"/>
                <w:sz w:val="18"/>
                <w:szCs w:val="18"/>
              </w:rPr>
              <w:t>VECM / VAR decomposition of oil shocks, Johansen cointegration, international stock market analysis</w:t>
            </w:r>
          </w:p>
        </w:tc>
      </w:tr>
      <w:tr w:rsidR="006F5696" w14:paraId="513F303E"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41F13625"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5DB704C7" w14:textId="77777777" w:rsidR="006F5696" w:rsidRDefault="00000000">
            <w:hyperlink r:id="rId12" w:history="1">
              <w:r>
                <w:rPr>
                  <w:color w:val="2E75B6"/>
                  <w:sz w:val="18"/>
                  <w:szCs w:val="18"/>
                  <w:u w:val="single"/>
                </w:rPr>
                <w:t>https://www.sciencedirect.com/science/article/pii/S0140988309000139</w:t>
              </w:r>
            </w:hyperlink>
          </w:p>
        </w:tc>
      </w:tr>
    </w:tbl>
    <w:p w14:paraId="002A8E39" w14:textId="77777777" w:rsidR="006F5696" w:rsidRDefault="006F5696">
      <w:pPr>
        <w:spacing w:after="200"/>
      </w:pPr>
    </w:p>
    <w:p w14:paraId="7B9ED00F" w14:textId="77777777" w:rsidR="006F5696" w:rsidRDefault="00000000">
      <w:pPr>
        <w:pStyle w:val="Titre2"/>
      </w:pPr>
      <w:r>
        <w:rPr>
          <w:color w:val="2E75B6"/>
        </w:rPr>
        <w:t>7. Sadorsky, P. (1999)</w:t>
      </w:r>
    </w:p>
    <w:p w14:paraId="16A0C7DD" w14:textId="77777777" w:rsidR="006F5696" w:rsidRDefault="00000000">
      <w:pPr>
        <w:spacing w:after="60"/>
      </w:pPr>
      <w:r>
        <w:rPr>
          <w:b/>
          <w:bCs/>
          <w:i/>
          <w:iCs/>
          <w:color w:val="333333"/>
          <w:sz w:val="21"/>
          <w:szCs w:val="21"/>
        </w:rPr>
        <w:t>Oil Price Shocks and Stock Market Activity</w:t>
      </w:r>
    </w:p>
    <w:p w14:paraId="3120271A" w14:textId="77777777" w:rsidR="006F5696" w:rsidRDefault="00000000">
      <w:pPr>
        <w:spacing w:after="80"/>
      </w:pPr>
      <w:r>
        <w:rPr>
          <w:color w:val="666666"/>
          <w:sz w:val="18"/>
          <w:szCs w:val="18"/>
        </w:rPr>
        <w:t>Energy Economics, 21(5), 449-469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02225F65"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988E4AA"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53B92DE4" w14:textId="77777777" w:rsidR="006F5696" w:rsidRDefault="00000000">
            <w:pPr>
              <w:spacing w:after="40"/>
            </w:pPr>
            <w:r>
              <w:rPr>
                <w:sz w:val="18"/>
                <w:szCs w:val="18"/>
              </w:rPr>
              <w:t>One of the first papers directly studying oil-stock links using VAR. Finds oil price shocks significantly affect stock returns, especially after 1986. Also tests asymmetric effects following Mork (1989). Directly applicable to your methodology and data period (1990-2026).</w:t>
            </w:r>
          </w:p>
        </w:tc>
      </w:tr>
      <w:tr w:rsidR="006F5696" w14:paraId="3DD2F388"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7BB257D1"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03DFDAA1" w14:textId="77777777" w:rsidR="006F5696" w:rsidRDefault="00000000">
            <w:pPr>
              <w:spacing w:after="40"/>
            </w:pPr>
            <w:r>
              <w:rPr>
                <w:i/>
                <w:iCs/>
                <w:color w:val="555555"/>
                <w:sz w:val="18"/>
                <w:szCs w:val="18"/>
              </w:rPr>
              <w:t>VAR, Granger causality, impulse response, variance decomposition, asymmetric oil price shocks</w:t>
            </w:r>
          </w:p>
        </w:tc>
      </w:tr>
      <w:tr w:rsidR="006F5696" w14:paraId="3B353F8B"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0D58637"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7A8AD5B3" w14:textId="77777777" w:rsidR="006F5696" w:rsidRDefault="00000000">
            <w:hyperlink r:id="rId13" w:history="1">
              <w:r>
                <w:rPr>
                  <w:color w:val="2E75B6"/>
                  <w:sz w:val="18"/>
                  <w:szCs w:val="18"/>
                  <w:u w:val="single"/>
                </w:rPr>
                <w:t>https://www.sciencedirect.com/science/article/abs/pii/S0140988399000201</w:t>
              </w:r>
            </w:hyperlink>
          </w:p>
        </w:tc>
      </w:tr>
    </w:tbl>
    <w:p w14:paraId="04D39995" w14:textId="77777777" w:rsidR="006F5696" w:rsidRDefault="006F5696">
      <w:pPr>
        <w:spacing w:after="200"/>
      </w:pPr>
    </w:p>
    <w:p w14:paraId="44B793B0" w14:textId="77777777" w:rsidR="006F5696" w:rsidRDefault="00000000">
      <w:pPr>
        <w:pStyle w:val="Titre2"/>
      </w:pPr>
      <w:r>
        <w:rPr>
          <w:color w:val="2E75B6"/>
        </w:rPr>
        <w:t>8. Jones, C.M. &amp; Kaul, G. (1996)</w:t>
      </w:r>
    </w:p>
    <w:p w14:paraId="51A9A75F" w14:textId="77777777" w:rsidR="006F5696" w:rsidRDefault="00000000">
      <w:pPr>
        <w:spacing w:after="60"/>
      </w:pPr>
      <w:r>
        <w:rPr>
          <w:b/>
          <w:bCs/>
          <w:i/>
          <w:iCs/>
          <w:color w:val="333333"/>
          <w:sz w:val="21"/>
          <w:szCs w:val="21"/>
        </w:rPr>
        <w:t>Oil and the Stock Markets</w:t>
      </w:r>
    </w:p>
    <w:p w14:paraId="7486B895" w14:textId="77777777" w:rsidR="006F5696" w:rsidRDefault="00000000">
      <w:pPr>
        <w:spacing w:after="80"/>
      </w:pPr>
      <w:r>
        <w:rPr>
          <w:color w:val="666666"/>
          <w:sz w:val="18"/>
          <w:szCs w:val="18"/>
        </w:rPr>
        <w:t>Journal of Finance, 51(2), 463-491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772D8A94"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F641A7F" w14:textId="77777777" w:rsidR="006F5696" w:rsidRDefault="00000000">
            <w:r>
              <w:rPr>
                <w:b/>
                <w:bCs/>
                <w:color w:val="1B3A5C"/>
                <w:sz w:val="18"/>
                <w:szCs w:val="18"/>
              </w:rPr>
              <w:lastRenderedPageBreak/>
              <w:t>Relevance</w:t>
            </w:r>
          </w:p>
        </w:tc>
        <w:tc>
          <w:tcPr>
            <w:tcW w:w="7560" w:type="dxa"/>
            <w:shd w:val="clear" w:color="auto" w:fill="F8FAFC"/>
            <w:tcMar>
              <w:top w:w="60" w:type="dxa"/>
              <w:left w:w="100" w:type="dxa"/>
              <w:bottom w:w="60" w:type="dxa"/>
              <w:right w:w="100" w:type="dxa"/>
            </w:tcMar>
          </w:tcPr>
          <w:p w14:paraId="6E596967" w14:textId="77777777" w:rsidR="006F5696" w:rsidRDefault="00000000">
            <w:pPr>
              <w:spacing w:after="40"/>
            </w:pPr>
            <w:r>
              <w:rPr>
                <w:sz w:val="18"/>
                <w:szCs w:val="18"/>
              </w:rPr>
              <w:t>Tests whether stock market reactions to oil shocks are rational (justified by future cash flow changes) or an overreaction. Finds the U.S. and Canadian reactions are rational, while UK and Japan may overreact. Provides a cash-flow-based theoretical framework linking oil to stocks that connects to your CAPM/factor model lectures.</w:t>
            </w:r>
          </w:p>
        </w:tc>
      </w:tr>
      <w:tr w:rsidR="006F5696" w14:paraId="6D91A94B"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292A3AD7"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5420134F" w14:textId="77777777" w:rsidR="006F5696" w:rsidRDefault="00000000">
            <w:pPr>
              <w:spacing w:after="40"/>
            </w:pPr>
            <w:r>
              <w:rPr>
                <w:i/>
                <w:iCs/>
                <w:color w:val="555555"/>
                <w:sz w:val="18"/>
                <w:szCs w:val="18"/>
              </w:rPr>
              <w:t>Rational valuation model, real cash flow analysis, multi-country comparison</w:t>
            </w:r>
          </w:p>
        </w:tc>
      </w:tr>
      <w:tr w:rsidR="006F5696" w14:paraId="24D02139"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08189C28"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332B7263" w14:textId="77777777" w:rsidR="006F5696" w:rsidRDefault="00000000">
            <w:hyperlink r:id="rId14" w:history="1">
              <w:r>
                <w:rPr>
                  <w:color w:val="2E75B6"/>
                  <w:sz w:val="18"/>
                  <w:szCs w:val="18"/>
                  <w:u w:val="single"/>
                </w:rPr>
                <w:t>https://www.jstor.org/stable/2329368</w:t>
              </w:r>
            </w:hyperlink>
          </w:p>
        </w:tc>
      </w:tr>
    </w:tbl>
    <w:p w14:paraId="5F9758B4" w14:textId="77777777" w:rsidR="006F5696" w:rsidRDefault="006F5696">
      <w:pPr>
        <w:spacing w:after="200"/>
      </w:pPr>
    </w:p>
    <w:p w14:paraId="4C32D8CB" w14:textId="77777777" w:rsidR="006F5696" w:rsidRDefault="00000000">
      <w:pPr>
        <w:pStyle w:val="Titre2"/>
      </w:pPr>
      <w:r>
        <w:rPr>
          <w:color w:val="2E75B6"/>
        </w:rPr>
        <w:t>9. Degiannakis, S., Filis, G. &amp; Arora, V. (2018)</w:t>
      </w:r>
    </w:p>
    <w:p w14:paraId="55B3B0B2" w14:textId="77777777" w:rsidR="006F5696" w:rsidRDefault="00000000">
      <w:pPr>
        <w:spacing w:after="60"/>
      </w:pPr>
      <w:r>
        <w:rPr>
          <w:b/>
          <w:bCs/>
          <w:i/>
          <w:iCs/>
          <w:color w:val="333333"/>
          <w:sz w:val="21"/>
          <w:szCs w:val="21"/>
        </w:rPr>
        <w:t>Oil Prices and Stock Markets: A Review of the Theory and Empirical Evidence</w:t>
      </w:r>
    </w:p>
    <w:p w14:paraId="698E8B68" w14:textId="77777777" w:rsidR="006F5696" w:rsidRDefault="00000000">
      <w:pPr>
        <w:spacing w:after="80"/>
      </w:pPr>
      <w:r>
        <w:rPr>
          <w:color w:val="666666"/>
          <w:sz w:val="18"/>
          <w:szCs w:val="18"/>
        </w:rPr>
        <w:t>U.S. Energy Information Administration Working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0308BCB2"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1C870075"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02293CA8" w14:textId="77777777" w:rsidR="006F5696" w:rsidRDefault="00000000">
            <w:pPr>
              <w:spacing w:after="40"/>
            </w:pPr>
            <w:r>
              <w:rPr>
                <w:sz w:val="18"/>
                <w:szCs w:val="18"/>
              </w:rPr>
              <w:t>Comprehensive survey paper covering the entire oil-stock literature. Excellent for your literature review as it summarizes findings across dozens of studies and identifies the key transmission channels (cash flows, discount rates, uncertainty, monetary policy). Available as free PDF from EIA.</w:t>
            </w:r>
          </w:p>
        </w:tc>
      </w:tr>
      <w:tr w:rsidR="006F5696" w14:paraId="3F1A203E"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013BACF8"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69676853" w14:textId="77777777" w:rsidR="006F5696" w:rsidRDefault="00000000">
            <w:pPr>
              <w:spacing w:after="40"/>
            </w:pPr>
            <w:r>
              <w:rPr>
                <w:i/>
                <w:iCs/>
                <w:color w:val="555555"/>
                <w:sz w:val="18"/>
                <w:szCs w:val="18"/>
              </w:rPr>
              <w:t>Literature survey covering SVAR, GARCH, DCC, copulas, and more</w:t>
            </w:r>
          </w:p>
        </w:tc>
      </w:tr>
      <w:tr w:rsidR="006F5696" w14:paraId="7D76BFF5"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853CBDA"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71C06886" w14:textId="77777777" w:rsidR="006F5696" w:rsidRDefault="00000000">
            <w:hyperlink r:id="rId15" w:history="1">
              <w:r>
                <w:rPr>
                  <w:color w:val="2E75B6"/>
                  <w:sz w:val="18"/>
                  <w:szCs w:val="18"/>
                  <w:u w:val="single"/>
                </w:rPr>
                <w:t>https://www.eia.gov/workingpapers/pdf/oil_prices_stockmarkets.pdf</w:t>
              </w:r>
            </w:hyperlink>
          </w:p>
        </w:tc>
      </w:tr>
    </w:tbl>
    <w:p w14:paraId="4FAF0DC4" w14:textId="77777777" w:rsidR="006F5696" w:rsidRDefault="006F5696">
      <w:pPr>
        <w:spacing w:after="200"/>
      </w:pPr>
    </w:p>
    <w:p w14:paraId="09B00A79" w14:textId="77777777" w:rsidR="006F5696" w:rsidRDefault="00000000">
      <w:pPr>
        <w:pStyle w:val="Titre2"/>
      </w:pPr>
      <w:r>
        <w:rPr>
          <w:color w:val="2E75B6"/>
        </w:rPr>
        <w:t>10. Bastianin, A. &amp; Manera, M. (2018)</w:t>
      </w:r>
    </w:p>
    <w:p w14:paraId="418E7782" w14:textId="77777777" w:rsidR="006F5696" w:rsidRDefault="00000000">
      <w:pPr>
        <w:spacing w:after="60"/>
      </w:pPr>
      <w:r>
        <w:rPr>
          <w:b/>
          <w:bCs/>
          <w:i/>
          <w:iCs/>
          <w:color w:val="333333"/>
          <w:sz w:val="21"/>
          <w:szCs w:val="21"/>
        </w:rPr>
        <w:t>How Does Stock Market Volatility React to Oil Price Shocks?</w:t>
      </w:r>
    </w:p>
    <w:p w14:paraId="118B8EDF" w14:textId="77777777" w:rsidR="006F5696" w:rsidRDefault="00000000">
      <w:pPr>
        <w:spacing w:after="80"/>
      </w:pPr>
      <w:r>
        <w:rPr>
          <w:color w:val="666666"/>
          <w:sz w:val="18"/>
          <w:szCs w:val="18"/>
        </w:rPr>
        <w:t>Macroeconomic Dynamics, 22(3), 666-682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0BB250B1"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1F4AFEB"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130D98F9" w14:textId="77777777" w:rsidR="006F5696" w:rsidRDefault="00000000">
            <w:pPr>
              <w:spacing w:after="40"/>
            </w:pPr>
            <w:r>
              <w:rPr>
                <w:sz w:val="18"/>
                <w:szCs w:val="18"/>
              </w:rPr>
              <w:t>Studies oil shocks and stock market volatility using Kilian's SVAR framework. Finds that aggregate demand shocks are the main driver of stock volatility changes. While you won't use GARCH, this paper's finding that oil shocks affect market risk (not just returns) supports your portfolio stress test rationale.</w:t>
            </w:r>
          </w:p>
        </w:tc>
      </w:tr>
      <w:tr w:rsidR="006F5696" w14:paraId="7B0AE76E"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52CE4DAC"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4F86A23D" w14:textId="77777777" w:rsidR="006F5696" w:rsidRDefault="00000000">
            <w:pPr>
              <w:spacing w:after="40"/>
            </w:pPr>
            <w:r>
              <w:rPr>
                <w:i/>
                <w:iCs/>
                <w:color w:val="555555"/>
                <w:sz w:val="18"/>
                <w:szCs w:val="18"/>
              </w:rPr>
              <w:t>SVAR, realized volatility, conditional volatility, impulse responses</w:t>
            </w:r>
          </w:p>
        </w:tc>
      </w:tr>
      <w:tr w:rsidR="006F5696" w14:paraId="658BFD71"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C5D6F07"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57795A59" w14:textId="77777777" w:rsidR="006F5696" w:rsidRDefault="00000000">
            <w:hyperlink r:id="rId16" w:history="1">
              <w:r>
                <w:rPr>
                  <w:color w:val="2E75B6"/>
                  <w:sz w:val="18"/>
                  <w:szCs w:val="18"/>
                  <w:u w:val="single"/>
                </w:rPr>
                <w:t>https://doi.org/10.1017/S1365100516000353</w:t>
              </w:r>
            </w:hyperlink>
          </w:p>
        </w:tc>
      </w:tr>
    </w:tbl>
    <w:p w14:paraId="4686D495" w14:textId="77777777" w:rsidR="006F5696" w:rsidRDefault="006F5696">
      <w:pPr>
        <w:spacing w:after="200"/>
      </w:pPr>
    </w:p>
    <w:p w14:paraId="3D962D9F" w14:textId="77777777" w:rsidR="006F5696" w:rsidRDefault="00000000">
      <w:pPr>
        <w:pStyle w:val="Titre2"/>
      </w:pPr>
      <w:r>
        <w:rPr>
          <w:color w:val="2E75B6"/>
        </w:rPr>
        <w:t>11. Kang, W., Ratti, R.A. &amp; Vespignani, J. (2016)</w:t>
      </w:r>
    </w:p>
    <w:p w14:paraId="45611044" w14:textId="77777777" w:rsidR="006F5696" w:rsidRDefault="00000000">
      <w:pPr>
        <w:spacing w:after="60"/>
      </w:pPr>
      <w:r>
        <w:rPr>
          <w:b/>
          <w:bCs/>
          <w:i/>
          <w:iCs/>
          <w:color w:val="333333"/>
          <w:sz w:val="21"/>
          <w:szCs w:val="21"/>
        </w:rPr>
        <w:t>The Impact of Oil Price Shocks on the U.S. Stock Market: A Note on the Roles of U.S. and Non-U.S. Oil Production</w:t>
      </w:r>
    </w:p>
    <w:p w14:paraId="37B9E2EF" w14:textId="77777777" w:rsidR="006F5696" w:rsidRDefault="00000000">
      <w:pPr>
        <w:spacing w:after="80"/>
      </w:pPr>
      <w:r>
        <w:rPr>
          <w:color w:val="666666"/>
          <w:sz w:val="18"/>
          <w:szCs w:val="18"/>
        </w:rPr>
        <w:t>Economics Letters, 145, 176-181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357F2F1A"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7143C9AE" w14:textId="77777777" w:rsidR="006F5696" w:rsidRDefault="00000000">
            <w:r>
              <w:rPr>
                <w:b/>
                <w:bCs/>
                <w:color w:val="1B3A5C"/>
                <w:sz w:val="18"/>
                <w:szCs w:val="18"/>
              </w:rPr>
              <w:t>Relevance</w:t>
            </w:r>
          </w:p>
        </w:tc>
        <w:tc>
          <w:tcPr>
            <w:tcW w:w="7560" w:type="dxa"/>
            <w:shd w:val="clear" w:color="auto" w:fill="F8FAFC"/>
            <w:tcMar>
              <w:top w:w="60" w:type="dxa"/>
              <w:left w:w="100" w:type="dxa"/>
              <w:bottom w:w="60" w:type="dxa"/>
              <w:right w:w="100" w:type="dxa"/>
            </w:tcMar>
          </w:tcPr>
          <w:p w14:paraId="509D16C4" w14:textId="77777777" w:rsidR="006F5696" w:rsidRDefault="00000000">
            <w:pPr>
              <w:spacing w:after="40"/>
            </w:pPr>
            <w:r>
              <w:rPr>
                <w:sz w:val="18"/>
                <w:szCs w:val="18"/>
              </w:rPr>
              <w:t>Updates Kilian &amp; Park (2009) by disaggregating oil supply into U.S. vs. non-U.S. production. Finds that after the shale revolution, U.S. supply shocks became more important for stocks. Relevant for interpreting your results on the recent sample period (post-2010).</w:t>
            </w:r>
          </w:p>
        </w:tc>
      </w:tr>
      <w:tr w:rsidR="006F5696" w14:paraId="4921B165"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B3EC060"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61670B19" w14:textId="77777777" w:rsidR="006F5696" w:rsidRDefault="00000000">
            <w:pPr>
              <w:spacing w:after="40"/>
            </w:pPr>
            <w:r>
              <w:rPr>
                <w:i/>
                <w:iCs/>
                <w:color w:val="555555"/>
                <w:sz w:val="18"/>
                <w:szCs w:val="18"/>
              </w:rPr>
              <w:t>Extended SVAR with disaggregated oil supply, impulse responses</w:t>
            </w:r>
          </w:p>
        </w:tc>
      </w:tr>
      <w:tr w:rsidR="006F5696" w14:paraId="2B641827"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2C9F5E70"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78F6B3FE" w14:textId="77777777" w:rsidR="006F5696" w:rsidRDefault="00000000">
            <w:hyperlink r:id="rId17" w:history="1">
              <w:r>
                <w:rPr>
                  <w:color w:val="2E75B6"/>
                  <w:sz w:val="18"/>
                  <w:szCs w:val="18"/>
                  <w:u w:val="single"/>
                </w:rPr>
                <w:t>https://www.sciencedirect.com/science/article/pii/S0165176516302105</w:t>
              </w:r>
            </w:hyperlink>
          </w:p>
        </w:tc>
      </w:tr>
    </w:tbl>
    <w:p w14:paraId="39FF53D4" w14:textId="77777777" w:rsidR="006F5696" w:rsidRDefault="006F5696">
      <w:pPr>
        <w:spacing w:after="200"/>
      </w:pPr>
    </w:p>
    <w:p w14:paraId="133FC6AF" w14:textId="77777777" w:rsidR="006F5696" w:rsidRDefault="00000000">
      <w:pPr>
        <w:pStyle w:val="Titre2"/>
      </w:pPr>
      <w:r>
        <w:rPr>
          <w:color w:val="2E75B6"/>
        </w:rPr>
        <w:t>12. Alsalman, Z. &amp; Herrera, A.M. (2015)</w:t>
      </w:r>
    </w:p>
    <w:p w14:paraId="10B5D2D0" w14:textId="77777777" w:rsidR="006F5696" w:rsidRDefault="00000000">
      <w:pPr>
        <w:spacing w:after="60"/>
      </w:pPr>
      <w:r>
        <w:rPr>
          <w:b/>
          <w:bCs/>
          <w:i/>
          <w:iCs/>
          <w:color w:val="333333"/>
          <w:sz w:val="21"/>
          <w:szCs w:val="21"/>
        </w:rPr>
        <w:t>Oil Price Shocks and the U.S. Stock Market: Do Sign and Size Matter?</w:t>
      </w:r>
    </w:p>
    <w:p w14:paraId="2A65219F" w14:textId="77777777" w:rsidR="006F5696" w:rsidRDefault="00000000">
      <w:pPr>
        <w:spacing w:after="80"/>
      </w:pPr>
      <w:r>
        <w:rPr>
          <w:color w:val="666666"/>
          <w:sz w:val="18"/>
          <w:szCs w:val="18"/>
        </w:rPr>
        <w:t>The Energy Journal, 36(3)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36F1D4B9"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04C7A31D" w14:textId="77777777" w:rsidR="006F5696" w:rsidRDefault="00000000">
            <w:r>
              <w:rPr>
                <w:b/>
                <w:bCs/>
                <w:color w:val="1B3A5C"/>
                <w:sz w:val="18"/>
                <w:szCs w:val="18"/>
              </w:rPr>
              <w:lastRenderedPageBreak/>
              <w:t>Relevance</w:t>
            </w:r>
          </w:p>
        </w:tc>
        <w:tc>
          <w:tcPr>
            <w:tcW w:w="7560" w:type="dxa"/>
            <w:shd w:val="clear" w:color="auto" w:fill="F8FAFC"/>
            <w:tcMar>
              <w:top w:w="60" w:type="dxa"/>
              <w:left w:w="100" w:type="dxa"/>
              <w:bottom w:w="60" w:type="dxa"/>
              <w:right w:w="100" w:type="dxa"/>
            </w:tcMar>
          </w:tcPr>
          <w:p w14:paraId="79C9348C" w14:textId="77777777" w:rsidR="006F5696" w:rsidRDefault="00000000">
            <w:pPr>
              <w:spacing w:after="40"/>
            </w:pPr>
            <w:r>
              <w:rPr>
                <w:sz w:val="18"/>
                <w:szCs w:val="18"/>
              </w:rPr>
              <w:t>Directly tests asymmetry in the oil-stock relationship using Mork-type transformations. Finds limited evidence of asymmetry at the aggregate level but some at the industry level. Important reference for your asymmetry section and for calibrating expectations about your results.</w:t>
            </w:r>
          </w:p>
        </w:tc>
      </w:tr>
      <w:tr w:rsidR="006F5696" w14:paraId="207E44D3"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767A8C67" w14:textId="77777777" w:rsidR="006F5696" w:rsidRDefault="00000000">
            <w:r>
              <w:rPr>
                <w:b/>
                <w:bCs/>
                <w:color w:val="1B3A5C"/>
                <w:sz w:val="18"/>
                <w:szCs w:val="18"/>
              </w:rPr>
              <w:t>Methods</w:t>
            </w:r>
          </w:p>
        </w:tc>
        <w:tc>
          <w:tcPr>
            <w:tcW w:w="7560" w:type="dxa"/>
            <w:shd w:val="clear" w:color="auto" w:fill="F8FAFC"/>
            <w:tcMar>
              <w:top w:w="60" w:type="dxa"/>
              <w:left w:w="100" w:type="dxa"/>
              <w:bottom w:w="60" w:type="dxa"/>
              <w:right w:w="100" w:type="dxa"/>
            </w:tcMar>
          </w:tcPr>
          <w:p w14:paraId="56694B65" w14:textId="77777777" w:rsidR="006F5696" w:rsidRDefault="00000000">
            <w:pPr>
              <w:spacing w:after="40"/>
            </w:pPr>
            <w:r>
              <w:rPr>
                <w:i/>
                <w:iCs/>
                <w:color w:val="555555"/>
                <w:sz w:val="18"/>
                <w:szCs w:val="18"/>
              </w:rPr>
              <w:t>Nonlinear VAR, Mork asymmetric transformations, Monte Carlo impulse responses, 49 industry portfolios</w:t>
            </w:r>
          </w:p>
        </w:tc>
      </w:tr>
      <w:tr w:rsidR="006F5696" w14:paraId="21357E67"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2723120B" w14:textId="77777777" w:rsidR="006F5696" w:rsidRDefault="00000000">
            <w:r>
              <w:rPr>
                <w:b/>
                <w:bCs/>
                <w:color w:val="1B3A5C"/>
                <w:sz w:val="18"/>
                <w:szCs w:val="18"/>
              </w:rPr>
              <w:t>Link</w:t>
            </w:r>
          </w:p>
        </w:tc>
        <w:tc>
          <w:tcPr>
            <w:tcW w:w="7560" w:type="dxa"/>
            <w:shd w:val="clear" w:color="auto" w:fill="F8FAFC"/>
            <w:tcMar>
              <w:top w:w="60" w:type="dxa"/>
              <w:left w:w="100" w:type="dxa"/>
              <w:bottom w:w="60" w:type="dxa"/>
              <w:right w:w="100" w:type="dxa"/>
            </w:tcMar>
          </w:tcPr>
          <w:p w14:paraId="0777FD1A" w14:textId="77777777" w:rsidR="006F5696" w:rsidRDefault="00000000">
            <w:hyperlink r:id="rId18" w:history="1">
              <w:r>
                <w:rPr>
                  <w:color w:val="2E75B6"/>
                  <w:sz w:val="18"/>
                  <w:szCs w:val="18"/>
                  <w:u w:val="single"/>
                </w:rPr>
                <w:t>https://journals.sagepub.com/doi/10.5547/01956574.36.3.zals</w:t>
              </w:r>
            </w:hyperlink>
          </w:p>
        </w:tc>
      </w:tr>
    </w:tbl>
    <w:p w14:paraId="1C3EF27D" w14:textId="77777777" w:rsidR="006F5696" w:rsidRDefault="006F5696">
      <w:pPr>
        <w:spacing w:after="200"/>
      </w:pPr>
    </w:p>
    <w:p w14:paraId="35E95A4F" w14:textId="77777777" w:rsidR="006F5696" w:rsidRDefault="00000000">
      <w:r>
        <w:br w:type="page"/>
      </w:r>
    </w:p>
    <w:p w14:paraId="543A6BAE" w14:textId="77777777" w:rsidR="006F5696" w:rsidRDefault="00000000">
      <w:pPr>
        <w:pStyle w:val="Titre1"/>
        <w:pBdr>
          <w:bottom w:val="single" w:sz="4" w:space="8" w:color="2E75B6"/>
        </w:pBdr>
      </w:pPr>
      <w:r>
        <w:rPr>
          <w:color w:val="1B3A5C"/>
        </w:rPr>
        <w:lastRenderedPageBreak/>
        <w:t>2. GitHub Repositories &amp; Code References</w:t>
      </w:r>
    </w:p>
    <w:p w14:paraId="6041CA06" w14:textId="77777777" w:rsidR="006F5696" w:rsidRDefault="00000000">
      <w:pPr>
        <w:spacing w:after="120"/>
      </w:pPr>
      <w:r>
        <w:t>These repositories provide working code that you can study and adapt. They are ordered by relevance to your specific project methodology.</w:t>
      </w:r>
    </w:p>
    <w:p w14:paraId="56F043E3" w14:textId="77777777" w:rsidR="006F5696" w:rsidRDefault="006F5696">
      <w:pPr>
        <w:spacing w:after="80"/>
      </w:pPr>
    </w:p>
    <w:p w14:paraId="5A693108" w14:textId="77777777" w:rsidR="006F5696" w:rsidRDefault="00000000">
      <w:pPr>
        <w:pStyle w:val="Titre2"/>
      </w:pPr>
      <w:r>
        <w:rPr>
          <w:color w:val="2E75B6"/>
        </w:rPr>
        <w:t>1. Global-Oil-Market (Kilian 2009 SVAR Replication)</w:t>
      </w:r>
    </w:p>
    <w:p w14:paraId="108AEA62" w14:textId="77777777" w:rsidR="006F5696" w:rsidRDefault="00000000">
      <w:pPr>
        <w:spacing w:after="60"/>
      </w:pPr>
      <w:r>
        <w:rPr>
          <w:b/>
          <w:bCs/>
          <w:color w:val="555555"/>
          <w:sz w:val="18"/>
          <w:szCs w:val="18"/>
        </w:rPr>
        <w:t xml:space="preserve">Author: </w:t>
      </w:r>
      <w:r>
        <w:rPr>
          <w:color w:val="555555"/>
          <w:sz w:val="18"/>
          <w:szCs w:val="18"/>
        </w:rPr>
        <w:t>mauep2025</w:t>
      </w:r>
    </w:p>
    <w:p w14:paraId="3C4E6959" w14:textId="77777777" w:rsidR="006F5696" w:rsidRDefault="00000000">
      <w:hyperlink r:id="rId19" w:history="1">
        <w:r>
          <w:rPr>
            <w:color w:val="2E75B6"/>
            <w:sz w:val="18"/>
            <w:szCs w:val="18"/>
            <w:u w:val="single"/>
          </w:rPr>
          <w:t>https://github.com/mauep2025/Global-Oil-Market</w:t>
        </w:r>
      </w:hyperlink>
    </w:p>
    <w:p w14:paraId="272C5A91"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6D4FD422"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B9B4158" w14:textId="77777777" w:rsidR="006F5696" w:rsidRDefault="00000000">
            <w:r>
              <w:rPr>
                <w:b/>
                <w:bCs/>
                <w:color w:val="1B3A5C"/>
                <w:sz w:val="18"/>
                <w:szCs w:val="18"/>
              </w:rPr>
              <w:t>Description</w:t>
            </w:r>
          </w:p>
        </w:tc>
        <w:tc>
          <w:tcPr>
            <w:tcW w:w="7560" w:type="dxa"/>
            <w:shd w:val="clear" w:color="auto" w:fill="F8FAFC"/>
            <w:tcMar>
              <w:top w:w="60" w:type="dxa"/>
              <w:left w:w="100" w:type="dxa"/>
              <w:bottom w:w="60" w:type="dxa"/>
              <w:right w:w="100" w:type="dxa"/>
            </w:tcMar>
          </w:tcPr>
          <w:p w14:paraId="3E26B08D" w14:textId="77777777" w:rsidR="006F5696" w:rsidRDefault="00000000">
            <w:pPr>
              <w:spacing w:after="40"/>
            </w:pPr>
            <w:r>
              <w:rPr>
                <w:sz w:val="18"/>
                <w:szCs w:val="18"/>
              </w:rPr>
              <w:t>Replicates the full SVAR analysis from Kilian (2009): Cholesky decomposition, structural impulse responses, historical decomposition, and forecast error variance decomposition. Uses monthly data from 1973:M1 to 2019:M6 including WTI, Brent, the Kilian Index, and U.S. refiner acquisition cost.</w:t>
            </w:r>
          </w:p>
        </w:tc>
      </w:tr>
      <w:tr w:rsidR="006F5696" w14:paraId="755974DD"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2A89FE0F"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0AE459E6" w14:textId="77777777" w:rsidR="006F5696" w:rsidRDefault="00000000">
            <w:pPr>
              <w:spacing w:after="40"/>
            </w:pPr>
            <w:r>
              <w:rPr>
                <w:i/>
                <w:iCs/>
                <w:color w:val="1B3A5C"/>
                <w:sz w:val="18"/>
                <w:szCs w:val="18"/>
              </w:rPr>
              <w:t>Your core VAR/SVAR methodology. Adapt the impulse response and variance decomposition code to your own dataset. This is the closest match to your project.</w:t>
            </w:r>
          </w:p>
        </w:tc>
      </w:tr>
    </w:tbl>
    <w:p w14:paraId="03E537DA" w14:textId="77777777" w:rsidR="006F5696" w:rsidRDefault="006F5696">
      <w:pPr>
        <w:spacing w:after="200"/>
      </w:pPr>
    </w:p>
    <w:p w14:paraId="0B9C5986" w14:textId="77777777" w:rsidR="006F5696" w:rsidRDefault="00000000">
      <w:pPr>
        <w:pStyle w:val="Titre2"/>
      </w:pPr>
      <w:r>
        <w:rPr>
          <w:color w:val="2E75B6"/>
        </w:rPr>
        <w:t>2. Kilian (2009) Replication in R</w:t>
      </w:r>
    </w:p>
    <w:p w14:paraId="08232D6B" w14:textId="77777777" w:rsidR="006F5696" w:rsidRDefault="00000000">
      <w:pPr>
        <w:spacing w:after="60"/>
      </w:pPr>
      <w:r>
        <w:rPr>
          <w:b/>
          <w:bCs/>
          <w:color w:val="555555"/>
          <w:sz w:val="18"/>
          <w:szCs w:val="18"/>
        </w:rPr>
        <w:t xml:space="preserve">Author: </w:t>
      </w:r>
      <w:r>
        <w:rPr>
          <w:color w:val="555555"/>
          <w:sz w:val="18"/>
          <w:szCs w:val="18"/>
        </w:rPr>
        <w:t>richryan (jcre-oil)</w:t>
      </w:r>
    </w:p>
    <w:p w14:paraId="48921D24" w14:textId="77777777" w:rsidR="006F5696" w:rsidRDefault="00000000">
      <w:hyperlink r:id="rId20" w:history="1">
        <w:r>
          <w:rPr>
            <w:color w:val="2E75B6"/>
            <w:sz w:val="18"/>
            <w:szCs w:val="18"/>
            <w:u w:val="single"/>
          </w:rPr>
          <w:t>https://github.com/richryan/jcre-oil</w:t>
        </w:r>
      </w:hyperlink>
    </w:p>
    <w:p w14:paraId="2874BB8E"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072609BD"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214C0962" w14:textId="77777777" w:rsidR="006F5696" w:rsidRDefault="00000000">
            <w:r>
              <w:rPr>
                <w:b/>
                <w:bCs/>
                <w:color w:val="1B3A5C"/>
                <w:sz w:val="18"/>
                <w:szCs w:val="18"/>
              </w:rPr>
              <w:t>Description</w:t>
            </w:r>
          </w:p>
        </w:tc>
        <w:tc>
          <w:tcPr>
            <w:tcW w:w="7560" w:type="dxa"/>
            <w:shd w:val="clear" w:color="auto" w:fill="F8FAFC"/>
            <w:tcMar>
              <w:top w:w="60" w:type="dxa"/>
              <w:left w:w="100" w:type="dxa"/>
              <w:bottom w:w="60" w:type="dxa"/>
              <w:right w:w="100" w:type="dxa"/>
            </w:tcMar>
          </w:tcPr>
          <w:p w14:paraId="7D10C36C" w14:textId="77777777" w:rsidR="006F5696" w:rsidRDefault="00000000">
            <w:pPr>
              <w:spacing w:after="40"/>
            </w:pPr>
            <w:r>
              <w:rPr>
                <w:sz w:val="18"/>
                <w:szCs w:val="18"/>
              </w:rPr>
              <w:t>A formal academic replication of Kilian (2009) using R and updated data through March 2024. Published as a peer-reviewed replication paper. Includes code for structural VAR estimation, impulse responses with bootstrapped confidence bands, and historical decomposition.</w:t>
            </w:r>
          </w:p>
        </w:tc>
      </w:tr>
      <w:tr w:rsidR="006F5696" w14:paraId="3CA70E9A"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595042BE"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771D5DDE" w14:textId="77777777" w:rsidR="006F5696" w:rsidRDefault="00000000">
            <w:pPr>
              <w:spacing w:after="40"/>
            </w:pPr>
            <w:r>
              <w:rPr>
                <w:i/>
                <w:iCs/>
                <w:color w:val="1B3A5C"/>
                <w:sz w:val="18"/>
                <w:szCs w:val="18"/>
              </w:rPr>
              <w:t>Reference for methodology validation. Compare your Python results against their R results for robustness. Also useful for the extension to local labor market effects.</w:t>
            </w:r>
          </w:p>
        </w:tc>
      </w:tr>
    </w:tbl>
    <w:p w14:paraId="6FE7F4A5" w14:textId="77777777" w:rsidR="006F5696" w:rsidRDefault="006F5696">
      <w:pPr>
        <w:spacing w:after="200"/>
      </w:pPr>
    </w:p>
    <w:p w14:paraId="30A161D1" w14:textId="77777777" w:rsidR="006F5696" w:rsidRDefault="00000000">
      <w:pPr>
        <w:pStyle w:val="Titre2"/>
      </w:pPr>
      <w:r>
        <w:rPr>
          <w:color w:val="2E75B6"/>
        </w:rPr>
        <w:t>3. Crude Oil Price Prediction (Time Series)</w:t>
      </w:r>
    </w:p>
    <w:p w14:paraId="3A325CC7" w14:textId="77777777" w:rsidR="006F5696" w:rsidRDefault="00000000">
      <w:pPr>
        <w:spacing w:after="60"/>
      </w:pPr>
      <w:r>
        <w:rPr>
          <w:b/>
          <w:bCs/>
          <w:color w:val="555555"/>
          <w:sz w:val="18"/>
          <w:szCs w:val="18"/>
        </w:rPr>
        <w:t xml:space="preserve">Author: </w:t>
      </w:r>
      <w:r>
        <w:rPr>
          <w:color w:val="555555"/>
          <w:sz w:val="18"/>
          <w:szCs w:val="18"/>
        </w:rPr>
        <w:t>evgeniya1</w:t>
      </w:r>
    </w:p>
    <w:p w14:paraId="391E0D91" w14:textId="77777777" w:rsidR="006F5696" w:rsidRDefault="00000000">
      <w:hyperlink r:id="rId21" w:history="1">
        <w:r>
          <w:rPr>
            <w:color w:val="2E75B6"/>
            <w:sz w:val="18"/>
            <w:szCs w:val="18"/>
            <w:u w:val="single"/>
          </w:rPr>
          <w:t>https://github.com/evgeniya1/crude_oil_price_prediction</w:t>
        </w:r>
      </w:hyperlink>
    </w:p>
    <w:p w14:paraId="50FB5442"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7C45116D"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54DC46FC" w14:textId="77777777" w:rsidR="006F5696" w:rsidRDefault="00000000">
            <w:r>
              <w:rPr>
                <w:b/>
                <w:bCs/>
                <w:color w:val="1B3A5C"/>
                <w:sz w:val="18"/>
                <w:szCs w:val="18"/>
              </w:rPr>
              <w:t>Description</w:t>
            </w:r>
          </w:p>
        </w:tc>
        <w:tc>
          <w:tcPr>
            <w:tcW w:w="7560" w:type="dxa"/>
            <w:shd w:val="clear" w:color="auto" w:fill="F8FAFC"/>
            <w:tcMar>
              <w:top w:w="60" w:type="dxa"/>
              <w:left w:w="100" w:type="dxa"/>
              <w:bottom w:w="60" w:type="dxa"/>
              <w:right w:w="100" w:type="dxa"/>
            </w:tcMar>
          </w:tcPr>
          <w:p w14:paraId="219C17AD" w14:textId="77777777" w:rsidR="006F5696" w:rsidRDefault="00000000">
            <w:pPr>
              <w:spacing w:after="40"/>
            </w:pPr>
            <w:r>
              <w:rPr>
                <w:sz w:val="18"/>
                <w:szCs w:val="18"/>
              </w:rPr>
              <w:t>Forecasts WTI crude oil prices using ARIMA, Facebook Prophet, and LSTM neural networks. Includes a classification component for predicting weekly trends. Uses daily and weekly frequency data from datahub.io.</w:t>
            </w:r>
          </w:p>
        </w:tc>
      </w:tr>
      <w:tr w:rsidR="006F5696" w14:paraId="7E3B47E8"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00BA6AAD"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0A9B2DDE" w14:textId="77777777" w:rsidR="006F5696" w:rsidRDefault="00000000">
            <w:pPr>
              <w:spacing w:after="40"/>
            </w:pPr>
            <w:r>
              <w:rPr>
                <w:i/>
                <w:iCs/>
                <w:color w:val="1B3A5C"/>
                <w:sz w:val="18"/>
                <w:szCs w:val="18"/>
              </w:rPr>
              <w:t>Reference for your out-of-sample forecasting section. Compare their ARIMA-based oil price forecasting approach with your VAR-based multi-asset forecasting.</w:t>
            </w:r>
          </w:p>
        </w:tc>
      </w:tr>
    </w:tbl>
    <w:p w14:paraId="434285B5" w14:textId="77777777" w:rsidR="006F5696" w:rsidRDefault="006F5696">
      <w:pPr>
        <w:spacing w:after="200"/>
      </w:pPr>
    </w:p>
    <w:p w14:paraId="6A103A8E" w14:textId="77777777" w:rsidR="006F5696" w:rsidRDefault="00000000">
      <w:pPr>
        <w:pStyle w:val="Titre2"/>
      </w:pPr>
      <w:r>
        <w:rPr>
          <w:color w:val="2E75B6"/>
        </w:rPr>
        <w:t>4. Oil Price Dashboard (Forecasting)</w:t>
      </w:r>
    </w:p>
    <w:p w14:paraId="0BA35692" w14:textId="77777777" w:rsidR="006F5696" w:rsidRDefault="00000000">
      <w:pPr>
        <w:spacing w:after="60"/>
      </w:pPr>
      <w:r>
        <w:rPr>
          <w:b/>
          <w:bCs/>
          <w:color w:val="555555"/>
          <w:sz w:val="18"/>
          <w:szCs w:val="18"/>
        </w:rPr>
        <w:t xml:space="preserve">Author: </w:t>
      </w:r>
      <w:r>
        <w:rPr>
          <w:color w:val="555555"/>
          <w:sz w:val="18"/>
          <w:szCs w:val="18"/>
        </w:rPr>
        <w:t>LNshuti</w:t>
      </w:r>
    </w:p>
    <w:p w14:paraId="143CD19E" w14:textId="77777777" w:rsidR="006F5696" w:rsidRDefault="00000000">
      <w:hyperlink r:id="rId22" w:history="1">
        <w:r>
          <w:rPr>
            <w:color w:val="2E75B6"/>
            <w:sz w:val="18"/>
            <w:szCs w:val="18"/>
            <w:u w:val="single"/>
          </w:rPr>
          <w:t>https://github.com/LNshuti/oil-price-dashboard</w:t>
        </w:r>
      </w:hyperlink>
    </w:p>
    <w:p w14:paraId="7C42652C"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41A80FE8"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1A3053D4" w14:textId="77777777" w:rsidR="006F5696" w:rsidRDefault="00000000">
            <w:r>
              <w:rPr>
                <w:b/>
                <w:bCs/>
                <w:color w:val="1B3A5C"/>
                <w:sz w:val="18"/>
                <w:szCs w:val="18"/>
              </w:rPr>
              <w:lastRenderedPageBreak/>
              <w:t>Description</w:t>
            </w:r>
          </w:p>
        </w:tc>
        <w:tc>
          <w:tcPr>
            <w:tcW w:w="7560" w:type="dxa"/>
            <w:shd w:val="clear" w:color="auto" w:fill="F8FAFC"/>
            <w:tcMar>
              <w:top w:w="60" w:type="dxa"/>
              <w:left w:w="100" w:type="dxa"/>
              <w:bottom w:w="60" w:type="dxa"/>
              <w:right w:w="100" w:type="dxa"/>
            </w:tcMar>
          </w:tcPr>
          <w:p w14:paraId="4B0CB5D2" w14:textId="77777777" w:rsidR="006F5696" w:rsidRDefault="00000000">
            <w:pPr>
              <w:spacing w:after="40"/>
            </w:pPr>
            <w:r>
              <w:rPr>
                <w:sz w:val="18"/>
                <w:szCs w:val="18"/>
              </w:rPr>
              <w:t>Forecasting dashboard for U.S. oil markets using AutoARIMA, AutoETS, LightGBM, and XGBoost. Data from the U.S. Energy Information Administration. Includes a Jupyter notebook for exploratory analysis.</w:t>
            </w:r>
          </w:p>
        </w:tc>
      </w:tr>
      <w:tr w:rsidR="006F5696" w14:paraId="2FC8EA87"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7771038"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5DB6257C" w14:textId="77777777" w:rsidR="006F5696" w:rsidRDefault="00000000">
            <w:pPr>
              <w:spacing w:after="40"/>
            </w:pPr>
            <w:r>
              <w:rPr>
                <w:i/>
                <w:iCs/>
                <w:color w:val="1B3A5C"/>
                <w:sz w:val="18"/>
                <w:szCs w:val="18"/>
              </w:rPr>
              <w:t>Reference for clean data visualization and exploratory analysis patterns. Their EDA notebook structure could inform your notebook organization.</w:t>
            </w:r>
          </w:p>
        </w:tc>
      </w:tr>
    </w:tbl>
    <w:p w14:paraId="49DA06C6" w14:textId="77777777" w:rsidR="006F5696" w:rsidRDefault="006F5696">
      <w:pPr>
        <w:spacing w:after="200"/>
      </w:pPr>
    </w:p>
    <w:p w14:paraId="4C42A994" w14:textId="77777777" w:rsidR="006F5696" w:rsidRDefault="00000000">
      <w:pPr>
        <w:pStyle w:val="Titre2"/>
      </w:pPr>
      <w:r>
        <w:rPr>
          <w:color w:val="2E75B6"/>
        </w:rPr>
        <w:t>5. Oil Price &amp; Stock Shares (ML Approach)</w:t>
      </w:r>
    </w:p>
    <w:p w14:paraId="34706FD4" w14:textId="77777777" w:rsidR="006F5696" w:rsidRDefault="00000000">
      <w:pPr>
        <w:spacing w:after="60"/>
      </w:pPr>
      <w:r>
        <w:rPr>
          <w:b/>
          <w:bCs/>
          <w:color w:val="555555"/>
          <w:sz w:val="18"/>
          <w:szCs w:val="18"/>
        </w:rPr>
        <w:t xml:space="preserve">Author: </w:t>
      </w:r>
      <w:r>
        <w:rPr>
          <w:color w:val="555555"/>
          <w:sz w:val="18"/>
          <w:szCs w:val="18"/>
        </w:rPr>
        <w:t>pythonbravo</w:t>
      </w:r>
    </w:p>
    <w:p w14:paraId="587EE26B" w14:textId="77777777" w:rsidR="006F5696" w:rsidRDefault="00000000">
      <w:hyperlink r:id="rId23" w:history="1">
        <w:r>
          <w:rPr>
            <w:color w:val="2E75B6"/>
            <w:sz w:val="18"/>
            <w:szCs w:val="18"/>
            <w:u w:val="single"/>
          </w:rPr>
          <w:t>https://github.com/pythonbravo/oil_price</w:t>
        </w:r>
      </w:hyperlink>
    </w:p>
    <w:p w14:paraId="16C10AE0"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4EB9917A"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06CAEB5A" w14:textId="77777777" w:rsidR="006F5696" w:rsidRDefault="00000000">
            <w:r>
              <w:rPr>
                <w:b/>
                <w:bCs/>
                <w:color w:val="1B3A5C"/>
                <w:sz w:val="18"/>
                <w:szCs w:val="18"/>
              </w:rPr>
              <w:t>Description</w:t>
            </w:r>
          </w:p>
        </w:tc>
        <w:tc>
          <w:tcPr>
            <w:tcW w:w="7560" w:type="dxa"/>
            <w:shd w:val="clear" w:color="auto" w:fill="F8FAFC"/>
            <w:tcMar>
              <w:top w:w="60" w:type="dxa"/>
              <w:left w:w="100" w:type="dxa"/>
              <w:bottom w:w="60" w:type="dxa"/>
              <w:right w:w="100" w:type="dxa"/>
            </w:tcMar>
          </w:tcPr>
          <w:p w14:paraId="31B3831C" w14:textId="77777777" w:rsidR="006F5696" w:rsidRDefault="00000000">
            <w:pPr>
              <w:spacing w:after="40"/>
            </w:pPr>
            <w:r>
              <w:rPr>
                <w:sz w:val="18"/>
                <w:szCs w:val="18"/>
              </w:rPr>
              <w:t>Uses oil price data alongside stock prices of oil companies. Applies Linear Regression, Random Forest, and K-means clustering to predict share prices in the Oil &amp; Gas industry. Uses EIA data.</w:t>
            </w:r>
          </w:p>
        </w:tc>
      </w:tr>
      <w:tr w:rsidR="006F5696" w14:paraId="62DF7336"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400EDA06"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14CEF6D1" w14:textId="77777777" w:rsidR="006F5696" w:rsidRDefault="00000000">
            <w:pPr>
              <w:spacing w:after="40"/>
            </w:pPr>
            <w:r>
              <w:rPr>
                <w:i/>
                <w:iCs/>
                <w:color w:val="1B3A5C"/>
                <w:sz w:val="18"/>
                <w:szCs w:val="18"/>
              </w:rPr>
              <w:t>Reference for the oil-equity linkage analysis. Their approach of combining oil price data with sector-specific stock data is similar to what you will do with your S&amp;P 500 and sector indices.</w:t>
            </w:r>
          </w:p>
        </w:tc>
      </w:tr>
    </w:tbl>
    <w:p w14:paraId="3153BCCE" w14:textId="77777777" w:rsidR="006F5696" w:rsidRDefault="006F5696">
      <w:pPr>
        <w:spacing w:after="200"/>
      </w:pPr>
    </w:p>
    <w:p w14:paraId="747EEAAC" w14:textId="77777777" w:rsidR="006F5696" w:rsidRDefault="00000000">
      <w:pPr>
        <w:pStyle w:val="Titre2"/>
      </w:pPr>
      <w:r>
        <w:rPr>
          <w:color w:val="2E75B6"/>
        </w:rPr>
        <w:t>6. VAR Primer Notebook (Matlab/Jupyter)</w:t>
      </w:r>
    </w:p>
    <w:p w14:paraId="43FDBF65" w14:textId="77777777" w:rsidR="006F5696" w:rsidRDefault="00000000">
      <w:pPr>
        <w:spacing w:after="60"/>
      </w:pPr>
      <w:r>
        <w:rPr>
          <w:b/>
          <w:bCs/>
          <w:color w:val="555555"/>
          <w:sz w:val="18"/>
          <w:szCs w:val="18"/>
        </w:rPr>
        <w:t xml:space="preserve">Author: </w:t>
      </w:r>
      <w:r>
        <w:rPr>
          <w:color w:val="555555"/>
          <w:sz w:val="18"/>
          <w:szCs w:val="18"/>
        </w:rPr>
        <w:t>mcherculano</w:t>
      </w:r>
    </w:p>
    <w:p w14:paraId="78A469B8" w14:textId="77777777" w:rsidR="006F5696" w:rsidRDefault="00000000">
      <w:hyperlink r:id="rId24" w:history="1">
        <w:r>
          <w:rPr>
            <w:color w:val="2E75B6"/>
            <w:sz w:val="18"/>
            <w:szCs w:val="18"/>
            <w:u w:val="single"/>
          </w:rPr>
          <w:t>https://mcherculano.github.io/docs/Primer_on_VARs.html</w:t>
        </w:r>
      </w:hyperlink>
    </w:p>
    <w:p w14:paraId="5678A47D"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3B686EEA"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6D4B37C8" w14:textId="77777777" w:rsidR="006F5696" w:rsidRDefault="00000000">
            <w:r>
              <w:rPr>
                <w:b/>
                <w:bCs/>
                <w:color w:val="1B3A5C"/>
                <w:sz w:val="18"/>
                <w:szCs w:val="18"/>
              </w:rPr>
              <w:t>Description</w:t>
            </w:r>
          </w:p>
        </w:tc>
        <w:tc>
          <w:tcPr>
            <w:tcW w:w="7560" w:type="dxa"/>
            <w:shd w:val="clear" w:color="auto" w:fill="F8FAFC"/>
            <w:tcMar>
              <w:top w:w="60" w:type="dxa"/>
              <w:left w:w="100" w:type="dxa"/>
              <w:bottom w:w="60" w:type="dxa"/>
              <w:right w:w="100" w:type="dxa"/>
            </w:tcMar>
          </w:tcPr>
          <w:p w14:paraId="79A7F4D4" w14:textId="77777777" w:rsidR="006F5696" w:rsidRDefault="00000000">
            <w:pPr>
              <w:spacing w:after="40"/>
            </w:pPr>
            <w:r>
              <w:rPr>
                <w:sz w:val="18"/>
                <w:szCs w:val="18"/>
              </w:rPr>
              <w:t>Comprehensive pedagogical notebook walking through the full VAR model workflow: estimation, impulse response functions, historical decomposition, forecast error variance decomposition, and forecasting. Based on Stock and Watson (2001).</w:t>
            </w:r>
          </w:p>
        </w:tc>
      </w:tr>
      <w:tr w:rsidR="006F5696" w14:paraId="538142FE"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073D143"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662FD167" w14:textId="77777777" w:rsidR="006F5696" w:rsidRDefault="00000000">
            <w:pPr>
              <w:spacing w:after="40"/>
            </w:pPr>
            <w:r>
              <w:rPr>
                <w:i/>
                <w:iCs/>
                <w:color w:val="1B3A5C"/>
                <w:sz w:val="18"/>
                <w:szCs w:val="18"/>
              </w:rPr>
              <w:t>Your best template for notebook structure and VAR implementation. Adapt their workflow to Python. Their explanation of IRFs, FEVD, and historical decomposition is excellent.</w:t>
            </w:r>
          </w:p>
        </w:tc>
      </w:tr>
    </w:tbl>
    <w:p w14:paraId="20F3FDAA" w14:textId="77777777" w:rsidR="006F5696" w:rsidRDefault="006F5696">
      <w:pPr>
        <w:spacing w:after="200"/>
      </w:pPr>
    </w:p>
    <w:p w14:paraId="4B57321B" w14:textId="77777777" w:rsidR="006F5696" w:rsidRDefault="00000000">
      <w:pPr>
        <w:pStyle w:val="Titre2"/>
      </w:pPr>
      <w:r>
        <w:rPr>
          <w:color w:val="2E75B6"/>
        </w:rPr>
        <w:t>7. Stock Market &amp; Economic Indicators Analysis</w:t>
      </w:r>
    </w:p>
    <w:p w14:paraId="6B2A1D5B" w14:textId="77777777" w:rsidR="006F5696" w:rsidRDefault="00000000">
      <w:pPr>
        <w:spacing w:after="60"/>
      </w:pPr>
      <w:r>
        <w:rPr>
          <w:b/>
          <w:bCs/>
          <w:color w:val="555555"/>
          <w:sz w:val="18"/>
          <w:szCs w:val="18"/>
        </w:rPr>
        <w:t xml:space="preserve">Author: </w:t>
      </w:r>
      <w:r>
        <w:rPr>
          <w:color w:val="555555"/>
          <w:sz w:val="18"/>
          <w:szCs w:val="18"/>
        </w:rPr>
        <w:t>ilitzkyd</w:t>
      </w:r>
    </w:p>
    <w:p w14:paraId="49B52D4F" w14:textId="77777777" w:rsidR="006F5696" w:rsidRDefault="00000000">
      <w:hyperlink r:id="rId25" w:history="1">
        <w:r>
          <w:rPr>
            <w:color w:val="2E75B6"/>
            <w:sz w:val="18"/>
            <w:szCs w:val="18"/>
            <w:u w:val="single"/>
          </w:rPr>
          <w:t>https://github.com/ilitzkyd/Stock-Market-Analysis</w:t>
        </w:r>
      </w:hyperlink>
    </w:p>
    <w:p w14:paraId="46981647"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04047DC5"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539B6ED2" w14:textId="77777777" w:rsidR="006F5696" w:rsidRDefault="00000000">
            <w:r>
              <w:rPr>
                <w:b/>
                <w:bCs/>
                <w:color w:val="1B3A5C"/>
                <w:sz w:val="18"/>
                <w:szCs w:val="18"/>
              </w:rPr>
              <w:t>Description</w:t>
            </w:r>
          </w:p>
        </w:tc>
        <w:tc>
          <w:tcPr>
            <w:tcW w:w="7560" w:type="dxa"/>
            <w:shd w:val="clear" w:color="auto" w:fill="F8FAFC"/>
            <w:tcMar>
              <w:top w:w="60" w:type="dxa"/>
              <w:left w:w="100" w:type="dxa"/>
              <w:bottom w:w="60" w:type="dxa"/>
              <w:right w:w="100" w:type="dxa"/>
            </w:tcMar>
          </w:tcPr>
          <w:p w14:paraId="0CF73DA4" w14:textId="77777777" w:rsidR="006F5696" w:rsidRDefault="00000000">
            <w:pPr>
              <w:spacing w:after="40"/>
            </w:pPr>
            <w:r>
              <w:rPr>
                <w:sz w:val="18"/>
                <w:szCs w:val="18"/>
              </w:rPr>
              <w:t>Jupyter notebook fetching economic indicator data from the FRED API and stock price data from Yahoo Finance. Visualizes correlations between stock prices and macro indicators using Plotly.</w:t>
            </w:r>
          </w:p>
        </w:tc>
      </w:tr>
      <w:tr w:rsidR="006F5696" w14:paraId="40E5B0FB"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3B59A317"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78D28FDB" w14:textId="77777777" w:rsidR="006F5696" w:rsidRDefault="00000000">
            <w:pPr>
              <w:spacing w:after="40"/>
            </w:pPr>
            <w:r>
              <w:rPr>
                <w:i/>
                <w:iCs/>
                <w:color w:val="1B3A5C"/>
                <w:sz w:val="18"/>
                <w:szCs w:val="18"/>
              </w:rPr>
              <w:t>Reference for your data section. Their correlation visualization code (rolling correlations, correlation matrices) between economic indicators and financial variables is directly applicable.</w:t>
            </w:r>
          </w:p>
        </w:tc>
      </w:tr>
    </w:tbl>
    <w:p w14:paraId="46C360BB" w14:textId="77777777" w:rsidR="006F5696" w:rsidRDefault="006F5696">
      <w:pPr>
        <w:spacing w:after="200"/>
      </w:pPr>
    </w:p>
    <w:p w14:paraId="5062ADB7" w14:textId="77777777" w:rsidR="006F5696" w:rsidRDefault="00000000">
      <w:pPr>
        <w:pStyle w:val="Titre2"/>
      </w:pPr>
      <w:r>
        <w:rPr>
          <w:color w:val="2E75B6"/>
        </w:rPr>
        <w:t>8. Financial Data Analytics &amp; Forecasting Models</w:t>
      </w:r>
    </w:p>
    <w:p w14:paraId="74AF1FC4" w14:textId="77777777" w:rsidR="006F5696" w:rsidRDefault="00000000">
      <w:pPr>
        <w:spacing w:after="60"/>
      </w:pPr>
      <w:r>
        <w:rPr>
          <w:b/>
          <w:bCs/>
          <w:color w:val="555555"/>
          <w:sz w:val="18"/>
          <w:szCs w:val="18"/>
        </w:rPr>
        <w:t xml:space="preserve">Author: </w:t>
      </w:r>
      <w:r>
        <w:rPr>
          <w:color w:val="555555"/>
          <w:sz w:val="18"/>
          <w:szCs w:val="18"/>
        </w:rPr>
        <w:t>AJ2401</w:t>
      </w:r>
    </w:p>
    <w:p w14:paraId="7D629DAE" w14:textId="77777777" w:rsidR="006F5696" w:rsidRDefault="00000000">
      <w:hyperlink r:id="rId26" w:history="1">
        <w:r>
          <w:rPr>
            <w:color w:val="2E75B6"/>
            <w:sz w:val="18"/>
            <w:szCs w:val="18"/>
            <w:u w:val="single"/>
          </w:rPr>
          <w:t>https://github.com/AJ2401/Financial-Data-Analytics-and-Forecasting-Models</w:t>
        </w:r>
      </w:hyperlink>
    </w:p>
    <w:p w14:paraId="4B48299A" w14:textId="77777777" w:rsidR="006F5696" w:rsidRDefault="006F569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6F5696" w14:paraId="3AE42740"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2A70C97F" w14:textId="77777777" w:rsidR="006F5696" w:rsidRDefault="00000000">
            <w:r>
              <w:rPr>
                <w:b/>
                <w:bCs/>
                <w:color w:val="1B3A5C"/>
                <w:sz w:val="18"/>
                <w:szCs w:val="18"/>
              </w:rPr>
              <w:lastRenderedPageBreak/>
              <w:t>Description</w:t>
            </w:r>
          </w:p>
        </w:tc>
        <w:tc>
          <w:tcPr>
            <w:tcW w:w="7560" w:type="dxa"/>
            <w:shd w:val="clear" w:color="auto" w:fill="F8FAFC"/>
            <w:tcMar>
              <w:top w:w="60" w:type="dxa"/>
              <w:left w:w="100" w:type="dxa"/>
              <w:bottom w:w="60" w:type="dxa"/>
              <w:right w:w="100" w:type="dxa"/>
            </w:tcMar>
          </w:tcPr>
          <w:p w14:paraId="43EECABA" w14:textId="77777777" w:rsidR="006F5696" w:rsidRDefault="00000000">
            <w:pPr>
              <w:spacing w:after="40"/>
            </w:pPr>
            <w:r>
              <w:rPr>
                <w:sz w:val="18"/>
                <w:szCs w:val="18"/>
              </w:rPr>
              <w:t>Broad financial econometrics project covering ARIMA, logistic regression, moving averages, and forecasting. Includes topics like hedge ratios for oil and modeling price-exchange rate relationships.</w:t>
            </w:r>
          </w:p>
        </w:tc>
      </w:tr>
      <w:tr w:rsidR="006F5696" w14:paraId="3EB04CB0" w14:textId="77777777">
        <w:tblPrEx>
          <w:tblCellMar>
            <w:top w:w="0" w:type="dxa"/>
            <w:bottom w:w="0" w:type="dxa"/>
          </w:tblCellMar>
        </w:tblPrEx>
        <w:tc>
          <w:tcPr>
            <w:tcW w:w="1800" w:type="dxa"/>
            <w:shd w:val="clear" w:color="auto" w:fill="E8EEF4"/>
            <w:tcMar>
              <w:top w:w="60" w:type="dxa"/>
              <w:left w:w="100" w:type="dxa"/>
              <w:bottom w:w="60" w:type="dxa"/>
              <w:right w:w="100" w:type="dxa"/>
            </w:tcMar>
          </w:tcPr>
          <w:p w14:paraId="5DC28862" w14:textId="77777777" w:rsidR="006F5696" w:rsidRDefault="00000000">
            <w:r>
              <w:rPr>
                <w:b/>
                <w:bCs/>
                <w:color w:val="1B3A5C"/>
                <w:sz w:val="18"/>
                <w:szCs w:val="18"/>
              </w:rPr>
              <w:t>Use For</w:t>
            </w:r>
          </w:p>
        </w:tc>
        <w:tc>
          <w:tcPr>
            <w:tcW w:w="7560" w:type="dxa"/>
            <w:shd w:val="clear" w:color="auto" w:fill="F8FAFC"/>
            <w:tcMar>
              <w:top w:w="60" w:type="dxa"/>
              <w:left w:w="100" w:type="dxa"/>
              <w:bottom w:w="60" w:type="dxa"/>
              <w:right w:w="100" w:type="dxa"/>
            </w:tcMar>
          </w:tcPr>
          <w:p w14:paraId="0AF6F20B" w14:textId="77777777" w:rsidR="006F5696" w:rsidRDefault="00000000">
            <w:pPr>
              <w:spacing w:after="40"/>
            </w:pPr>
            <w:r>
              <w:rPr>
                <w:i/>
                <w:iCs/>
                <w:color w:val="1B3A5C"/>
                <w:sz w:val="18"/>
                <w:szCs w:val="18"/>
              </w:rPr>
              <w:t>Reference for general financial econometrics coding patterns in Python. Useful for ARIMA-based univariate analysis of oil price series as a baseline comparison.</w:t>
            </w:r>
          </w:p>
        </w:tc>
      </w:tr>
    </w:tbl>
    <w:p w14:paraId="0C7ADABA" w14:textId="77777777" w:rsidR="006F5696" w:rsidRDefault="006F5696">
      <w:pPr>
        <w:spacing w:after="200"/>
      </w:pPr>
    </w:p>
    <w:p w14:paraId="6025BC6D" w14:textId="77777777" w:rsidR="006F5696" w:rsidRDefault="00000000">
      <w:r>
        <w:br w:type="page"/>
      </w:r>
    </w:p>
    <w:p w14:paraId="22BA9DE8" w14:textId="77777777" w:rsidR="006F5696" w:rsidRDefault="00000000">
      <w:pPr>
        <w:pStyle w:val="Titre1"/>
        <w:pBdr>
          <w:bottom w:val="single" w:sz="4" w:space="8" w:color="2E75B6"/>
        </w:pBdr>
      </w:pPr>
      <w:r>
        <w:rPr>
          <w:color w:val="1B3A5C"/>
        </w:rPr>
        <w:lastRenderedPageBreak/>
        <w:t>3. Mapping Studies to Your Dataset</w:t>
      </w:r>
    </w:p>
    <w:p w14:paraId="6C488DDE" w14:textId="77777777" w:rsidR="006F5696" w:rsidRDefault="00000000">
      <w:pPr>
        <w:spacing w:after="120"/>
      </w:pPr>
      <w:r>
        <w:t>Your professor provided a rich Bloomberg dataset. Here is how each data variable maps to the academic literature and which studies justify its inclusion.</w:t>
      </w:r>
    </w:p>
    <w:p w14:paraId="36776D84" w14:textId="77777777" w:rsidR="006F5696" w:rsidRDefault="006F569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6F5696" w14:paraId="2219AD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EB14223" w14:textId="77777777" w:rsidR="006F5696" w:rsidRDefault="00000000">
            <w:r>
              <w:rPr>
                <w:b/>
                <w:bCs/>
                <w:color w:val="FFFFFF"/>
                <w:sz w:val="18"/>
                <w:szCs w:val="18"/>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14302BF" w14:textId="77777777" w:rsidR="006F5696" w:rsidRDefault="00000000">
            <w:r>
              <w:rPr>
                <w:b/>
                <w:bCs/>
                <w:color w:val="FFFFFF"/>
                <w:sz w:val="18"/>
                <w:szCs w:val="18"/>
              </w:rPr>
              <w:t>Key Studies</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2CD1E8B" w14:textId="77777777" w:rsidR="006F5696" w:rsidRDefault="00000000">
            <w:r>
              <w:rPr>
                <w:b/>
                <w:bCs/>
                <w:color w:val="FFFFFF"/>
                <w:sz w:val="18"/>
                <w:szCs w:val="18"/>
              </w:rPr>
              <w:t>Role in Your Project</w:t>
            </w:r>
          </w:p>
        </w:tc>
      </w:tr>
      <w:tr w:rsidR="006F5696" w14:paraId="1E3EFE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F6D97" w14:textId="77777777" w:rsidR="006F5696" w:rsidRDefault="00000000">
            <w:r>
              <w:rPr>
                <w:b/>
                <w:bCs/>
                <w:sz w:val="17"/>
                <w:szCs w:val="17"/>
              </w:rPr>
              <w:t>WTI / Brent Futures</w:t>
            </w:r>
          </w:p>
          <w:p w14:paraId="26BC13C5" w14:textId="77777777" w:rsidR="006F5696" w:rsidRDefault="00000000">
            <w:r>
              <w:rPr>
                <w:i/>
                <w:iCs/>
                <w:color w:val="888888"/>
                <w:sz w:val="15"/>
                <w:szCs w:val="15"/>
              </w:rPr>
              <w:t>Oil Prices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F4536" w14:textId="77777777" w:rsidR="006F5696" w:rsidRDefault="00000000">
            <w:r>
              <w:rPr>
                <w:sz w:val="18"/>
                <w:szCs w:val="18"/>
              </w:rPr>
              <w:t>Kilian (2009), Kilian &amp; Park (2009), Hamilton (2003), Mork (1989)</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ED786" w14:textId="77777777" w:rsidR="006F5696" w:rsidRDefault="00000000">
            <w:r>
              <w:rPr>
                <w:sz w:val="18"/>
                <w:szCs w:val="18"/>
              </w:rPr>
              <w:t>Core independent variable. Use log-returns. WTI is standard in U.S.-focused studies. Brent for international/robustness.</w:t>
            </w:r>
          </w:p>
        </w:tc>
      </w:tr>
      <w:tr w:rsidR="006F5696" w14:paraId="6876A7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1ADD862" w14:textId="77777777" w:rsidR="006F5696" w:rsidRDefault="00000000">
            <w:r>
              <w:rPr>
                <w:b/>
                <w:bCs/>
                <w:sz w:val="17"/>
                <w:szCs w:val="17"/>
              </w:rPr>
              <w:t>S&amp;P 500</w:t>
            </w:r>
          </w:p>
          <w:p w14:paraId="35532BB3" w14:textId="77777777" w:rsidR="006F5696" w:rsidRDefault="00000000">
            <w:r>
              <w:rPr>
                <w:i/>
                <w:iCs/>
                <w:color w:val="888888"/>
                <w:sz w:val="15"/>
                <w:szCs w:val="15"/>
              </w:rPr>
              <w:t>Equities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2C054DB" w14:textId="77777777" w:rsidR="006F5696" w:rsidRDefault="00000000">
            <w:r>
              <w:rPr>
                <w:sz w:val="18"/>
                <w:szCs w:val="18"/>
              </w:rPr>
              <w:t>Kilian &amp; Park (2009), Sadorsky (1999), Jones &amp; Kaul (1996)</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78445CD" w14:textId="77777777" w:rsidR="006F5696" w:rsidRDefault="00000000">
            <w:r>
              <w:rPr>
                <w:sz w:val="18"/>
                <w:szCs w:val="18"/>
              </w:rPr>
              <w:t>Primary dependent variable for U.S. stock returns. The most widely studied equity index in the oil-stock literature.</w:t>
            </w:r>
          </w:p>
        </w:tc>
      </w:tr>
      <w:tr w:rsidR="006F5696" w14:paraId="2778F7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BF45" w14:textId="77777777" w:rsidR="006F5696" w:rsidRDefault="00000000">
            <w:r>
              <w:rPr>
                <w:b/>
                <w:bCs/>
                <w:sz w:val="17"/>
                <w:szCs w:val="17"/>
              </w:rPr>
              <w:t>MSCI World / MSCI EM</w:t>
            </w:r>
          </w:p>
          <w:p w14:paraId="63FD8538" w14:textId="77777777" w:rsidR="006F5696" w:rsidRDefault="00000000">
            <w:r>
              <w:rPr>
                <w:i/>
                <w:iCs/>
                <w:color w:val="888888"/>
                <w:sz w:val="15"/>
                <w:szCs w:val="15"/>
              </w:rPr>
              <w:t>Equities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C964E" w14:textId="77777777" w:rsidR="006F5696" w:rsidRDefault="00000000">
            <w:r>
              <w:rPr>
                <w:sz w:val="18"/>
                <w:szCs w:val="18"/>
              </w:rPr>
              <w:t>Apergis &amp; Miller (2009), Degiannakis et al. (2018)</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4EE377" w14:textId="77777777" w:rsidR="006F5696" w:rsidRDefault="00000000">
            <w:r>
              <w:rPr>
                <w:sz w:val="18"/>
                <w:szCs w:val="18"/>
              </w:rPr>
              <w:t>International extension. Compare developed vs. emerging market responses. EM markets may react differently due to oil-exporting countries in the index.</w:t>
            </w:r>
          </w:p>
        </w:tc>
      </w:tr>
      <w:tr w:rsidR="006F5696" w14:paraId="165CC7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B782C8" w14:textId="77777777" w:rsidR="006F5696" w:rsidRDefault="00000000">
            <w:r>
              <w:rPr>
                <w:b/>
                <w:bCs/>
                <w:sz w:val="17"/>
                <w:szCs w:val="17"/>
              </w:rPr>
              <w:t>Russell 2000</w:t>
            </w:r>
          </w:p>
          <w:p w14:paraId="29212021" w14:textId="77777777" w:rsidR="006F5696" w:rsidRDefault="00000000">
            <w:r>
              <w:rPr>
                <w:i/>
                <w:iCs/>
                <w:color w:val="888888"/>
                <w:sz w:val="15"/>
                <w:szCs w:val="15"/>
              </w:rPr>
              <w:t>Equities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6DA53EC" w14:textId="77777777" w:rsidR="006F5696" w:rsidRDefault="00000000">
            <w:r>
              <w:rPr>
                <w:sz w:val="18"/>
                <w:szCs w:val="18"/>
              </w:rPr>
              <w:t>Kilian &amp; Park (2009) industry analysis</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0D27EF2" w14:textId="77777777" w:rsidR="006F5696" w:rsidRDefault="00000000">
            <w:r>
              <w:rPr>
                <w:sz w:val="18"/>
                <w:szCs w:val="18"/>
              </w:rPr>
              <w:t>Small-cap proxy. Small firms are more oil-sensitive due to limited hedging capacity. Adds a size dimension to your analysis.</w:t>
            </w:r>
          </w:p>
        </w:tc>
      </w:tr>
      <w:tr w:rsidR="006F5696" w14:paraId="212721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5E5EF" w14:textId="77777777" w:rsidR="006F5696" w:rsidRDefault="00000000">
            <w:r>
              <w:rPr>
                <w:b/>
                <w:bCs/>
                <w:sz w:val="17"/>
                <w:szCs w:val="17"/>
              </w:rPr>
              <w:t>US 10Y / 2Y Rates</w:t>
            </w:r>
          </w:p>
          <w:p w14:paraId="7A62ADF4" w14:textId="77777777" w:rsidR="006F5696" w:rsidRDefault="00000000">
            <w:r>
              <w:rPr>
                <w:i/>
                <w:iCs/>
                <w:color w:val="888888"/>
                <w:sz w:val="15"/>
                <w:szCs w:val="15"/>
              </w:rPr>
              <w:t>Fixed Income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86952" w14:textId="77777777" w:rsidR="006F5696" w:rsidRDefault="00000000">
            <w:r>
              <w:rPr>
                <w:sz w:val="18"/>
                <w:szCs w:val="18"/>
              </w:rPr>
              <w:t>Sadorsky (1999), Degiannakis et al. (2018)</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D446E" w14:textId="77777777" w:rsidR="006F5696" w:rsidRDefault="00000000">
            <w:r>
              <w:rPr>
                <w:sz w:val="18"/>
                <w:szCs w:val="18"/>
              </w:rPr>
              <w:t>Captures monetary policy expectations and term structure effects. Oil shocks raise inflation expectations, pushing yields higher. The 10Y-2Y spread is a recession indicator.</w:t>
            </w:r>
          </w:p>
        </w:tc>
      </w:tr>
      <w:tr w:rsidR="006F5696" w14:paraId="05DCE7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5394667" w14:textId="77777777" w:rsidR="006F5696" w:rsidRDefault="00000000">
            <w:r>
              <w:rPr>
                <w:b/>
                <w:bCs/>
                <w:sz w:val="17"/>
                <w:szCs w:val="17"/>
              </w:rPr>
              <w:t>HY Credit Spread</w:t>
            </w:r>
          </w:p>
          <w:p w14:paraId="314EE364" w14:textId="77777777" w:rsidR="006F5696" w:rsidRDefault="00000000">
            <w:r>
              <w:rPr>
                <w:i/>
                <w:iCs/>
                <w:color w:val="888888"/>
                <w:sz w:val="15"/>
                <w:szCs w:val="15"/>
              </w:rPr>
              <w:t>Credit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A76447A" w14:textId="77777777" w:rsidR="006F5696" w:rsidRDefault="00000000">
            <w:r>
              <w:rPr>
                <w:sz w:val="18"/>
                <w:szCs w:val="18"/>
              </w:rPr>
              <w:t>Degiannakis et al. (2018)</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62DCB4B" w14:textId="77777777" w:rsidR="006F5696" w:rsidRDefault="00000000">
            <w:r>
              <w:rPr>
                <w:sz w:val="18"/>
                <w:szCs w:val="18"/>
              </w:rPr>
              <w:t>Credit risk proxy. Oil shocks widen credit spreads as default risk increases. Especially relevant for energy-sector issuers in HY indices.</w:t>
            </w:r>
          </w:p>
        </w:tc>
      </w:tr>
      <w:tr w:rsidR="006F5696" w14:paraId="1CDA6B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2FDEC" w14:textId="77777777" w:rsidR="006F5696" w:rsidRDefault="00000000">
            <w:r>
              <w:rPr>
                <w:b/>
                <w:bCs/>
                <w:sz w:val="17"/>
                <w:szCs w:val="17"/>
              </w:rPr>
              <w:t>Gold</w:t>
            </w:r>
          </w:p>
          <w:p w14:paraId="35F40500" w14:textId="77777777" w:rsidR="006F5696" w:rsidRDefault="00000000">
            <w:r>
              <w:rPr>
                <w:i/>
                <w:iCs/>
                <w:color w:val="888888"/>
                <w:sz w:val="15"/>
                <w:szCs w:val="15"/>
              </w:rPr>
              <w:t>Commodities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0A8AA" w14:textId="77777777" w:rsidR="006F5696" w:rsidRDefault="00000000">
            <w:r>
              <w:rPr>
                <w:sz w:val="18"/>
                <w:szCs w:val="18"/>
              </w:rPr>
              <w:t>Kilian &amp; Park (2009) precious metals sector</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36F88" w14:textId="77777777" w:rsidR="006F5696" w:rsidRDefault="00000000">
            <w:r>
              <w:rPr>
                <w:sz w:val="18"/>
                <w:szCs w:val="18"/>
              </w:rPr>
              <w:t>Safe-haven asset. Tests whether investors rotate from equities to gold during oil shocks. Important for portfolio stress test construction.</w:t>
            </w:r>
          </w:p>
        </w:tc>
      </w:tr>
      <w:tr w:rsidR="006F5696" w14:paraId="3E78AE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26B53CB" w14:textId="77777777" w:rsidR="006F5696" w:rsidRDefault="00000000">
            <w:r>
              <w:rPr>
                <w:b/>
                <w:bCs/>
                <w:sz w:val="17"/>
                <w:szCs w:val="17"/>
              </w:rPr>
              <w:t>Industrial Production / ISM</w:t>
            </w:r>
          </w:p>
          <w:p w14:paraId="6A7A4D6A" w14:textId="77777777" w:rsidR="006F5696" w:rsidRDefault="00000000">
            <w:r>
              <w:rPr>
                <w:i/>
                <w:iCs/>
                <w:color w:val="888888"/>
                <w:sz w:val="15"/>
                <w:szCs w:val="15"/>
              </w:rPr>
              <w:t>Macro (Monthly)</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0F8BDF7" w14:textId="77777777" w:rsidR="006F5696" w:rsidRDefault="00000000">
            <w:r>
              <w:rPr>
                <w:sz w:val="18"/>
                <w:szCs w:val="18"/>
              </w:rPr>
              <w:t>Kilian (2009), Hamilton (1983, 2003)</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19C9123" w14:textId="77777777" w:rsidR="006F5696" w:rsidRDefault="00000000">
            <w:r>
              <w:rPr>
                <w:sz w:val="18"/>
                <w:szCs w:val="18"/>
              </w:rPr>
              <w:t>Real activity proxy. Kilian uses global economic activity; your ISM Manufacturing serves a similar role at the U.S. level. Useful for VAR ordering and transmission channel identification.</w:t>
            </w:r>
          </w:p>
        </w:tc>
      </w:tr>
      <w:tr w:rsidR="006F5696" w14:paraId="1DBAA2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A5217" w14:textId="77777777" w:rsidR="006F5696" w:rsidRDefault="00000000">
            <w:r>
              <w:rPr>
                <w:b/>
                <w:bCs/>
                <w:sz w:val="17"/>
                <w:szCs w:val="17"/>
              </w:rPr>
              <w:t>GDP Components</w:t>
            </w:r>
          </w:p>
          <w:p w14:paraId="0ABC190C" w14:textId="77777777" w:rsidR="006F5696" w:rsidRDefault="00000000">
            <w:r>
              <w:rPr>
                <w:i/>
                <w:iCs/>
                <w:color w:val="888888"/>
                <w:sz w:val="15"/>
                <w:szCs w:val="15"/>
              </w:rPr>
              <w:t>Macro (Quarterly)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988EB" w14:textId="77777777" w:rsidR="006F5696" w:rsidRDefault="00000000">
            <w:r>
              <w:rPr>
                <w:sz w:val="18"/>
                <w:szCs w:val="18"/>
              </w:rPr>
              <w:t>Hamilton (1983, 2003), Kilian (2009)</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69BFB" w14:textId="77777777" w:rsidR="006F5696" w:rsidRDefault="00000000">
            <w:r>
              <w:rPr>
                <w:sz w:val="18"/>
                <w:szCs w:val="18"/>
              </w:rPr>
              <w:t>Real economy impact. Consumption and investment components help identify which GDP channel oil shocks operate through (consumer spending vs. business investment).</w:t>
            </w:r>
          </w:p>
        </w:tc>
      </w:tr>
    </w:tbl>
    <w:p w14:paraId="1BF3636A" w14:textId="77777777" w:rsidR="006F5696" w:rsidRDefault="00000000">
      <w:r>
        <w:br w:type="page"/>
      </w:r>
    </w:p>
    <w:p w14:paraId="633991A1" w14:textId="77777777" w:rsidR="006F5696" w:rsidRDefault="00000000">
      <w:pPr>
        <w:pStyle w:val="Titre1"/>
        <w:pBdr>
          <w:bottom w:val="single" w:sz="4" w:space="8" w:color="2E75B6"/>
        </w:pBdr>
      </w:pPr>
      <w:r>
        <w:rPr>
          <w:color w:val="1B3A5C"/>
        </w:rPr>
        <w:lastRenderedPageBreak/>
        <w:t>4. How to Cite in Your Report</w:t>
      </w:r>
    </w:p>
    <w:p w14:paraId="3294A934" w14:textId="77777777" w:rsidR="006F5696" w:rsidRDefault="00000000">
      <w:pPr>
        <w:spacing w:after="120"/>
      </w:pPr>
      <w:r>
        <w:t>Here is where each study fits in your report structure:</w:t>
      </w:r>
    </w:p>
    <w:p w14:paraId="0C2BEFF5" w14:textId="77777777" w:rsidR="006F5696" w:rsidRDefault="006F569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F5696" w14:paraId="5538BE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CA14919" w14:textId="77777777" w:rsidR="006F5696" w:rsidRDefault="00000000">
            <w:r>
              <w:rPr>
                <w:b/>
                <w:bCs/>
                <w:color w:val="FFFFFF"/>
                <w:sz w:val="18"/>
                <w:szCs w:val="18"/>
              </w:rPr>
              <w:t>Report Section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27DF550" w14:textId="77777777" w:rsidR="006F5696" w:rsidRDefault="00000000">
            <w:r>
              <w:rPr>
                <w:b/>
                <w:bCs/>
                <w:color w:val="FFFFFF"/>
                <w:sz w:val="18"/>
                <w:szCs w:val="18"/>
              </w:rPr>
              <w:t>Studies to Cite &amp; How</w:t>
            </w:r>
          </w:p>
        </w:tc>
      </w:tr>
      <w:tr w:rsidR="006F5696" w14:paraId="524CB6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1166E" w14:textId="77777777" w:rsidR="006F5696" w:rsidRDefault="00000000">
            <w:r>
              <w:rPr>
                <w:b/>
                <w:bCs/>
                <w:sz w:val="18"/>
                <w:szCs w:val="18"/>
              </w:rPr>
              <w:t>Introduction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6634F" w14:textId="77777777" w:rsidR="006F5696" w:rsidRDefault="00000000">
            <w:r>
              <w:rPr>
                <w:sz w:val="18"/>
                <w:szCs w:val="18"/>
              </w:rPr>
              <w:t>Hamilton (1983) to motivate the oil-macro link; Kilian (2009) to frame the need for distinguishing shock types; mention recent geopolitical events.</w:t>
            </w:r>
          </w:p>
        </w:tc>
      </w:tr>
      <w:tr w:rsidR="006F5696" w14:paraId="70545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3FD5132" w14:textId="77777777" w:rsidR="006F5696" w:rsidRDefault="00000000">
            <w:r>
              <w:rPr>
                <w:b/>
                <w:bCs/>
                <w:sz w:val="18"/>
                <w:szCs w:val="18"/>
              </w:rPr>
              <w:t>Literature Review</w:t>
            </w:r>
          </w:p>
        </w:tc>
        <w:tc>
          <w:tcPr>
            <w:tcW w:w="7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820E095" w14:textId="77777777" w:rsidR="006F5696" w:rsidRDefault="00000000">
            <w:r>
              <w:rPr>
                <w:sz w:val="18"/>
                <w:szCs w:val="18"/>
              </w:rPr>
              <w:t>All 12 studies. Organize around three threads: (1) Macro transmission: Hamilton (1983, 2003), Mork (1989), Kilian (2009); (2) Stock market effects: Kilian &amp; Park (2009), Sadorsky (1999), Jones &amp; Kaul (1996), Apergis &amp; Miller (2009); (3) Asymmetry &amp; extensions: Alsalman &amp; Herrera (2015), Kang et al. (2016).</w:t>
            </w:r>
          </w:p>
        </w:tc>
      </w:tr>
      <w:tr w:rsidR="006F5696" w14:paraId="323103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82F6C" w14:textId="77777777" w:rsidR="006F5696" w:rsidRDefault="00000000">
            <w:r>
              <w:rPr>
                <w:b/>
                <w:bCs/>
                <w:sz w:val="18"/>
                <w:szCs w:val="18"/>
              </w:rPr>
              <w:t>Data &amp; Variables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02750" w14:textId="77777777" w:rsidR="006F5696" w:rsidRDefault="00000000">
            <w:r>
              <w:rPr>
                <w:sz w:val="18"/>
                <w:szCs w:val="18"/>
              </w:rPr>
              <w:t>Cite Kilian &amp; Park (2009) for variable selection rationale. Cite Degiannakis et al. (2018) survey for data choices.</w:t>
            </w:r>
          </w:p>
        </w:tc>
      </w:tr>
      <w:tr w:rsidR="006F5696" w14:paraId="3B6160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568A44" w14:textId="77777777" w:rsidR="006F5696" w:rsidRDefault="00000000">
            <w:r>
              <w:rPr>
                <w:b/>
                <w:bCs/>
                <w:sz w:val="18"/>
                <w:szCs w:val="18"/>
              </w:rPr>
              <w:t>Methodology</w:t>
            </w:r>
          </w:p>
        </w:tc>
        <w:tc>
          <w:tcPr>
            <w:tcW w:w="7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C030848" w14:textId="77777777" w:rsidR="006F5696" w:rsidRDefault="00000000">
            <w:r>
              <w:rPr>
                <w:sz w:val="18"/>
                <w:szCs w:val="18"/>
              </w:rPr>
              <w:t>Kilian (2009) for SVAR methodology; Mork (1989) and Hamilton (2003) for asymmetry transformation; Apergis &amp; Miller (2009) for cointegration/VECM justification.</w:t>
            </w:r>
          </w:p>
        </w:tc>
      </w:tr>
      <w:tr w:rsidR="006F5696" w14:paraId="1CA06A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9F1EF" w14:textId="77777777" w:rsidR="006F5696" w:rsidRDefault="00000000">
            <w:r>
              <w:rPr>
                <w:b/>
                <w:bCs/>
                <w:sz w:val="18"/>
                <w:szCs w:val="18"/>
              </w:rPr>
              <w:t>Results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102D" w14:textId="77777777" w:rsidR="006F5696" w:rsidRDefault="00000000">
            <w:r>
              <w:rPr>
                <w:sz w:val="18"/>
                <w:szCs w:val="18"/>
              </w:rPr>
              <w:t>Compare your IRF shapes and FEVD magnitudes against Kilian &amp; Park (2009), Sadorsky (1999), and Alsalman &amp; Herrera (2015). Note any deviations and explain them.</w:t>
            </w:r>
          </w:p>
        </w:tc>
      </w:tr>
      <w:tr w:rsidR="006F5696" w14:paraId="3FCEC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125C6F8" w14:textId="77777777" w:rsidR="006F5696" w:rsidRDefault="00000000">
            <w:r>
              <w:rPr>
                <w:b/>
                <w:bCs/>
                <w:sz w:val="18"/>
                <w:szCs w:val="18"/>
              </w:rPr>
              <w:t>Portfolio Stress Test</w:t>
            </w:r>
          </w:p>
        </w:tc>
        <w:tc>
          <w:tcPr>
            <w:tcW w:w="73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14F0710" w14:textId="77777777" w:rsidR="006F5696" w:rsidRDefault="00000000">
            <w:r>
              <w:rPr>
                <w:sz w:val="18"/>
                <w:szCs w:val="18"/>
              </w:rPr>
              <w:t>Cite Kilian &amp; Park (2009) industry-level analysis as precedent for sector-differentiated portfolio construction.</w:t>
            </w:r>
          </w:p>
        </w:tc>
      </w:tr>
      <w:tr w:rsidR="006F5696" w14:paraId="0FAC39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F99B1" w14:textId="77777777" w:rsidR="006F5696" w:rsidRDefault="00000000">
            <w:r>
              <w:rPr>
                <w:b/>
                <w:bCs/>
                <w:sz w:val="18"/>
                <w:szCs w:val="18"/>
              </w:rPr>
              <w:t>Limitations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80673" w14:textId="77777777" w:rsidR="006F5696" w:rsidRDefault="00000000">
            <w:r>
              <w:rPr>
                <w:sz w:val="18"/>
                <w:szCs w:val="18"/>
              </w:rPr>
              <w:t>Cite Bastianin &amp; Manera (2018) to acknowledge you cannot model volatility without GARCH. Cite Alsalman &amp; Herrera (2015) on the difficulty of establishing asymmetry statistically.</w:t>
            </w:r>
          </w:p>
        </w:tc>
      </w:tr>
    </w:tbl>
    <w:p w14:paraId="5D3526E2" w14:textId="77777777" w:rsidR="006F5696" w:rsidRDefault="006F5696">
      <w:pPr>
        <w:spacing w:before="600"/>
      </w:pPr>
    </w:p>
    <w:p w14:paraId="5B218424" w14:textId="77777777" w:rsidR="006F5696" w:rsidRDefault="00000000">
      <w:pPr>
        <w:pBdr>
          <w:top w:val="single" w:sz="2" w:space="8" w:color="CCCCCC"/>
        </w:pBdr>
        <w:spacing w:before="200"/>
      </w:pPr>
      <w:r>
        <w:rPr>
          <w:i/>
          <w:iCs/>
          <w:color w:val="888888"/>
          <w:sz w:val="17"/>
          <w:szCs w:val="17"/>
        </w:rPr>
        <w:t>Note: All URLs were verified as of March 2026. Some journal articles may require institutional access. The EIA working paper (Degiannakis et al., 2018) and Hamilton's working papers are freely available as PDFs.</w:t>
      </w:r>
    </w:p>
    <w:sectPr w:rsidR="006F5696">
      <w:headerReference w:type="default" r:id="rId27"/>
      <w:footerReference w:type="default" r:id="rId2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884DE" w14:textId="77777777" w:rsidR="00AF6F22" w:rsidRDefault="00AF6F22">
      <w:r>
        <w:separator/>
      </w:r>
    </w:p>
  </w:endnote>
  <w:endnote w:type="continuationSeparator" w:id="0">
    <w:p w14:paraId="11BF269B" w14:textId="77777777" w:rsidR="00AF6F22" w:rsidRDefault="00AF6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40CC" w14:textId="77777777" w:rsidR="006F5696" w:rsidRDefault="00000000">
    <w:pPr>
      <w:pBdr>
        <w:top w:val="single" w:sz="1"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4C4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E50A" w14:textId="77777777" w:rsidR="00AF6F22" w:rsidRDefault="00AF6F22">
      <w:r>
        <w:separator/>
      </w:r>
    </w:p>
  </w:footnote>
  <w:footnote w:type="continuationSeparator" w:id="0">
    <w:p w14:paraId="1436B639" w14:textId="77777777" w:rsidR="00AF6F22" w:rsidRDefault="00AF6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A58A" w14:textId="77777777" w:rsidR="006F5696" w:rsidRDefault="00000000">
    <w:pPr>
      <w:pBdr>
        <w:bottom w:val="single" w:sz="2" w:space="4" w:color="2E75B6"/>
      </w:pBdr>
      <w:jc w:val="right"/>
    </w:pPr>
    <w:r>
      <w:rPr>
        <w:i/>
        <w:iCs/>
        <w:color w:val="888888"/>
        <w:sz w:val="16"/>
        <w:szCs w:val="16"/>
      </w:rPr>
      <w:t>EMIF Project — Literature &amp; GitHub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03955"/>
    <w:multiLevelType w:val="hybridMultilevel"/>
    <w:tmpl w:val="49D27BE0"/>
    <w:lvl w:ilvl="0" w:tplc="DBE0B066">
      <w:start w:val="1"/>
      <w:numFmt w:val="bullet"/>
      <w:lvlText w:val="●"/>
      <w:lvlJc w:val="left"/>
      <w:pPr>
        <w:ind w:left="720" w:hanging="360"/>
      </w:pPr>
    </w:lvl>
    <w:lvl w:ilvl="1" w:tplc="ED7C2C40">
      <w:start w:val="1"/>
      <w:numFmt w:val="bullet"/>
      <w:lvlText w:val="○"/>
      <w:lvlJc w:val="left"/>
      <w:pPr>
        <w:ind w:left="1440" w:hanging="360"/>
      </w:pPr>
    </w:lvl>
    <w:lvl w:ilvl="2" w:tplc="21505A3A">
      <w:start w:val="1"/>
      <w:numFmt w:val="bullet"/>
      <w:lvlText w:val="■"/>
      <w:lvlJc w:val="left"/>
      <w:pPr>
        <w:ind w:left="2160" w:hanging="360"/>
      </w:pPr>
    </w:lvl>
    <w:lvl w:ilvl="3" w:tplc="E0EC495E">
      <w:start w:val="1"/>
      <w:numFmt w:val="bullet"/>
      <w:lvlText w:val="●"/>
      <w:lvlJc w:val="left"/>
      <w:pPr>
        <w:ind w:left="2880" w:hanging="360"/>
      </w:pPr>
    </w:lvl>
    <w:lvl w:ilvl="4" w:tplc="294CD00E">
      <w:start w:val="1"/>
      <w:numFmt w:val="bullet"/>
      <w:lvlText w:val="○"/>
      <w:lvlJc w:val="left"/>
      <w:pPr>
        <w:ind w:left="3600" w:hanging="360"/>
      </w:pPr>
    </w:lvl>
    <w:lvl w:ilvl="5" w:tplc="574C9280">
      <w:start w:val="1"/>
      <w:numFmt w:val="bullet"/>
      <w:lvlText w:val="■"/>
      <w:lvlJc w:val="left"/>
      <w:pPr>
        <w:ind w:left="4320" w:hanging="360"/>
      </w:pPr>
    </w:lvl>
    <w:lvl w:ilvl="6" w:tplc="E59406FE">
      <w:start w:val="1"/>
      <w:numFmt w:val="bullet"/>
      <w:lvlText w:val="●"/>
      <w:lvlJc w:val="left"/>
      <w:pPr>
        <w:ind w:left="5040" w:hanging="360"/>
      </w:pPr>
    </w:lvl>
    <w:lvl w:ilvl="7" w:tplc="7D081B28">
      <w:start w:val="1"/>
      <w:numFmt w:val="bullet"/>
      <w:lvlText w:val="●"/>
      <w:lvlJc w:val="left"/>
      <w:pPr>
        <w:ind w:left="5760" w:hanging="360"/>
      </w:pPr>
    </w:lvl>
    <w:lvl w:ilvl="8" w:tplc="2EF01E52">
      <w:start w:val="1"/>
      <w:numFmt w:val="bullet"/>
      <w:lvlText w:val="●"/>
      <w:lvlJc w:val="left"/>
      <w:pPr>
        <w:ind w:left="6480" w:hanging="360"/>
      </w:pPr>
    </w:lvl>
  </w:abstractNum>
  <w:num w:numId="1" w16cid:durableId="511913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96"/>
    <w:rsid w:val="005828EC"/>
    <w:rsid w:val="006F5696"/>
    <w:rsid w:val="00AF6F22"/>
    <w:rsid w:val="00FC4C4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51BEA6EE"/>
  <w15:docId w15:val="{31402A97-55C5-EC4E-B71B-D64D5C41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CH"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sz w:val="32"/>
      <w:szCs w:val="32"/>
    </w:rPr>
  </w:style>
  <w:style w:type="paragraph" w:styleId="Titre2">
    <w:name w:val="heading 2"/>
    <w:uiPriority w:val="9"/>
    <w:unhideWhenUsed/>
    <w:qFormat/>
    <w:pPr>
      <w:spacing w:before="280" w:after="14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j.1468-2354.2009.00568.x" TargetMode="External"/><Relationship Id="rId13" Type="http://schemas.openxmlformats.org/officeDocument/2006/relationships/hyperlink" Target="https://www.sciencedirect.com/science/article/abs/pii/S0140988399000201" TargetMode="External"/><Relationship Id="rId18" Type="http://schemas.openxmlformats.org/officeDocument/2006/relationships/hyperlink" Target="https://journals.sagepub.com/doi/10.5547/01956574.36.3.zals" TargetMode="External"/><Relationship Id="rId26" Type="http://schemas.openxmlformats.org/officeDocument/2006/relationships/hyperlink" Target="https://github.com/AJ2401/Financial-Data-Analytics-and-Forecasting-Models" TargetMode="External"/><Relationship Id="rId3" Type="http://schemas.openxmlformats.org/officeDocument/2006/relationships/settings" Target="settings.xml"/><Relationship Id="rId21" Type="http://schemas.openxmlformats.org/officeDocument/2006/relationships/hyperlink" Target="https://github.com/evgeniya1/crude_oil_price_prediction" TargetMode="External"/><Relationship Id="rId7" Type="http://schemas.openxmlformats.org/officeDocument/2006/relationships/hyperlink" Target="https://www.aeaweb.org/articles?id=10.1257/aer.99.3.1053" TargetMode="External"/><Relationship Id="rId12" Type="http://schemas.openxmlformats.org/officeDocument/2006/relationships/hyperlink" Target="https://www.sciencedirect.com/science/article/pii/S0140988309000139" TargetMode="External"/><Relationship Id="rId17" Type="http://schemas.openxmlformats.org/officeDocument/2006/relationships/hyperlink" Target="https://www.sciencedirect.com/science/article/pii/S0165176516302105" TargetMode="External"/><Relationship Id="rId25" Type="http://schemas.openxmlformats.org/officeDocument/2006/relationships/hyperlink" Target="https://github.com/ilitzkyd/Stock-Market-Analysis" TargetMode="External"/><Relationship Id="rId2" Type="http://schemas.openxmlformats.org/officeDocument/2006/relationships/styles" Target="styles.xml"/><Relationship Id="rId16" Type="http://schemas.openxmlformats.org/officeDocument/2006/relationships/hyperlink" Target="https://doi.org/10.1017/S1365100516000353" TargetMode="External"/><Relationship Id="rId20" Type="http://schemas.openxmlformats.org/officeDocument/2006/relationships/hyperlink" Target="https://github.com/richryan/jcre-oi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stor.org/stable/1832055" TargetMode="External"/><Relationship Id="rId24" Type="http://schemas.openxmlformats.org/officeDocument/2006/relationships/hyperlink" Target="https://mcherculano.github.io/docs/Primer_on_VARs.html" TargetMode="External"/><Relationship Id="rId5" Type="http://schemas.openxmlformats.org/officeDocument/2006/relationships/footnotes" Target="footnotes.xml"/><Relationship Id="rId15" Type="http://schemas.openxmlformats.org/officeDocument/2006/relationships/hyperlink" Target="https://www.eia.gov/workingpapers/pdf/oil_prices_stockmarkets.pdf" TargetMode="External"/><Relationship Id="rId23" Type="http://schemas.openxmlformats.org/officeDocument/2006/relationships/hyperlink" Target="https://github.com/pythonbravo/oil_price" TargetMode="External"/><Relationship Id="rId28" Type="http://schemas.openxmlformats.org/officeDocument/2006/relationships/footer" Target="footer1.xml"/><Relationship Id="rId10" Type="http://schemas.openxmlformats.org/officeDocument/2006/relationships/hyperlink" Target="https://ideas.repec.org/a/ucp/jpolec/v97y1989i3p740-44.html" TargetMode="External"/><Relationship Id="rId19" Type="http://schemas.openxmlformats.org/officeDocument/2006/relationships/hyperlink" Target="https://github.com/mauep2025/Global-Oil-Market" TargetMode="External"/><Relationship Id="rId4" Type="http://schemas.openxmlformats.org/officeDocument/2006/relationships/webSettings" Target="webSettings.xml"/><Relationship Id="rId9" Type="http://schemas.openxmlformats.org/officeDocument/2006/relationships/hyperlink" Target="https://econweb.ucsd.edu/~jhamilto/oil.pdf" TargetMode="External"/><Relationship Id="rId14" Type="http://schemas.openxmlformats.org/officeDocument/2006/relationships/hyperlink" Target="https://www.jstor.org/stable/2329368" TargetMode="External"/><Relationship Id="rId22" Type="http://schemas.openxmlformats.org/officeDocument/2006/relationships/hyperlink" Target="https://github.com/LNshuti/oil-price-dashboard"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2656</Words>
  <Characters>14614</Characters>
  <Application>Microsoft Office Word</Application>
  <DocSecurity>0</DocSecurity>
  <Lines>121</Lines>
  <Paragraphs>34</Paragraphs>
  <ScaleCrop>false</ScaleCrop>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Machado Cerqueira</cp:lastModifiedBy>
  <cp:revision>2</cp:revision>
  <dcterms:created xsi:type="dcterms:W3CDTF">2026-03-26T08:36:00Z</dcterms:created>
  <dcterms:modified xsi:type="dcterms:W3CDTF">2026-03-26T08:36:00Z</dcterms:modified>
</cp:coreProperties>
</file>