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p>
    <w:p>
      <w:pPr>
        <w:spacing w:before="0" w:after="0" w:line="276" w:lineRule="auto"/>
      </w:pPr>
      <w:r/>
    </w:p>
    <w:p>
      <w:pPr>
        <w:spacing w:before="720" w:after="160" w:line="276" w:lineRule="auto"/>
        <w:jc w:val="center"/>
      </w:pPr>
      <w:r>
        <w:drawing>
          <wp:inline xmlns:a="http://schemas.openxmlformats.org/drawingml/2006/main" xmlns:pic="http://schemas.openxmlformats.org/drawingml/2006/picture">
            <wp:extent cx="2286000" cy="1274713"/>
            <wp:docPr id="1" name="Picture 1"/>
            <wp:cNvGraphicFramePr>
              <a:graphicFrameLocks noChangeAspect="1"/>
            </wp:cNvGraphicFramePr>
            <a:graphic>
              <a:graphicData uri="http://schemas.openxmlformats.org/drawingml/2006/picture">
                <pic:pic>
                  <pic:nvPicPr>
                    <pic:cNvPr id="0" name="ezfi-logo.png"/>
                    <pic:cNvPicPr/>
                  </pic:nvPicPr>
                  <pic:blipFill>
                    <a:blip r:embed="rId13"/>
                    <a:stretch>
                      <a:fillRect/>
                    </a:stretch>
                  </pic:blipFill>
                  <pic:spPr>
                    <a:xfrm>
                      <a:off x="0" y="0"/>
                      <a:ext cx="2286000" cy="1274713"/>
                    </a:xfrm>
                    <a:prstGeom prst="rect"/>
                  </pic:spPr>
                </pic:pic>
              </a:graphicData>
            </a:graphic>
          </wp:inline>
        </w:drawing>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3360"/>
        <w:gridCol w:w="3360"/>
        <w:gridCol w:w="3360"/>
      </w:tblGrid>
      <w:tr>
        <w:tc>
          <w:tcPr>
            <w:tcW w:type="dxa" w:w="3528"/>
          </w:tcPr>
          <w:p/>
        </w:tc>
        <w:tc>
          <w:tcPr>
            <w:tcW w:type="dxa" w:w="2592"/>
            <w:shd w:fill="1E73E8" w:val="clear"/>
            <w:tcBorders>
              <w:top w:val="single" w:sz="2" w:color="1E73E8"/>
              <w:left w:val="single" w:sz="2" w:color="1E73E8"/>
              <w:bottom w:val="single" w:sz="2" w:color="1E73E8"/>
              <w:right w:val="single" w:sz="2" w:color="1E73E8"/>
            </w:tcBorders>
          </w:tcPr>
          <w:p>
            <w:pPr>
              <w:spacing w:before="20" w:after="20" w:line="276" w:lineRule="auto"/>
            </w:pPr>
            <w:r>
              <w:rPr>
                <w:rFonts w:ascii="Calibri" w:hAnsi="Calibri" w:eastAsia="Calibri"/>
                <w:b w:val="0"/>
                <w:color w:val="1A1A1A"/>
                <w:sz w:val="2"/>
              </w:rPr>
              <w:t xml:space="preserve"> </w:t>
            </w:r>
          </w:p>
        </w:tc>
        <w:tc>
          <w:tcPr>
            <w:tcW w:type="dxa" w:w="3528"/>
          </w:tcPr>
          <w:p/>
        </w:tc>
      </w:tr>
    </w:tbl>
    <w:p>
      <w:pPr>
        <w:spacing w:before="240" w:after="80" w:line="276" w:lineRule="auto"/>
      </w:pPr>
    </w:p>
    <w:p>
      <w:pPr>
        <w:spacing w:before="160" w:after="160" w:line="276" w:lineRule="auto"/>
        <w:jc w:val="center"/>
      </w:pPr>
      <w:r>
        <w:rPr>
          <w:rFonts w:ascii="Calibri" w:hAnsi="Calibri" w:eastAsia="Calibri"/>
          <w:b/>
          <w:color w:val="0F4CA8"/>
          <w:sz w:val="40"/>
        </w:rPr>
        <w:t>AI-Powered Insurance Verification</w:t>
        <w:br/>
        <w:t>&amp; Revenue Cycle Automation Platform</w:t>
      </w:r>
    </w:p>
    <w:p>
      <w:pPr>
        <w:spacing w:before="80" w:after="200" w:line="276" w:lineRule="auto"/>
        <w:jc w:val="center"/>
      </w:pPr>
      <w:r>
        <w:rPr>
          <w:rFonts w:ascii="Calibri" w:hAnsi="Calibri" w:eastAsia="Calibri"/>
          <w:b w:val="0"/>
          <w:color w:val="5A6A7A"/>
          <w:sz w:val="26"/>
        </w:rPr>
        <w:t>Enterprise Automation for Modern Dental Organizations</w:t>
      </w:r>
    </w:p>
    <w:tbl>
      <w:tblPr>
        <w:tblW w:type="auto" w:w="0"/>
        <w:jc w:val="center"/>
        <w:tblLook w:firstColumn="1" w:firstRow="1" w:lastColumn="0" w:lastRow="0" w:noHBand="0" w:noVBand="1" w:val="04A0"/>
      </w:tblPr>
      <w:tblGrid>
        <w:gridCol w:w="10080"/>
      </w:tblGrid>
      <w:tr>
        <w:tc>
          <w:tcPr>
            <w:tcW w:type="dxa" w:w="10080"/>
            <w:shd w:fill="F2F5F8" w:val="clear"/>
            <w:tcBorders>
              <w:top w:val="single" w:sz="4" w:color="D0D7DE"/>
              <w:left w:val="single" w:sz="4" w:color="D0D7DE"/>
              <w:bottom w:val="single" w:sz="4" w:color="D0D7DE"/>
              <w:right w:val="single" w:sz="4" w:color="D0D7DE"/>
            </w:tcBorders>
          </w:tcPr>
          <w:p>
            <w:pPr>
              <w:spacing w:before="120" w:after="120" w:line="276" w:lineRule="auto"/>
              <w:jc w:val="center"/>
            </w:pPr>
            <w:r>
              <w:rPr>
                <w:rFonts w:ascii="Calibri" w:hAnsi="Calibri" w:eastAsia="Calibri"/>
                <w:b w:val="0"/>
                <w:color w:val="2B6CB0"/>
                <w:sz w:val="19"/>
              </w:rPr>
              <w:t>Eligibility Verification  ·  OpenDental Writeback  ·  Voice AI  ·  RCM Roadmap</w:t>
            </w:r>
          </w:p>
        </w:tc>
      </w:tr>
    </w:tbl>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80" w:line="276" w:lineRule="auto"/>
        <w:jc w:val="center"/>
      </w:pPr>
      <w:r>
        <w:rPr>
          <w:rFonts w:ascii="Calibri" w:hAnsi="Calibri" w:eastAsia="Calibri"/>
          <w:b w:val="0"/>
          <w:color w:val="5A6A7A"/>
          <w:sz w:val="20"/>
        </w:rPr>
        <w:t>Prepared for DSOs  ·  Enterprise Dental Groups  ·  Practice Owners</w:t>
        <w:br/>
        <w:t>Investors  ·  Strategic Technology Partners</w:t>
      </w:r>
    </w:p>
    <w:p>
      <w:pPr>
        <w:spacing w:before="320" w:after="0" w:line="276" w:lineRule="auto"/>
        <w:jc w:val="center"/>
      </w:pPr>
      <w:r>
        <w:rPr>
          <w:rFonts w:ascii="Calibri" w:hAnsi="Calibri" w:eastAsia="Calibri"/>
          <w:b/>
          <w:color w:val="1E73E8"/>
          <w:sz w:val="22"/>
        </w:rPr>
        <w:t>Powered by Smile Suites</w:t>
      </w:r>
    </w:p>
    <w:p>
      <w:pPr>
        <w:spacing w:before="80" w:after="0" w:line="276" w:lineRule="auto"/>
        <w:jc w:val="center"/>
      </w:pPr>
      <w:r>
        <w:rPr>
          <w:rFonts w:ascii="Calibri" w:hAnsi="Calibri" w:eastAsia="Calibri"/>
          <w:b w:val="0"/>
          <w:color w:val="5A6A7A"/>
          <w:sz w:val="18"/>
        </w:rPr>
        <w:t>Executive Product Overview  ·  Confidential</w:t>
      </w:r>
    </w:p>
    <w:p>
      <w:r>
        <w:br w:type="page"/>
      </w:r>
    </w:p>
    <w:p>
      <w:pPr>
        <w:spacing w:before="240" w:after="80" w:line="276" w:lineRule="auto"/>
        <w:pBdr>
          <w:bottom w:val="single" w:sz="14" w:space="1" w:color="1E73E8"/>
        </w:pBdr>
      </w:pPr>
      <w:r>
        <w:rPr>
          <w:rFonts w:ascii="Calibri" w:hAnsi="Calibri" w:eastAsia="Calibri"/>
          <w:b/>
          <w:color w:val="0F4CA8"/>
          <w:sz w:val="32"/>
        </w:rPr>
        <w:t>Contents</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5040"/>
        <w:gridCol w:w="5040"/>
      </w:tblGrid>
      <w:tr>
        <w:tc>
          <w:tcPr>
            <w:tcW w:type="dxa" w:w="792"/>
            <w:shd w:fill="E8F1FC" w:val="clear"/>
          </w:tcPr>
          <w:p>
            <w:pPr>
              <w:spacing w:before="60" w:after="60" w:line="276" w:lineRule="auto"/>
            </w:pPr>
            <w:r>
              <w:rPr>
                <w:rFonts w:ascii="Calibri" w:hAnsi="Calibri" w:eastAsia="Calibri"/>
                <w:b/>
                <w:color w:val="1E73E8"/>
                <w:sz w:val="20"/>
              </w:rPr>
              <w:t>01</w:t>
            </w:r>
          </w:p>
        </w:tc>
        <w:tc>
          <w:tcPr>
            <w:tcW w:type="dxa" w:w="8640"/>
            <w:shd w:fill="E8F1FC" w:val="clear"/>
          </w:tcPr>
          <w:p>
            <w:pPr>
              <w:spacing w:before="60" w:after="60" w:line="276" w:lineRule="auto"/>
            </w:pPr>
            <w:r>
              <w:rPr>
                <w:rFonts w:ascii="Calibri" w:hAnsi="Calibri" w:eastAsia="Calibri"/>
                <w:b w:val="0"/>
                <w:color w:val="1A1A1A"/>
                <w:sz w:val="21"/>
              </w:rPr>
              <w:t>Executive Summary</w:t>
            </w:r>
          </w:p>
        </w:tc>
      </w:tr>
      <w:tr>
        <w:tc>
          <w:tcPr>
            <w:tcW w:type="dxa" w:w="792"/>
          </w:tcPr>
          <w:p>
            <w:pPr>
              <w:spacing w:before="60" w:after="60" w:line="276" w:lineRule="auto"/>
            </w:pPr>
            <w:r>
              <w:rPr>
                <w:rFonts w:ascii="Calibri" w:hAnsi="Calibri" w:eastAsia="Calibri"/>
                <w:b/>
                <w:color w:val="1E73E8"/>
                <w:sz w:val="20"/>
              </w:rPr>
              <w:t>02</w:t>
            </w:r>
          </w:p>
        </w:tc>
        <w:tc>
          <w:tcPr>
            <w:tcW w:type="dxa" w:w="8640"/>
          </w:tcPr>
          <w:p>
            <w:pPr>
              <w:spacing w:before="60" w:after="60" w:line="276" w:lineRule="auto"/>
            </w:pPr>
            <w:r>
              <w:rPr>
                <w:rFonts w:ascii="Calibri" w:hAnsi="Calibri" w:eastAsia="Calibri"/>
                <w:b w:val="0"/>
                <w:color w:val="1A1A1A"/>
                <w:sz w:val="21"/>
              </w:rPr>
              <w:t>Why Insurance Verification Matters</w:t>
            </w:r>
          </w:p>
        </w:tc>
      </w:tr>
      <w:tr>
        <w:tc>
          <w:tcPr>
            <w:tcW w:type="dxa" w:w="792"/>
            <w:shd w:fill="E8F1FC" w:val="clear"/>
          </w:tcPr>
          <w:p>
            <w:pPr>
              <w:spacing w:before="60" w:after="60" w:line="276" w:lineRule="auto"/>
            </w:pPr>
            <w:r>
              <w:rPr>
                <w:rFonts w:ascii="Calibri" w:hAnsi="Calibri" w:eastAsia="Calibri"/>
                <w:b/>
                <w:color w:val="1E73E8"/>
                <w:sz w:val="20"/>
              </w:rPr>
              <w:t>03</w:t>
            </w:r>
          </w:p>
        </w:tc>
        <w:tc>
          <w:tcPr>
            <w:tcW w:type="dxa" w:w="8640"/>
            <w:shd w:fill="E8F1FC" w:val="clear"/>
          </w:tcPr>
          <w:p>
            <w:pPr>
              <w:spacing w:before="60" w:after="60" w:line="276" w:lineRule="auto"/>
            </w:pPr>
            <w:r>
              <w:rPr>
                <w:rFonts w:ascii="Calibri" w:hAnsi="Calibri" w:eastAsia="Calibri"/>
                <w:b w:val="0"/>
                <w:color w:val="1A1A1A"/>
                <w:sz w:val="21"/>
              </w:rPr>
              <w:t>ezFi Platform Overview</w:t>
            </w:r>
          </w:p>
        </w:tc>
      </w:tr>
      <w:tr>
        <w:tc>
          <w:tcPr>
            <w:tcW w:type="dxa" w:w="792"/>
          </w:tcPr>
          <w:p>
            <w:pPr>
              <w:spacing w:before="60" w:after="60" w:line="276" w:lineRule="auto"/>
            </w:pPr>
            <w:r>
              <w:rPr>
                <w:rFonts w:ascii="Calibri" w:hAnsi="Calibri" w:eastAsia="Calibri"/>
                <w:b/>
                <w:color w:val="1E73E8"/>
                <w:sz w:val="20"/>
              </w:rPr>
              <w:t>04</w:t>
            </w:r>
          </w:p>
        </w:tc>
        <w:tc>
          <w:tcPr>
            <w:tcW w:type="dxa" w:w="8640"/>
          </w:tcPr>
          <w:p>
            <w:pPr>
              <w:spacing w:before="60" w:after="60" w:line="276" w:lineRule="auto"/>
            </w:pPr>
            <w:r>
              <w:rPr>
                <w:rFonts w:ascii="Calibri" w:hAnsi="Calibri" w:eastAsia="Calibri"/>
                <w:b w:val="0"/>
                <w:color w:val="1A1A1A"/>
                <w:sz w:val="21"/>
              </w:rPr>
              <w:t>Eligibility Verification</w:t>
            </w:r>
          </w:p>
        </w:tc>
      </w:tr>
      <w:tr>
        <w:tc>
          <w:tcPr>
            <w:tcW w:type="dxa" w:w="792"/>
            <w:shd w:fill="E8F1FC" w:val="clear"/>
          </w:tcPr>
          <w:p>
            <w:pPr>
              <w:spacing w:before="60" w:after="60" w:line="276" w:lineRule="auto"/>
            </w:pPr>
            <w:r>
              <w:rPr>
                <w:rFonts w:ascii="Calibri" w:hAnsi="Calibri" w:eastAsia="Calibri"/>
                <w:b/>
                <w:color w:val="1E73E8"/>
                <w:sz w:val="20"/>
              </w:rPr>
              <w:t>05</w:t>
            </w:r>
          </w:p>
        </w:tc>
        <w:tc>
          <w:tcPr>
            <w:tcW w:type="dxa" w:w="8640"/>
            <w:shd w:fill="E8F1FC" w:val="clear"/>
          </w:tcPr>
          <w:p>
            <w:pPr>
              <w:spacing w:before="60" w:after="60" w:line="276" w:lineRule="auto"/>
            </w:pPr>
            <w:r>
              <w:rPr>
                <w:rFonts w:ascii="Calibri" w:hAnsi="Calibri" w:eastAsia="Calibri"/>
                <w:b w:val="0"/>
                <w:color w:val="1A1A1A"/>
                <w:sz w:val="21"/>
              </w:rPr>
              <w:t>Specialist-Level Verification of Benefits</w:t>
            </w:r>
          </w:p>
        </w:tc>
      </w:tr>
      <w:tr>
        <w:tc>
          <w:tcPr>
            <w:tcW w:type="dxa" w:w="792"/>
          </w:tcPr>
          <w:p>
            <w:pPr>
              <w:spacing w:before="60" w:after="60" w:line="276" w:lineRule="auto"/>
            </w:pPr>
            <w:r>
              <w:rPr>
                <w:rFonts w:ascii="Calibri" w:hAnsi="Calibri" w:eastAsia="Calibri"/>
                <w:b/>
                <w:color w:val="1E73E8"/>
                <w:sz w:val="20"/>
              </w:rPr>
              <w:t>06</w:t>
            </w:r>
          </w:p>
        </w:tc>
        <w:tc>
          <w:tcPr>
            <w:tcW w:type="dxa" w:w="8640"/>
          </w:tcPr>
          <w:p>
            <w:pPr>
              <w:spacing w:before="60" w:after="60" w:line="276" w:lineRule="auto"/>
            </w:pPr>
            <w:r>
              <w:rPr>
                <w:rFonts w:ascii="Calibri" w:hAnsi="Calibri" w:eastAsia="Calibri"/>
                <w:b w:val="0"/>
                <w:color w:val="1A1A1A"/>
                <w:sz w:val="21"/>
              </w:rPr>
              <w:t>OpenDental Writeback</w:t>
            </w:r>
          </w:p>
        </w:tc>
      </w:tr>
      <w:tr>
        <w:tc>
          <w:tcPr>
            <w:tcW w:type="dxa" w:w="792"/>
            <w:shd w:fill="E8F1FC" w:val="clear"/>
          </w:tcPr>
          <w:p>
            <w:pPr>
              <w:spacing w:before="60" w:after="60" w:line="276" w:lineRule="auto"/>
            </w:pPr>
            <w:r>
              <w:rPr>
                <w:rFonts w:ascii="Calibri" w:hAnsi="Calibri" w:eastAsia="Calibri"/>
                <w:b/>
                <w:color w:val="1E73E8"/>
                <w:sz w:val="20"/>
              </w:rPr>
              <w:t>07</w:t>
            </w:r>
          </w:p>
        </w:tc>
        <w:tc>
          <w:tcPr>
            <w:tcW w:type="dxa" w:w="8640"/>
            <w:shd w:fill="E8F1FC" w:val="clear"/>
          </w:tcPr>
          <w:p>
            <w:pPr>
              <w:spacing w:before="60" w:after="60" w:line="276" w:lineRule="auto"/>
            </w:pPr>
            <w:r>
              <w:rPr>
                <w:rFonts w:ascii="Calibri" w:hAnsi="Calibri" w:eastAsia="Calibri"/>
                <w:b w:val="0"/>
                <w:color w:val="1A1A1A"/>
                <w:sz w:val="21"/>
              </w:rPr>
              <w:t>Safety &amp; Data Integrity</w:t>
            </w:r>
          </w:p>
        </w:tc>
      </w:tr>
      <w:tr>
        <w:tc>
          <w:tcPr>
            <w:tcW w:type="dxa" w:w="792"/>
          </w:tcPr>
          <w:p>
            <w:pPr>
              <w:spacing w:before="60" w:after="60" w:line="276" w:lineRule="auto"/>
            </w:pPr>
            <w:r>
              <w:rPr>
                <w:rFonts w:ascii="Calibri" w:hAnsi="Calibri" w:eastAsia="Calibri"/>
                <w:b/>
                <w:color w:val="1E73E8"/>
                <w:sz w:val="20"/>
              </w:rPr>
              <w:t>08</w:t>
            </w:r>
          </w:p>
        </w:tc>
        <w:tc>
          <w:tcPr>
            <w:tcW w:type="dxa" w:w="8640"/>
          </w:tcPr>
          <w:p>
            <w:pPr>
              <w:spacing w:before="60" w:after="60" w:line="276" w:lineRule="auto"/>
            </w:pPr>
            <w:r>
              <w:rPr>
                <w:rFonts w:ascii="Calibri" w:hAnsi="Calibri" w:eastAsia="Calibri"/>
                <w:b w:val="0"/>
                <w:color w:val="1A1A1A"/>
                <w:sz w:val="21"/>
              </w:rPr>
              <w:t>Voice Verification</w:t>
            </w:r>
          </w:p>
        </w:tc>
      </w:tr>
      <w:tr>
        <w:tc>
          <w:tcPr>
            <w:tcW w:type="dxa" w:w="792"/>
            <w:shd w:fill="E8F1FC" w:val="clear"/>
          </w:tcPr>
          <w:p>
            <w:pPr>
              <w:spacing w:before="60" w:after="60" w:line="276" w:lineRule="auto"/>
            </w:pPr>
            <w:r>
              <w:rPr>
                <w:rFonts w:ascii="Calibri" w:hAnsi="Calibri" w:eastAsia="Calibri"/>
                <w:b/>
                <w:color w:val="1E73E8"/>
                <w:sz w:val="20"/>
              </w:rPr>
              <w:t>09</w:t>
            </w:r>
          </w:p>
        </w:tc>
        <w:tc>
          <w:tcPr>
            <w:tcW w:type="dxa" w:w="8640"/>
            <w:shd w:fill="E8F1FC" w:val="clear"/>
          </w:tcPr>
          <w:p>
            <w:pPr>
              <w:spacing w:before="60" w:after="60" w:line="276" w:lineRule="auto"/>
            </w:pPr>
            <w:r>
              <w:rPr>
                <w:rFonts w:ascii="Calibri" w:hAnsi="Calibri" w:eastAsia="Calibri"/>
                <w:b w:val="0"/>
                <w:color w:val="1A1A1A"/>
                <w:sz w:val="21"/>
              </w:rPr>
              <w:t>Future Revenue Cycle Roadmap</w:t>
            </w:r>
          </w:p>
        </w:tc>
      </w:tr>
      <w:tr>
        <w:tc>
          <w:tcPr>
            <w:tcW w:type="dxa" w:w="792"/>
          </w:tcPr>
          <w:p>
            <w:pPr>
              <w:spacing w:before="60" w:after="60" w:line="276" w:lineRule="auto"/>
            </w:pPr>
            <w:r>
              <w:rPr>
                <w:rFonts w:ascii="Calibri" w:hAnsi="Calibri" w:eastAsia="Calibri"/>
                <w:b/>
                <w:color w:val="1E73E8"/>
                <w:sz w:val="20"/>
              </w:rPr>
              <w:t>10</w:t>
            </w:r>
          </w:p>
        </w:tc>
        <w:tc>
          <w:tcPr>
            <w:tcW w:type="dxa" w:w="8640"/>
          </w:tcPr>
          <w:p>
            <w:pPr>
              <w:spacing w:before="60" w:after="60" w:line="276" w:lineRule="auto"/>
            </w:pPr>
            <w:r>
              <w:rPr>
                <w:rFonts w:ascii="Calibri" w:hAnsi="Calibri" w:eastAsia="Calibri"/>
                <w:b w:val="0"/>
                <w:color w:val="1A1A1A"/>
                <w:sz w:val="21"/>
              </w:rPr>
              <w:t>EOB / ERA Automation</w:t>
            </w:r>
          </w:p>
        </w:tc>
      </w:tr>
      <w:tr>
        <w:tc>
          <w:tcPr>
            <w:tcW w:type="dxa" w:w="792"/>
            <w:shd w:fill="E8F1FC" w:val="clear"/>
          </w:tcPr>
          <w:p>
            <w:pPr>
              <w:spacing w:before="60" w:after="60" w:line="276" w:lineRule="auto"/>
            </w:pPr>
            <w:r>
              <w:rPr>
                <w:rFonts w:ascii="Calibri" w:hAnsi="Calibri" w:eastAsia="Calibri"/>
                <w:b/>
                <w:color w:val="1E73E8"/>
                <w:sz w:val="20"/>
              </w:rPr>
              <w:t>11</w:t>
            </w:r>
          </w:p>
        </w:tc>
        <w:tc>
          <w:tcPr>
            <w:tcW w:type="dxa" w:w="8640"/>
            <w:shd w:fill="E8F1FC" w:val="clear"/>
          </w:tcPr>
          <w:p>
            <w:pPr>
              <w:spacing w:before="60" w:after="60" w:line="276" w:lineRule="auto"/>
            </w:pPr>
            <w:r>
              <w:rPr>
                <w:rFonts w:ascii="Calibri" w:hAnsi="Calibri" w:eastAsia="Calibri"/>
                <w:b w:val="0"/>
                <w:color w:val="1A1A1A"/>
                <w:sz w:val="21"/>
              </w:rPr>
              <w:t>Product Roadmap</w:t>
            </w:r>
          </w:p>
        </w:tc>
      </w:tr>
      <w:tr>
        <w:tc>
          <w:tcPr>
            <w:tcW w:type="dxa" w:w="792"/>
          </w:tcPr>
          <w:p>
            <w:pPr>
              <w:spacing w:before="60" w:after="60" w:line="276" w:lineRule="auto"/>
            </w:pPr>
            <w:r>
              <w:rPr>
                <w:rFonts w:ascii="Calibri" w:hAnsi="Calibri" w:eastAsia="Calibri"/>
                <w:b/>
                <w:color w:val="1E73E8"/>
                <w:sz w:val="20"/>
              </w:rPr>
              <w:t>12</w:t>
            </w:r>
          </w:p>
        </w:tc>
        <w:tc>
          <w:tcPr>
            <w:tcW w:type="dxa" w:w="8640"/>
          </w:tcPr>
          <w:p>
            <w:pPr>
              <w:spacing w:before="60" w:after="60" w:line="276" w:lineRule="auto"/>
            </w:pPr>
            <w:r>
              <w:rPr>
                <w:rFonts w:ascii="Calibri" w:hAnsi="Calibri" w:eastAsia="Calibri"/>
                <w:b w:val="0"/>
                <w:color w:val="1A1A1A"/>
                <w:sz w:val="21"/>
              </w:rPr>
              <w:t>Closing</w:t>
            </w:r>
          </w:p>
        </w:tc>
      </w:tr>
    </w:tbl>
    <w:p>
      <w:r>
        <w:br w:type="page"/>
      </w:r>
    </w:p>
    <w:p>
      <w:pPr>
        <w:spacing w:before="240" w:after="80" w:line="276" w:lineRule="auto"/>
        <w:pBdr>
          <w:bottom w:val="single" w:sz="14" w:space="1" w:color="1E73E8"/>
        </w:pBdr>
      </w:pPr>
      <w:r>
        <w:rPr>
          <w:rFonts w:ascii="Calibri" w:hAnsi="Calibri" w:eastAsia="Calibri"/>
          <w:b/>
          <w:color w:val="0F4CA8"/>
          <w:sz w:val="32"/>
        </w:rPr>
        <w:t>1. Executive Summary</w:t>
      </w:r>
    </w:p>
    <w:p>
      <w:pPr>
        <w:spacing w:before="0" w:after="120" w:line="259" w:lineRule="auto"/>
      </w:pPr>
      <w:r>
        <w:rPr>
          <w:rFonts w:ascii="Calibri" w:hAnsi="Calibri" w:eastAsia="Calibri"/>
          <w:b w:val="0"/>
          <w:color w:val="1A1A1A"/>
          <w:sz w:val="21"/>
        </w:rPr>
        <w:t>Dental insurance verification remains one of the largest administrative burdens in modern practice operations. Front-desk and billing teams spend hours each day calling payers, interpreting benefits, updating OpenDental, and explaining patient responsibility—work that is slow, inconsistent, and difficult to scale across locations.</w:t>
      </w:r>
    </w:p>
    <w:p>
      <w:pPr>
        <w:spacing w:before="0" w:after="160" w:line="259" w:lineRule="auto"/>
      </w:pPr>
      <w:r>
        <w:rPr>
          <w:rFonts w:ascii="Calibri" w:hAnsi="Calibri" w:eastAsia="Calibri"/>
          <w:b w:val="0"/>
          <w:color w:val="1A1A1A"/>
          <w:sz w:val="21"/>
        </w:rPr>
        <w:t>ezFi is an AI-powered platform that automates insurance verification, structured documentation, and OpenDental writeback—while keeping clinical and administrative staff in control of every final decision.</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2520"/>
        <w:gridCol w:w="2520"/>
        <w:gridCol w:w="2520"/>
        <w:gridCol w:w="2520"/>
      </w:tblGrid>
      <w:tr>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Eligibility</w:t>
            </w:r>
            <w:r>
              <w:br/>
            </w:r>
            <w:r>
              <w:rPr>
                <w:rFonts w:ascii="Calibri" w:hAnsi="Calibri" w:eastAsia="Calibri"/>
                <w:b/>
                <w:color w:val="1E73E8"/>
                <w:sz w:val="22"/>
              </w:rPr>
              <w:t>Verification</w:t>
            </w:r>
          </w:p>
          <w:p>
            <w:pPr>
              <w:spacing w:before="0" w:after="100" w:line="276" w:lineRule="auto"/>
              <w:jc w:val="center"/>
            </w:pPr>
            <w:r>
              <w:rPr>
                <w:rFonts w:ascii="Calibri" w:hAnsi="Calibri" w:eastAsia="Calibri"/>
                <w:b w:val="0"/>
                <w:color w:val="5A6A7A"/>
                <w:sz w:val="16"/>
              </w:rPr>
              <w:t>Flagship Capability</w:t>
            </w:r>
          </w:p>
        </w:tc>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OpenDental</w:t>
            </w:r>
            <w:r>
              <w:br/>
            </w:r>
            <w:r>
              <w:rPr>
                <w:rFonts w:ascii="Calibri" w:hAnsi="Calibri" w:eastAsia="Calibri"/>
                <w:b/>
                <w:color w:val="1E73E8"/>
                <w:sz w:val="22"/>
              </w:rPr>
              <w:t>Writeback</w:t>
            </w:r>
          </w:p>
          <w:p>
            <w:pPr>
              <w:spacing w:before="0" w:after="100" w:line="276" w:lineRule="auto"/>
              <w:jc w:val="center"/>
            </w:pPr>
            <w:r>
              <w:rPr>
                <w:rFonts w:ascii="Calibri" w:hAnsi="Calibri" w:eastAsia="Calibri"/>
                <w:b w:val="0"/>
                <w:color w:val="5A6A7A"/>
                <w:sz w:val="16"/>
              </w:rPr>
              <w:t>Native Integration</w:t>
            </w:r>
          </w:p>
        </w:tc>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Review &amp;</w:t>
            </w:r>
            <w:r>
              <w:br/>
            </w:r>
            <w:r>
              <w:rPr>
                <w:rFonts w:ascii="Calibri" w:hAnsi="Calibri" w:eastAsia="Calibri"/>
                <w:b/>
                <w:color w:val="1E73E8"/>
                <w:sz w:val="22"/>
              </w:rPr>
              <w:t>Approval</w:t>
            </w:r>
          </w:p>
          <w:p>
            <w:pPr>
              <w:spacing w:before="0" w:after="100" w:line="276" w:lineRule="auto"/>
              <w:jc w:val="center"/>
            </w:pPr>
            <w:r>
              <w:rPr>
                <w:rFonts w:ascii="Calibri" w:hAnsi="Calibri" w:eastAsia="Calibri"/>
                <w:b w:val="0"/>
                <w:color w:val="5A6A7A"/>
                <w:sz w:val="16"/>
              </w:rPr>
              <w:t>Human Control</w:t>
            </w:r>
          </w:p>
        </w:tc>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End-to-End</w:t>
            </w:r>
            <w:r>
              <w:br/>
            </w:r>
            <w:r>
              <w:rPr>
                <w:rFonts w:ascii="Calibri" w:hAnsi="Calibri" w:eastAsia="Calibri"/>
                <w:b/>
                <w:color w:val="1E73E8"/>
                <w:sz w:val="22"/>
              </w:rPr>
              <w:t>RCM</w:t>
            </w:r>
          </w:p>
          <w:p>
            <w:pPr>
              <w:spacing w:before="0" w:after="100" w:line="276" w:lineRule="auto"/>
              <w:jc w:val="center"/>
            </w:pPr>
            <w:r>
              <w:rPr>
                <w:rFonts w:ascii="Calibri" w:hAnsi="Calibri" w:eastAsia="Calibri"/>
                <w:b w:val="0"/>
                <w:color w:val="5A6A7A"/>
                <w:sz w:val="16"/>
              </w:rPr>
              <w:t>Roadmap</w:t>
            </w:r>
          </w:p>
        </w:tc>
      </w:tr>
    </w:tbl>
    <w:p>
      <w:pPr>
        <w:spacing w:before="0" w:after="40" w:line="276" w:lineRule="auto"/>
      </w:pPr>
    </w:p>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Platform Philosophy</w:t>
            </w:r>
          </w:p>
          <w:p>
            <w:pPr>
              <w:spacing w:before="0" w:after="80" w:line="276" w:lineRule="auto"/>
            </w:pPr>
            <w:r>
              <w:rPr>
                <w:rFonts w:ascii="Calibri" w:hAnsi="Calibri" w:eastAsia="Calibri"/>
                <w:b w:val="0"/>
                <w:color w:val="5A6A7A"/>
                <w:sz w:val="19"/>
              </w:rPr>
              <w:t>Automate the work. Preserve clinical and financial judgment. Never overwrite what staff have carefully entered. OpenDental remains the system of record; ezFi is the intelligence and orchestration layer that makes verification accurate, auditable, and fast.</w:t>
            </w:r>
          </w:p>
        </w:tc>
      </w:tr>
    </w:tbl>
    <w:p>
      <w:pPr>
        <w:spacing w:before="0" w:after="40" w:line="276" w:lineRule="auto"/>
      </w:pPr>
    </w:p>
    <w:p>
      <w:pPr>
        <w:spacing w:before="0" w:after="40" w:line="259" w:lineRule="auto"/>
      </w:pPr>
      <w:r>
        <w:rPr>
          <w:rFonts w:ascii="Calibri" w:hAnsi="Calibri" w:eastAsia="Calibri"/>
          <w:b w:val="0"/>
          <w:color w:val="1A1A1A"/>
          <w:sz w:val="21"/>
        </w:rPr>
        <w:t>With ezFi, organizations can:</w:t>
      </w:r>
    </w:p>
    <w:p>
      <w:pPr>
        <w:pStyle w:val="ListBullet"/>
        <w:spacing w:before="0" w:after="20" w:line="252" w:lineRule="auto"/>
        <w:ind w:left="317"/>
      </w:pPr>
      <w:r>
        <w:rPr>
          <w:rFonts w:ascii="Calibri" w:hAnsi="Calibri" w:eastAsia="Calibri"/>
          <w:b w:val="0"/>
          <w:color w:val="1A1A1A"/>
          <w:sz w:val="20"/>
        </w:rPr>
        <w:t>Reduce phone-time and manual benefit interpretation</w:t>
      </w:r>
    </w:p>
    <w:p>
      <w:pPr>
        <w:pStyle w:val="ListBullet"/>
        <w:spacing w:before="0" w:after="20" w:line="252" w:lineRule="auto"/>
        <w:ind w:left="317"/>
      </w:pPr>
      <w:r>
        <w:rPr>
          <w:rFonts w:ascii="Calibri" w:hAnsi="Calibri" w:eastAsia="Calibri"/>
          <w:b w:val="0"/>
          <w:color w:val="1A1A1A"/>
          <w:sz w:val="20"/>
        </w:rPr>
        <w:t>Produce specialist-quality Verification of Benefits summaries from electronic eligibility</w:t>
      </w:r>
    </w:p>
    <w:p>
      <w:pPr>
        <w:pStyle w:val="ListBullet"/>
        <w:spacing w:before="0" w:after="20" w:line="252" w:lineRule="auto"/>
        <w:ind w:left="317"/>
      </w:pPr>
      <w:r>
        <w:rPr>
          <w:rFonts w:ascii="Calibri" w:hAnsi="Calibri" w:eastAsia="Calibri"/>
          <w:b w:val="0"/>
          <w:color w:val="1A1A1A"/>
          <w:sz w:val="20"/>
        </w:rPr>
        <w:t>Write structured results safely into OpenDental</w:t>
      </w:r>
    </w:p>
    <w:p>
      <w:pPr>
        <w:pStyle w:val="ListBullet"/>
        <w:spacing w:before="0" w:after="20" w:line="252" w:lineRule="auto"/>
        <w:ind w:left="317"/>
      </w:pPr>
      <w:r>
        <w:rPr>
          <w:rFonts w:ascii="Calibri" w:hAnsi="Calibri" w:eastAsia="Calibri"/>
          <w:b w:val="0"/>
          <w:color w:val="1A1A1A"/>
          <w:sz w:val="20"/>
        </w:rPr>
        <w:t>Extend incomplete electronic responses with Voice AI</w:t>
      </w:r>
    </w:p>
    <w:p>
      <w:pPr>
        <w:pStyle w:val="ListBullet"/>
        <w:spacing w:before="0" w:after="20" w:line="252" w:lineRule="auto"/>
        <w:ind w:left="317"/>
      </w:pPr>
      <w:r>
        <w:rPr>
          <w:rFonts w:ascii="Calibri" w:hAnsi="Calibri" w:eastAsia="Calibri"/>
          <w:b w:val="0"/>
          <w:color w:val="1A1A1A"/>
          <w:sz w:val="20"/>
        </w:rPr>
        <w:t>Build toward claim preparation, ERA/EOB posting, and denial management on the same platform</w:t>
      </w:r>
    </w:p>
    <w:p>
      <w:r>
        <w:br w:type="page"/>
      </w:r>
    </w:p>
    <w:p>
      <w:pPr>
        <w:spacing w:before="240" w:after="80" w:line="276" w:lineRule="auto"/>
        <w:pBdr>
          <w:bottom w:val="single" w:sz="14" w:space="1" w:color="1E73E8"/>
        </w:pBdr>
      </w:pPr>
      <w:r>
        <w:rPr>
          <w:rFonts w:ascii="Calibri" w:hAnsi="Calibri" w:eastAsia="Calibri"/>
          <w:b/>
          <w:color w:val="0F4CA8"/>
          <w:sz w:val="32"/>
        </w:rPr>
        <w:t>2. Why Insurance Verification Matters</w:t>
      </w:r>
    </w:p>
    <w:p>
      <w:pPr>
        <w:spacing w:before="0" w:after="120" w:line="259" w:lineRule="auto"/>
      </w:pPr>
      <w:r>
        <w:rPr>
          <w:rFonts w:ascii="Calibri" w:hAnsi="Calibri" w:eastAsia="Calibri"/>
          <w:b w:val="0"/>
          <w:color w:val="1A1A1A"/>
          <w:sz w:val="21"/>
        </w:rPr>
        <w:t>Accurate insurance verification sits at the front of every successful revenue cycle. When benefits are wrong or incomplete, estimates fail, collections suffer, and patients lose trust at the chairside conversation that matters most.</w:t>
      </w:r>
    </w:p>
    <w:p>
      <w:pPr>
        <w:spacing w:before="160" w:after="80" w:line="276" w:lineRule="auto"/>
      </w:pPr>
      <w:r>
        <w:rPr>
          <w:rFonts w:ascii="Calibri" w:hAnsi="Calibri" w:eastAsia="Calibri"/>
          <w:b/>
          <w:color w:val="1E73E8"/>
          <w:sz w:val="24"/>
        </w:rPr>
        <w:t>Traditional Workflow</w:t>
      </w:r>
    </w:p>
    <w:p>
      <w:pPr>
        <w:spacing w:before="40" w:after="80" w:line="276" w:lineRule="auto"/>
        <w:jc w:val="center"/>
      </w:pPr>
      <w:r>
        <w:drawing>
          <wp:inline xmlns:a="http://schemas.openxmlformats.org/drawingml/2006/main" xmlns:pic="http://schemas.openxmlformats.org/drawingml/2006/picture">
            <wp:extent cx="3291840" cy="2267712"/>
            <wp:docPr id="2" name="Picture 2"/>
            <wp:cNvGraphicFramePr>
              <a:graphicFrameLocks noChangeAspect="1"/>
            </wp:cNvGraphicFramePr>
            <a:graphic>
              <a:graphicData uri="http://schemas.openxmlformats.org/drawingml/2006/picture">
                <pic:pic>
                  <pic:nvPicPr>
                    <pic:cNvPr id="0" name="traditional_flow.png"/>
                    <pic:cNvPicPr/>
                  </pic:nvPicPr>
                  <pic:blipFill>
                    <a:blip r:embed="rId14"/>
                    <a:stretch>
                      <a:fillRect/>
                    </a:stretch>
                  </pic:blipFill>
                  <pic:spPr>
                    <a:xfrm>
                      <a:off x="0" y="0"/>
                      <a:ext cx="3291840" cy="2267712"/>
                    </a:xfrm>
                    <a:prstGeom prst="rect"/>
                  </pic:spPr>
                </pic:pic>
              </a:graphicData>
            </a:graphic>
          </wp:inline>
        </w:drawing>
      </w:r>
    </w:p>
    <w:p>
      <w:pPr>
        <w:spacing w:before="160" w:after="80" w:line="276" w:lineRule="auto"/>
      </w:pPr>
      <w:r>
        <w:rPr>
          <w:rFonts w:ascii="Calibri" w:hAnsi="Calibri" w:eastAsia="Calibri"/>
          <w:b/>
          <w:color w:val="1E73E8"/>
          <w:sz w:val="24"/>
        </w:rPr>
        <w:t>Where the Traditional Model Breaks Down</w:t>
      </w:r>
    </w:p>
    <w:tbl>
      <w:tblPr>
        <w:tblW w:type="auto" w:w="0"/>
        <w:jc w:val="center"/>
        <w:tblLook w:firstColumn="1" w:firstRow="1" w:lastColumn="0" w:lastRow="0" w:noHBand="0" w:noVBand="1" w:val="04A0"/>
        <w:tblLayout w:type="fixed"/>
      </w:tblPr>
      <w:tblGrid>
        <w:gridCol w:w="5040"/>
        <w:gridCol w:w="5040"/>
      </w:tblGrid>
      <w:tr>
        <w:tc>
          <w:tcPr>
            <w:tcW w:type="dxa" w:w="3168"/>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Challenge</w:t>
            </w:r>
          </w:p>
        </w:tc>
        <w:tc>
          <w:tcPr>
            <w:tcW w:type="dxa" w:w="6480"/>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Operational Impact</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Manual payer calls</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Hours of hold time; inconsistent answers across staff</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Benefit interpretation</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Variable quality; tribal knowledge; training burden</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OpenDental updates</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Incomplete notes; missed fields; estimate drift</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Patient communication</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Surprise balances; delayed treatment acceptance</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Multi-location scale</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No shared standard; hard to audit or measure</w:t>
            </w:r>
          </w:p>
        </w:tc>
      </w:tr>
    </w:tbl>
    <w:p>
      <w:pPr>
        <w:spacing w:before="0" w:after="40" w:line="276" w:lineRule="auto"/>
      </w:pPr>
    </w:p>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How ezFi Modernizes Verification</w:t>
            </w:r>
          </w:p>
          <w:p>
            <w:pPr>
              <w:spacing w:before="0" w:after="80" w:line="276" w:lineRule="auto"/>
            </w:pPr>
            <w:r>
              <w:rPr>
                <w:rFonts w:ascii="Calibri" w:hAnsi="Calibri" w:eastAsia="Calibri"/>
                <w:b w:val="0"/>
                <w:color w:val="5A6A7A"/>
                <w:sz w:val="19"/>
              </w:rPr>
              <w:t>ezFi replaces fragmented phone-and-notes workflows with a layered eligibility engine, structured Verification of Benefits output, confidence scoring, and controlled OpenDental writeback—so every location verifies the same way, with the same documentation standard.</w:t>
            </w:r>
          </w:p>
        </w:tc>
      </w:tr>
    </w:tbl>
    <w:p>
      <w:r>
        <w:br w:type="page"/>
      </w:r>
    </w:p>
    <w:p>
      <w:pPr>
        <w:spacing w:before="240" w:after="80" w:line="276" w:lineRule="auto"/>
        <w:pBdr>
          <w:bottom w:val="single" w:sz="14" w:space="1" w:color="1E73E8"/>
        </w:pBdr>
      </w:pPr>
      <w:r>
        <w:rPr>
          <w:rFonts w:ascii="Calibri" w:hAnsi="Calibri" w:eastAsia="Calibri"/>
          <w:b/>
          <w:color w:val="0F4CA8"/>
          <w:sz w:val="32"/>
        </w:rPr>
        <w:t>3. ezFi Platform Overview</w:t>
      </w:r>
    </w:p>
    <w:p>
      <w:pPr>
        <w:spacing w:before="0" w:after="120" w:line="259" w:lineRule="auto"/>
      </w:pPr>
      <w:r>
        <w:rPr>
          <w:rFonts w:ascii="Calibri" w:hAnsi="Calibri" w:eastAsia="Calibri"/>
          <w:b w:val="0"/>
          <w:color w:val="1A1A1A"/>
          <w:sz w:val="21"/>
        </w:rPr>
        <w:t>ezFi sits between OpenDental and the payer ecosystem as an AI orchestration layer. Eligibility Verification is the flagship capability today. Voice Verification and OpenDental Writeback complete the live operating stack. Additional revenue cycle agents extend the same architecture over time.</w:t>
      </w:r>
    </w:p>
    <w:tbl>
      <w:tblPr>
        <w:tblW w:type="auto" w:w="0"/>
        <w:jc w:val="center"/>
        <w:tblLook w:firstColumn="1" w:firstRow="1" w:lastColumn="0" w:lastRow="0" w:noHBand="0" w:noVBand="1" w:val="04A0"/>
      </w:tblPr>
      <w:tblGrid>
        <w:gridCol w:w="10080"/>
      </w:tblGrid>
      <w:tr>
        <w:tc>
          <w:tcPr>
            <w:tcW w:type="dxa" w:w="10080"/>
            <w:shd w:fill="1E73E8" w:val="clear"/>
            <w:tcBorders>
              <w:top w:val="single" w:sz="8" w:color="0F4CA8"/>
              <w:left w:val="single" w:sz="8" w:color="0F4CA8"/>
              <w:bottom w:val="single" w:sz="8" w:color="0F4CA8"/>
              <w:right w:val="single" w:sz="8" w:color="0F4CA8"/>
            </w:tcBorders>
          </w:tcPr>
          <w:p>
            <w:pPr>
              <w:spacing w:before="160" w:after="160" w:line="276" w:lineRule="auto"/>
              <w:jc w:val="center"/>
            </w:pPr>
            <w:r>
              <w:rPr>
                <w:rFonts w:ascii="Calibri" w:hAnsi="Calibri" w:eastAsia="Calibri"/>
                <w:b/>
                <w:color w:val="FFFFFF"/>
                <w:sz w:val="24"/>
              </w:rPr>
              <w:t>OpenDental  ·  System of Record</w:t>
            </w:r>
          </w:p>
        </w:tc>
      </w:tr>
    </w:tbl>
    <w:p>
      <w:pPr>
        <w:spacing w:before="40" w:after="40" w:line="276" w:lineRule="auto"/>
        <w:jc w:val="center"/>
      </w:pPr>
      <w:r>
        <w:rPr>
          <w:rFonts w:ascii="Calibri" w:hAnsi="Calibri" w:eastAsia="Calibri"/>
          <w:b/>
          <w:color w:val="1E73E8"/>
          <w:sz w:val="28"/>
        </w:rPr>
        <w:t>▼</w:t>
      </w:r>
    </w:p>
    <w:tbl>
      <w:tblPr>
        <w:tblW w:type="auto" w:w="0"/>
        <w:jc w:val="center"/>
        <w:tblLook w:firstColumn="1" w:firstRow="1" w:lastColumn="0" w:lastRow="0" w:noHBand="0" w:noVBand="1" w:val="04A0"/>
        <w:tblLayout w:type="fixed"/>
      </w:tblPr>
      <w:tblGrid>
        <w:gridCol w:w="10080"/>
      </w:tblGrid>
      <w:tr>
        <w:tc>
          <w:tcPr>
            <w:tcW w:type="dxa" w:w="10080"/>
            <w:shd w:fill="0F4CA8" w:val="clear"/>
            <w:tcBorders>
              <w:top w:val="single" w:sz="8" w:color="0F4CA8"/>
              <w:left w:val="single" w:sz="8" w:color="0F4CA8"/>
              <w:bottom w:val="single" w:sz="8" w:color="0F4CA8"/>
              <w:right w:val="single" w:sz="8" w:color="0F4CA8"/>
            </w:tcBorders>
          </w:tcPr>
          <w:p>
            <w:pPr>
              <w:spacing w:before="120" w:after="120" w:line="276" w:lineRule="auto"/>
              <w:jc w:val="center"/>
            </w:pPr>
            <w:r>
              <w:rPr>
                <w:rFonts w:ascii="Calibri" w:hAnsi="Calibri" w:eastAsia="Calibri"/>
                <w:b/>
                <w:color w:val="FFFFFF"/>
                <w:sz w:val="24"/>
              </w:rPr>
              <w:t>ezFi AI Platform</w:t>
            </w:r>
          </w:p>
        </w:tc>
      </w:tr>
      <w:tr>
        <w:tc>
          <w:tcPr>
            <w:tcW w:type="dxa" w:w="10080"/>
            <w:shd w:fill="E8F1FC" w:val="clear"/>
            <w:tcBorders>
              <w:top w:val="single" w:sz="6" w:color="1E73E8"/>
              <w:left w:val="single" w:sz="6" w:color="1E73E8"/>
              <w:bottom w:val="single" w:sz="6" w:color="1E73E8"/>
              <w:right w:val="single" w:sz="6" w:color="1E73E8"/>
            </w:tcBorders>
          </w:tcPr>
          <w:p>
            <w:pPr>
              <w:spacing w:before="80" w:after="40" w:line="276" w:lineRule="auto"/>
            </w:pPr>
            <w:r>
              <w:rPr>
                <w:rFonts w:ascii="Calibri" w:hAnsi="Calibri" w:eastAsia="Calibri"/>
                <w:b/>
                <w:color w:val="0F4CA8"/>
                <w:sz w:val="20"/>
              </w:rPr>
              <w:t xml:space="preserve">  Current Capabilities</w:t>
            </w:r>
          </w:p>
          <w:p>
            <w:pPr>
              <w:spacing w:before="20" w:after="20" w:line="276" w:lineRule="auto"/>
            </w:pPr>
            <w:r>
              <w:rPr>
                <w:rFonts w:ascii="Calibri" w:hAnsi="Calibri" w:eastAsia="Calibri"/>
                <w:b w:val="0"/>
                <w:color w:val="1A1A1A"/>
                <w:sz w:val="20"/>
              </w:rPr>
              <w:t xml:space="preserve">     ✓  Eligibility Verification  (Flagship)</w:t>
            </w:r>
          </w:p>
          <w:p>
            <w:pPr>
              <w:spacing w:before="20" w:after="20" w:line="276" w:lineRule="auto"/>
            </w:pPr>
            <w:r>
              <w:rPr>
                <w:rFonts w:ascii="Calibri" w:hAnsi="Calibri" w:eastAsia="Calibri"/>
                <w:b w:val="0"/>
                <w:color w:val="1A1A1A"/>
                <w:sz w:val="20"/>
              </w:rPr>
              <w:t xml:space="preserve">     ✓  Voice Verification</w:t>
            </w:r>
          </w:p>
          <w:p>
            <w:pPr>
              <w:spacing w:before="20" w:after="20" w:line="276" w:lineRule="auto"/>
            </w:pPr>
            <w:r>
              <w:rPr>
                <w:rFonts w:ascii="Calibri" w:hAnsi="Calibri" w:eastAsia="Calibri"/>
                <w:b w:val="0"/>
                <w:color w:val="1A1A1A"/>
                <w:sz w:val="20"/>
              </w:rPr>
              <w:t xml:space="preserve">     ✓  OpenDental Writeback</w:t>
            </w:r>
          </w:p>
        </w:tc>
      </w:tr>
      <w:tr>
        <w:tc>
          <w:tcPr>
            <w:tcW w:type="dxa" w:w="10080"/>
            <w:shd w:fill="F2F5F8" w:val="clear"/>
            <w:tcBorders>
              <w:top w:val="single" w:sz="6" w:color="D0D7DE"/>
              <w:left w:val="single" w:sz="6" w:color="D0D7DE"/>
              <w:bottom w:val="single" w:sz="6" w:color="D0D7DE"/>
              <w:right w:val="single" w:sz="6" w:color="D0D7DE"/>
            </w:tcBorders>
          </w:tcPr>
          <w:p>
            <w:pPr>
              <w:spacing w:before="80" w:after="40" w:line="276" w:lineRule="auto"/>
            </w:pPr>
            <w:r>
              <w:rPr>
                <w:rFonts w:ascii="Calibri" w:hAnsi="Calibri" w:eastAsia="Calibri"/>
                <w:b/>
                <w:color w:val="5A6A7A"/>
                <w:sz w:val="20"/>
              </w:rPr>
              <w:t xml:space="preserve">  Revenue Cycle Roadmap</w:t>
            </w:r>
          </w:p>
          <w:p>
            <w:pPr>
              <w:spacing w:before="20" w:after="20" w:line="276" w:lineRule="auto"/>
            </w:pPr>
            <w:r>
              <w:rPr>
                <w:rFonts w:ascii="Calibri" w:hAnsi="Calibri" w:eastAsia="Calibri"/>
                <w:b w:val="0"/>
                <w:color w:val="5A6A7A"/>
                <w:sz w:val="20"/>
              </w:rPr>
              <w:t xml:space="preserve">     ○  Coding Agent</w:t>
            </w:r>
          </w:p>
          <w:p>
            <w:pPr>
              <w:spacing w:before="20" w:after="20" w:line="276" w:lineRule="auto"/>
            </w:pPr>
            <w:r>
              <w:rPr>
                <w:rFonts w:ascii="Calibri" w:hAnsi="Calibri" w:eastAsia="Calibri"/>
                <w:b w:val="0"/>
                <w:color w:val="5A6A7A"/>
                <w:sz w:val="20"/>
              </w:rPr>
              <w:t xml:space="preserve">     ○  Prior Authorization</w:t>
            </w:r>
          </w:p>
          <w:p>
            <w:pPr>
              <w:spacing w:before="20" w:after="20" w:line="276" w:lineRule="auto"/>
            </w:pPr>
            <w:r>
              <w:rPr>
                <w:rFonts w:ascii="Calibri" w:hAnsi="Calibri" w:eastAsia="Calibri"/>
                <w:b w:val="0"/>
                <w:color w:val="5A6A7A"/>
                <w:sz w:val="20"/>
              </w:rPr>
              <w:t xml:space="preserve">     ○  ERA / EOB Processing &amp; Reconciliation</w:t>
            </w:r>
          </w:p>
          <w:p>
            <w:pPr>
              <w:spacing w:before="20" w:after="20" w:line="276" w:lineRule="auto"/>
            </w:pPr>
            <w:r>
              <w:rPr>
                <w:rFonts w:ascii="Calibri" w:hAnsi="Calibri" w:eastAsia="Calibri"/>
                <w:b w:val="0"/>
                <w:color w:val="5A6A7A"/>
                <w:sz w:val="20"/>
              </w:rPr>
              <w:t xml:space="preserve">     ○  Denial Management</w:t>
            </w:r>
          </w:p>
        </w:tc>
      </w:tr>
    </w:tbl>
    <w:p>
      <w:pPr>
        <w:spacing w:before="40" w:after="40" w:line="276" w:lineRule="auto"/>
        <w:jc w:val="center"/>
      </w:pPr>
      <w:r>
        <w:rPr>
          <w:rFonts w:ascii="Calibri" w:hAnsi="Calibri" w:eastAsia="Calibri"/>
          <w:b/>
          <w:color w:val="1E73E8"/>
          <w:sz w:val="28"/>
        </w:rPr>
        <w:t>▼</w:t>
      </w:r>
    </w:p>
    <w:tbl>
      <w:tblPr>
        <w:tblW w:type="auto" w:w="0"/>
        <w:jc w:val="center"/>
        <w:tblLook w:firstColumn="1" w:firstRow="1" w:lastColumn="0" w:lastRow="0" w:noHBand="0" w:noVBand="1" w:val="04A0"/>
        <w:tblLayout w:type="fixed"/>
      </w:tblPr>
      <w:tblGrid>
        <w:gridCol w:w="5040"/>
        <w:gridCol w:w="5040"/>
      </w:tblGrid>
      <w:tr>
        <w:tc>
          <w:tcPr>
            <w:tcW w:type="dxa" w:w="4608"/>
            <w:shd w:fill="1E73E8" w:val="clear"/>
            <w:tcBorders>
              <w:top w:val="single" w:sz="8" w:color="0F4CA8"/>
              <w:left w:val="single" w:sz="8" w:color="0F4CA8"/>
              <w:bottom w:val="single" w:sz="8" w:color="0F4CA8"/>
              <w:right w:val="single" w:sz="8" w:color="0F4CA8"/>
            </w:tcBorders>
          </w:tcPr>
          <w:p>
            <w:pPr>
              <w:spacing w:before="160" w:after="160" w:line="276" w:lineRule="auto"/>
              <w:jc w:val="center"/>
            </w:pPr>
            <w:r>
              <w:rPr>
                <w:rFonts w:ascii="Calibri" w:hAnsi="Calibri" w:eastAsia="Calibri"/>
                <w:b/>
                <w:color w:val="FFFFFF"/>
                <w:sz w:val="22"/>
              </w:rPr>
              <w:t>ezFi Dashboard</w:t>
            </w:r>
          </w:p>
        </w:tc>
        <w:tc>
          <w:tcPr>
            <w:tcW w:type="dxa" w:w="4608"/>
            <w:shd w:fill="2B6CB0" w:val="clear"/>
            <w:tcBorders>
              <w:top w:val="single" w:sz="8" w:color="0F4CA8"/>
              <w:left w:val="single" w:sz="8" w:color="0F4CA8"/>
              <w:bottom w:val="single" w:sz="8" w:color="0F4CA8"/>
              <w:right w:val="single" w:sz="8" w:color="0F4CA8"/>
            </w:tcBorders>
          </w:tcPr>
          <w:p>
            <w:pPr>
              <w:spacing w:before="160" w:after="160" w:line="276" w:lineRule="auto"/>
              <w:jc w:val="center"/>
            </w:pPr>
            <w:r>
              <w:rPr>
                <w:rFonts w:ascii="Calibri" w:hAnsi="Calibri" w:eastAsia="Calibri"/>
                <w:b/>
                <w:color w:val="FFFFFF"/>
                <w:sz w:val="22"/>
              </w:rPr>
              <w:t>Staff Review &amp; Approval</w:t>
            </w:r>
          </w:p>
        </w:tc>
      </w:tr>
    </w:tbl>
    <w:p/>
    <w:p>
      <w:pPr>
        <w:spacing w:before="160" w:after="80" w:line="276" w:lineRule="auto"/>
      </w:pPr>
      <w:r>
        <w:rPr>
          <w:rFonts w:ascii="Calibri" w:hAnsi="Calibri" w:eastAsia="Calibri"/>
          <w:b/>
          <w:color w:val="1E73E8"/>
          <w:sz w:val="24"/>
        </w:rPr>
        <w:t>Design Principles</w:t>
      </w:r>
    </w:p>
    <w:tbl>
      <w:tblPr>
        <w:tblW w:type="auto" w:w="0"/>
        <w:jc w:val="center"/>
        <w:tblLook w:firstColumn="1" w:firstRow="1" w:lastColumn="0" w:lastRow="0" w:noHBand="0" w:noVBand="1" w:val="04A0"/>
        <w:tblLayout w:type="fixed"/>
      </w:tblPr>
      <w:tblGrid>
        <w:gridCol w:w="5040"/>
        <w:gridCol w:w="5040"/>
      </w:tblGrid>
      <w:tr>
        <w:tc>
          <w:tcPr>
            <w:tcW w:type="dxa" w:w="3744"/>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Principle</w:t>
            </w:r>
          </w:p>
        </w:tc>
        <w:tc>
          <w:tcPr>
            <w:tcW w:type="dxa" w:w="5904"/>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Meaning</w:t>
            </w:r>
          </w:p>
        </w:tc>
      </w:tr>
      <w:tr>
        <w:tc>
          <w:tcPr>
            <w:tcW w:type="dxa" w:w="374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OpenDental as system of record</w:t>
            </w:r>
          </w:p>
        </w:tc>
        <w:tc>
          <w:tcPr>
            <w:tcW w:type="dxa" w:w="590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ezFi reads and writes; it does not replace the PMS</w:t>
            </w:r>
          </w:p>
        </w:tc>
      </w:tr>
      <w:tr>
        <w:tc>
          <w:tcPr>
            <w:tcW w:type="dxa" w:w="374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Human-in-the-loop by default</w:t>
            </w:r>
          </w:p>
        </w:tc>
        <w:tc>
          <w:tcPr>
            <w:tcW w:type="dxa" w:w="590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Staff approve consequential actions</w:t>
            </w:r>
          </w:p>
        </w:tc>
      </w:tr>
      <w:tr>
        <w:tc>
          <w:tcPr>
            <w:tcW w:type="dxa" w:w="374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Confidence before mutation</w:t>
            </w:r>
          </w:p>
        </w:tc>
        <w:tc>
          <w:tcPr>
            <w:tcW w:type="dxa" w:w="590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Low-confidence results route to review</w:t>
            </w:r>
          </w:p>
        </w:tc>
      </w:tr>
      <w:tr>
        <w:tc>
          <w:tcPr>
            <w:tcW w:type="dxa" w:w="374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Preserve manual edits</w:t>
            </w:r>
          </w:p>
        </w:tc>
        <w:tc>
          <w:tcPr>
            <w:tcW w:type="dxa" w:w="590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Staff corrections are never blindly overwritten</w:t>
            </w:r>
          </w:p>
        </w:tc>
      </w:tr>
      <w:tr>
        <w:tc>
          <w:tcPr>
            <w:tcW w:type="dxa" w:w="374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Auditability</w:t>
            </w:r>
          </w:p>
        </w:tc>
        <w:tc>
          <w:tcPr>
            <w:tcW w:type="dxa" w:w="590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Every verification and writeback is traceable</w:t>
            </w:r>
          </w:p>
        </w:tc>
      </w:tr>
    </w:tbl>
    <w:p>
      <w:pPr>
        <w:spacing w:before="0" w:after="40" w:line="276" w:lineRule="auto"/>
      </w:pPr>
    </w:p>
    <w:p>
      <w:r>
        <w:br w:type="page"/>
      </w:r>
    </w:p>
    <w:p>
      <w:pPr>
        <w:spacing w:before="240" w:after="80" w:line="276" w:lineRule="auto"/>
        <w:pBdr>
          <w:bottom w:val="single" w:sz="14" w:space="1" w:color="1E73E8"/>
        </w:pBdr>
      </w:pPr>
      <w:r>
        <w:rPr>
          <w:rFonts w:ascii="Calibri" w:hAnsi="Calibri" w:eastAsia="Calibri"/>
          <w:b/>
          <w:color w:val="0F4CA8"/>
          <w:sz w:val="32"/>
        </w:rPr>
        <w:t>4. Eligibility Verification</w:t>
      </w:r>
    </w:p>
    <w:p>
      <w:pPr>
        <w:spacing w:before="0" w:after="120" w:line="259" w:lineRule="auto"/>
      </w:pPr>
      <w:r>
        <w:rPr>
          <w:rFonts w:ascii="Calibri" w:hAnsi="Calibri" w:eastAsia="Calibri"/>
          <w:b w:val="0"/>
          <w:color w:val="1A1A1A"/>
          <w:sz w:val="21"/>
        </w:rPr>
        <w:t>Eligibility Verification is ezFi’s flagship capability—a complete, layered pipeline that turns a patient and plan into a specialist-quality Verification of Benefits, ready for staff review and safe OpenDental synchronization.</w:t>
      </w:r>
    </w:p>
    <w:p>
      <w:pPr>
        <w:spacing w:before="160" w:after="80" w:line="276" w:lineRule="auto"/>
      </w:pPr>
      <w:r>
        <w:rPr>
          <w:rFonts w:ascii="Calibri" w:hAnsi="Calibri" w:eastAsia="Calibri"/>
          <w:b/>
          <w:color w:val="1E73E8"/>
          <w:sz w:val="24"/>
        </w:rPr>
        <w:t>Layered Architecture</w:t>
      </w:r>
    </w:p>
    <w:tbl>
      <w:tblPr>
        <w:tblW w:type="auto" w:w="0"/>
        <w:jc w:val="center"/>
        <w:tblLook w:firstColumn="1" w:firstRow="1" w:lastColumn="0" w:lastRow="0" w:noHBand="0" w:noVBand="1" w:val="04A0"/>
        <w:tblLayout w:type="fixed"/>
      </w:tblPr>
      <w:tblGrid>
        <w:gridCol w:w="5040"/>
        <w:gridCol w:w="5040"/>
      </w:tblGrid>
      <w:tr>
        <w:tc>
          <w:tcPr>
            <w:tcW w:type="dxa" w:w="1008"/>
            <w:shd w:fill="1E73E8" w:val="clear"/>
            <w:tcBorders>
              <w:top w:val="single" w:sz="4" w:color="0F4CA8"/>
              <w:left w:val="single" w:sz="4" w:color="0F4CA8"/>
              <w:bottom w:val="single" w:sz="4" w:color="0F4CA8"/>
              <w:right w:val="single" w:sz="4" w:color="0F4CA8"/>
            </w:tcBorders>
            <w:vAlign w:val="center"/>
          </w:tcPr>
          <w:p>
            <w:pPr>
              <w:jc w:val="center"/>
            </w:pPr>
            <w:r>
              <w:rPr>
                <w:rFonts w:ascii="Calibri" w:hAnsi="Calibri" w:eastAsia="Calibri"/>
                <w:b/>
                <w:color w:val="FFFFFF"/>
                <w:sz w:val="28"/>
              </w:rPr>
              <w:t>01</w:t>
            </w:r>
          </w:p>
        </w:tc>
        <w:tc>
          <w:tcPr>
            <w:tcW w:type="dxa" w:w="8352"/>
            <w:shd w:fill="E8F1FC" w:val="clear"/>
            <w:tcBorders>
              <w:top w:val="single" w:sz="4" w:color="D0D7DE"/>
              <w:left w:val="single" w:sz="4" w:color="D0D7DE"/>
              <w:bottom w:val="single" w:sz="4" w:color="D0D7DE"/>
              <w:right w:val="single" w:sz="4" w:color="D0D7DE"/>
            </w:tcBorders>
            <w:vAlign w:val="center"/>
          </w:tcPr>
          <w:p>
            <w:pPr>
              <w:spacing w:before="80" w:after="20" w:line="276" w:lineRule="auto"/>
            </w:pPr>
            <w:r>
              <w:rPr>
                <w:rFonts w:ascii="Calibri" w:hAnsi="Calibri" w:eastAsia="Calibri"/>
                <w:b/>
                <w:color w:val="0F4CA8"/>
                <w:sz w:val="22"/>
              </w:rPr>
              <w:t>Intake &amp; Validation</w:t>
            </w:r>
          </w:p>
          <w:p>
            <w:pPr>
              <w:spacing w:before="0" w:after="80" w:line="276" w:lineRule="auto"/>
            </w:pPr>
            <w:r>
              <w:rPr>
                <w:rFonts w:ascii="Calibri" w:hAnsi="Calibri" w:eastAsia="Calibri"/>
                <w:b w:val="0"/>
                <w:color w:val="5A6A7A"/>
                <w:sz w:val="19"/>
              </w:rPr>
              <w:t>Patient · Insurance · Carrier validation against OpenDental records</w:t>
            </w:r>
          </w:p>
        </w:tc>
      </w:tr>
      <w:tr>
        <w:tc>
          <w:tcPr>
            <w:tcW w:type="dxa" w:w="1008"/>
            <w:shd w:fill="1E73E8" w:val="clear"/>
            <w:tcBorders>
              <w:top w:val="single" w:sz="4" w:color="0F4CA8"/>
              <w:left w:val="single" w:sz="4" w:color="0F4CA8"/>
              <w:bottom w:val="single" w:sz="4" w:color="0F4CA8"/>
              <w:right w:val="single" w:sz="4" w:color="0F4CA8"/>
            </w:tcBorders>
            <w:vAlign w:val="center"/>
          </w:tcPr>
          <w:p>
            <w:pPr>
              <w:jc w:val="center"/>
            </w:pPr>
            <w:r>
              <w:rPr>
                <w:rFonts w:ascii="Calibri" w:hAnsi="Calibri" w:eastAsia="Calibri"/>
                <w:b/>
                <w:color w:val="FFFFFF"/>
                <w:sz w:val="28"/>
              </w:rPr>
              <w:t>02</w:t>
            </w:r>
          </w:p>
        </w:tc>
        <w:tc>
          <w:tcPr>
            <w:tcW w:type="dxa" w:w="8352"/>
            <w:shd w:fill="F2F5F8" w:val="clear"/>
            <w:tcBorders>
              <w:top w:val="single" w:sz="4" w:color="D0D7DE"/>
              <w:left w:val="single" w:sz="4" w:color="D0D7DE"/>
              <w:bottom w:val="single" w:sz="4" w:color="D0D7DE"/>
              <w:right w:val="single" w:sz="4" w:color="D0D7DE"/>
            </w:tcBorders>
            <w:vAlign w:val="center"/>
          </w:tcPr>
          <w:p>
            <w:pPr>
              <w:spacing w:before="80" w:after="20" w:line="276" w:lineRule="auto"/>
            </w:pPr>
            <w:r>
              <w:rPr>
                <w:rFonts w:ascii="Calibri" w:hAnsi="Calibri" w:eastAsia="Calibri"/>
                <w:b/>
                <w:color w:val="0F4CA8"/>
                <w:sz w:val="22"/>
              </w:rPr>
              <w:t>Electronic Eligibility</w:t>
            </w:r>
          </w:p>
          <w:p>
            <w:pPr>
              <w:spacing w:before="0" w:after="80" w:line="276" w:lineRule="auto"/>
            </w:pPr>
            <w:r>
              <w:rPr>
                <w:rFonts w:ascii="Calibri" w:hAnsi="Calibri" w:eastAsia="Calibri"/>
                <w:b w:val="0"/>
                <w:color w:val="5A6A7A"/>
                <w:sz w:val="19"/>
              </w:rPr>
              <w:t>Stedi 270/271 inquiry with payer routing and response capture</w:t>
            </w:r>
          </w:p>
        </w:tc>
      </w:tr>
      <w:tr>
        <w:tc>
          <w:tcPr>
            <w:tcW w:type="dxa" w:w="1008"/>
            <w:shd w:fill="1E73E8" w:val="clear"/>
            <w:tcBorders>
              <w:top w:val="single" w:sz="4" w:color="0F4CA8"/>
              <w:left w:val="single" w:sz="4" w:color="0F4CA8"/>
              <w:bottom w:val="single" w:sz="4" w:color="0F4CA8"/>
              <w:right w:val="single" w:sz="4" w:color="0F4CA8"/>
            </w:tcBorders>
            <w:vAlign w:val="center"/>
          </w:tcPr>
          <w:p>
            <w:pPr>
              <w:jc w:val="center"/>
            </w:pPr>
            <w:r>
              <w:rPr>
                <w:rFonts w:ascii="Calibri" w:hAnsi="Calibri" w:eastAsia="Calibri"/>
                <w:b/>
                <w:color w:val="FFFFFF"/>
                <w:sz w:val="28"/>
              </w:rPr>
              <w:t>03</w:t>
            </w:r>
          </w:p>
        </w:tc>
        <w:tc>
          <w:tcPr>
            <w:tcW w:type="dxa" w:w="8352"/>
            <w:shd w:fill="E8F1FC" w:val="clear"/>
            <w:tcBorders>
              <w:top w:val="single" w:sz="4" w:color="D0D7DE"/>
              <w:left w:val="single" w:sz="4" w:color="D0D7DE"/>
              <w:bottom w:val="single" w:sz="4" w:color="D0D7DE"/>
              <w:right w:val="single" w:sz="4" w:color="D0D7DE"/>
            </w:tcBorders>
            <w:vAlign w:val="center"/>
          </w:tcPr>
          <w:p>
            <w:pPr>
              <w:spacing w:before="80" w:after="20" w:line="276" w:lineRule="auto"/>
            </w:pPr>
            <w:r>
              <w:rPr>
                <w:rFonts w:ascii="Calibri" w:hAnsi="Calibri" w:eastAsia="Calibri"/>
                <w:b/>
                <w:color w:val="0F4CA8"/>
                <w:sz w:val="22"/>
              </w:rPr>
              <w:t>Normalization &amp; Interpretation</w:t>
            </w:r>
          </w:p>
          <w:p>
            <w:pPr>
              <w:spacing w:before="0" w:after="80" w:line="276" w:lineRule="auto"/>
            </w:pPr>
            <w:r>
              <w:rPr>
                <w:rFonts w:ascii="Calibri" w:hAnsi="Calibri" w:eastAsia="Calibri"/>
                <w:b w:val="0"/>
                <w:color w:val="5A6A7A"/>
                <w:sz w:val="19"/>
              </w:rPr>
              <w:t>Canonical benefits model · coverage percentages · accumulators</w:t>
            </w:r>
          </w:p>
        </w:tc>
      </w:tr>
      <w:tr>
        <w:tc>
          <w:tcPr>
            <w:tcW w:type="dxa" w:w="1008"/>
            <w:shd w:fill="1E73E8" w:val="clear"/>
            <w:tcBorders>
              <w:top w:val="single" w:sz="4" w:color="0F4CA8"/>
              <w:left w:val="single" w:sz="4" w:color="0F4CA8"/>
              <w:bottom w:val="single" w:sz="4" w:color="0F4CA8"/>
              <w:right w:val="single" w:sz="4" w:color="0F4CA8"/>
            </w:tcBorders>
            <w:vAlign w:val="center"/>
          </w:tcPr>
          <w:p>
            <w:pPr>
              <w:jc w:val="center"/>
            </w:pPr>
            <w:r>
              <w:rPr>
                <w:rFonts w:ascii="Calibri" w:hAnsi="Calibri" w:eastAsia="Calibri"/>
                <w:b/>
                <w:color w:val="FFFFFF"/>
                <w:sz w:val="28"/>
              </w:rPr>
              <w:t>04</w:t>
            </w:r>
          </w:p>
        </w:tc>
        <w:tc>
          <w:tcPr>
            <w:tcW w:type="dxa" w:w="8352"/>
            <w:shd w:fill="F2F5F8" w:val="clear"/>
            <w:tcBorders>
              <w:top w:val="single" w:sz="4" w:color="D0D7DE"/>
              <w:left w:val="single" w:sz="4" w:color="D0D7DE"/>
              <w:bottom w:val="single" w:sz="4" w:color="D0D7DE"/>
              <w:right w:val="single" w:sz="4" w:color="D0D7DE"/>
            </w:tcBorders>
            <w:vAlign w:val="center"/>
          </w:tcPr>
          <w:p>
            <w:pPr>
              <w:spacing w:before="80" w:after="20" w:line="276" w:lineRule="auto"/>
            </w:pPr>
            <w:r>
              <w:rPr>
                <w:rFonts w:ascii="Calibri" w:hAnsi="Calibri" w:eastAsia="Calibri"/>
                <w:b/>
                <w:color w:val="0F4CA8"/>
                <w:sz w:val="22"/>
              </w:rPr>
              <w:t>Business Rules &amp; Confidence</w:t>
            </w:r>
          </w:p>
          <w:p>
            <w:pPr>
              <w:spacing w:before="0" w:after="80" w:line="276" w:lineRule="auto"/>
            </w:pPr>
            <w:r>
              <w:rPr>
                <w:rFonts w:ascii="Calibri" w:hAnsi="Calibri" w:eastAsia="Calibri"/>
                <w:b w:val="0"/>
                <w:color w:val="5A6A7A"/>
                <w:sz w:val="19"/>
              </w:rPr>
              <w:t>Payer rules · caching · confidence scoring · exception routing</w:t>
            </w:r>
          </w:p>
        </w:tc>
      </w:tr>
      <w:tr>
        <w:tc>
          <w:tcPr>
            <w:tcW w:type="dxa" w:w="1008"/>
            <w:shd w:fill="1E73E8" w:val="clear"/>
            <w:tcBorders>
              <w:top w:val="single" w:sz="4" w:color="0F4CA8"/>
              <w:left w:val="single" w:sz="4" w:color="0F4CA8"/>
              <w:bottom w:val="single" w:sz="4" w:color="0F4CA8"/>
              <w:right w:val="single" w:sz="4" w:color="0F4CA8"/>
            </w:tcBorders>
            <w:vAlign w:val="center"/>
          </w:tcPr>
          <w:p>
            <w:pPr>
              <w:jc w:val="center"/>
            </w:pPr>
            <w:r>
              <w:rPr>
                <w:rFonts w:ascii="Calibri" w:hAnsi="Calibri" w:eastAsia="Calibri"/>
                <w:b/>
                <w:color w:val="FFFFFF"/>
                <w:sz w:val="28"/>
              </w:rPr>
              <w:t>05</w:t>
            </w:r>
          </w:p>
        </w:tc>
        <w:tc>
          <w:tcPr>
            <w:tcW w:type="dxa" w:w="8352"/>
            <w:shd w:fill="E8F1FC" w:val="clear"/>
            <w:tcBorders>
              <w:top w:val="single" w:sz="4" w:color="D0D7DE"/>
              <w:left w:val="single" w:sz="4" w:color="D0D7DE"/>
              <w:bottom w:val="single" w:sz="4" w:color="D0D7DE"/>
              <w:right w:val="single" w:sz="4" w:color="D0D7DE"/>
            </w:tcBorders>
            <w:vAlign w:val="center"/>
          </w:tcPr>
          <w:p>
            <w:pPr>
              <w:spacing w:before="80" w:after="20" w:line="276" w:lineRule="auto"/>
            </w:pPr>
            <w:r>
              <w:rPr>
                <w:rFonts w:ascii="Calibri" w:hAnsi="Calibri" w:eastAsia="Calibri"/>
                <w:b/>
                <w:color w:val="0F4CA8"/>
                <w:sz w:val="22"/>
              </w:rPr>
              <w:t>Human Review</w:t>
            </w:r>
          </w:p>
          <w:p>
            <w:pPr>
              <w:spacing w:before="0" w:after="80" w:line="276" w:lineRule="auto"/>
            </w:pPr>
            <w:r>
              <w:rPr>
                <w:rFonts w:ascii="Calibri" w:hAnsi="Calibri" w:eastAsia="Calibri"/>
                <w:b w:val="0"/>
                <w:color w:val="5A6A7A"/>
                <w:sz w:val="19"/>
              </w:rPr>
              <w:t>Dashboard review queue · exception queue · approval workflow</w:t>
            </w:r>
          </w:p>
        </w:tc>
      </w:tr>
      <w:tr>
        <w:tc>
          <w:tcPr>
            <w:tcW w:type="dxa" w:w="1008"/>
            <w:shd w:fill="1E73E8" w:val="clear"/>
            <w:tcBorders>
              <w:top w:val="single" w:sz="4" w:color="0F4CA8"/>
              <w:left w:val="single" w:sz="4" w:color="0F4CA8"/>
              <w:bottom w:val="single" w:sz="4" w:color="0F4CA8"/>
              <w:right w:val="single" w:sz="4" w:color="0F4CA8"/>
            </w:tcBorders>
            <w:vAlign w:val="center"/>
          </w:tcPr>
          <w:p>
            <w:pPr>
              <w:jc w:val="center"/>
            </w:pPr>
            <w:r>
              <w:rPr>
                <w:rFonts w:ascii="Calibri" w:hAnsi="Calibri" w:eastAsia="Calibri"/>
                <w:b/>
                <w:color w:val="FFFFFF"/>
                <w:sz w:val="28"/>
              </w:rPr>
              <w:t>06</w:t>
            </w:r>
          </w:p>
        </w:tc>
        <w:tc>
          <w:tcPr>
            <w:tcW w:type="dxa" w:w="8352"/>
            <w:shd w:fill="F2F5F8" w:val="clear"/>
            <w:tcBorders>
              <w:top w:val="single" w:sz="4" w:color="D0D7DE"/>
              <w:left w:val="single" w:sz="4" w:color="D0D7DE"/>
              <w:bottom w:val="single" w:sz="4" w:color="D0D7DE"/>
              <w:right w:val="single" w:sz="4" w:color="D0D7DE"/>
            </w:tcBorders>
            <w:vAlign w:val="center"/>
          </w:tcPr>
          <w:p>
            <w:pPr>
              <w:spacing w:before="80" w:after="20" w:line="276" w:lineRule="auto"/>
            </w:pPr>
            <w:r>
              <w:rPr>
                <w:rFonts w:ascii="Calibri" w:hAnsi="Calibri" w:eastAsia="Calibri"/>
                <w:b/>
                <w:color w:val="0F4CA8"/>
                <w:sz w:val="22"/>
              </w:rPr>
              <w:t>OpenDental Writeback</w:t>
            </w:r>
          </w:p>
          <w:p>
            <w:pPr>
              <w:spacing w:before="0" w:after="80" w:line="276" w:lineRule="auto"/>
            </w:pPr>
            <w:r>
              <w:rPr>
                <w:rFonts w:ascii="Calibri" w:hAnsi="Calibri" w:eastAsia="Calibri"/>
                <w:b w:val="0"/>
                <w:color w:val="5A6A7A"/>
                <w:sz w:val="19"/>
              </w:rPr>
              <w:t>Benefit Notes · InsVerify · Commlog · Benefits Grid · Adjustments</w:t>
            </w:r>
          </w:p>
        </w:tc>
      </w:tr>
    </w:tbl>
    <w:p/>
    <w:p>
      <w:pPr>
        <w:spacing w:before="160" w:after="80" w:line="276" w:lineRule="auto"/>
      </w:pPr>
      <w:r>
        <w:rPr>
          <w:rFonts w:ascii="Calibri" w:hAnsi="Calibri" w:eastAsia="Calibri"/>
          <w:b/>
          <w:color w:val="1E73E8"/>
          <w:sz w:val="24"/>
        </w:rPr>
        <w:t>Pipeline Detail</w:t>
      </w:r>
    </w:p>
    <w:tbl>
      <w:tblPr>
        <w:tblW w:type="auto" w:w="0"/>
        <w:jc w:val="center"/>
        <w:tblLook w:firstColumn="1" w:firstRow="1" w:lastColumn="0" w:lastRow="0" w:noHBand="0" w:noVBand="1" w:val="04A0"/>
        <w:tblLayout w:type="fixed"/>
      </w:tblPr>
      <w:tblGrid>
        <w:gridCol w:w="5040"/>
        <w:gridCol w:w="5040"/>
      </w:tblGrid>
      <w:tr>
        <w:tc>
          <w:tcPr>
            <w:tcW w:type="dxa" w:w="3168"/>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Layer</w:t>
            </w:r>
          </w:p>
        </w:tc>
        <w:tc>
          <w:tcPr>
            <w:tcW w:type="dxa" w:w="6480"/>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What ezFi Does</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Patient validation</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Confirms identity and demographics against OpenDental before payer inquiry</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Insurance validation</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Validates plan linkage, subscriber relationships, and coverage order</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Carrier validation</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Resolves payer identity and routing for electronic eligibility</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OpenDental integration</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Pulls live plan context and prepares deterministic writeback targets</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Stedi 270/271 eligibility</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Issues electronic benefit inquiry and captures structured 271 responses</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Eligibility normalization</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Maps heterogeneous payer responses into a canonical dental benefits model</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Coverage interpretation</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Derives percentages, accumulators, limitations, and plan clauses</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Business rules</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Applies organization and payer-specific policies before staff see results</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Caching</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Reuses recent, still-valid eligibility where appropriate to reduce cost and latency</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Confidence scoring</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Scores completeness and reliability; gates automated vs. review paths</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Review queue</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Surfaces incomplete, conflicting, or low-confidence cases for staff</w:t>
            </w:r>
          </w:p>
        </w:tc>
      </w:tr>
      <w:tr>
        <w:tc>
          <w:tcPr>
            <w:tcW w:type="dxa" w:w="31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Dashboard</w:t>
            </w:r>
          </w:p>
        </w:tc>
        <w:tc>
          <w:tcPr>
            <w:tcW w:type="dxa" w:w="64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Operational workspace for queue management, detail review, and approval</w:t>
            </w:r>
          </w:p>
        </w:tc>
      </w:tr>
      <w:tr>
        <w:tc>
          <w:tcPr>
            <w:tcW w:type="dxa" w:w="31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Exception handling</w:t>
            </w:r>
          </w:p>
        </w:tc>
        <w:tc>
          <w:tcPr>
            <w:tcW w:type="dxa" w:w="64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Routes failures, payer gaps, and writeback conflicts into owned exception queues</w:t>
            </w:r>
          </w:p>
        </w:tc>
      </w:tr>
    </w:tbl>
    <w:p>
      <w:pPr>
        <w:spacing w:before="0" w:after="40" w:line="276" w:lineRule="auto"/>
      </w:pPr>
    </w:p>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Outcome</w:t>
            </w:r>
          </w:p>
          <w:p>
            <w:pPr>
              <w:spacing w:before="0" w:after="80" w:line="276" w:lineRule="auto"/>
            </w:pPr>
            <w:r>
              <w:rPr>
                <w:rFonts w:ascii="Calibri" w:hAnsi="Calibri" w:eastAsia="Calibri"/>
                <w:b w:val="0"/>
                <w:color w:val="5A6A7A"/>
                <w:sz w:val="19"/>
              </w:rPr>
              <w:t>Staff receive a consistent, specialist-level Verification of Benefits—not a raw 271 dump—with clear confidence signals and a controlled path into OpenDental.</w:t>
            </w:r>
          </w:p>
        </w:tc>
      </w:tr>
    </w:tbl>
    <w:p>
      <w:r>
        <w:br w:type="page"/>
      </w:r>
    </w:p>
    <w:p>
      <w:pPr>
        <w:spacing w:before="240" w:after="80" w:line="276" w:lineRule="auto"/>
        <w:pBdr>
          <w:bottom w:val="single" w:sz="14" w:space="1" w:color="1E73E8"/>
        </w:pBdr>
      </w:pPr>
      <w:r>
        <w:rPr>
          <w:rFonts w:ascii="Calibri" w:hAnsi="Calibri" w:eastAsia="Calibri"/>
          <w:b/>
          <w:color w:val="0F4CA8"/>
          <w:sz w:val="32"/>
        </w:rPr>
        <w:t>5. Specialist-Level Verification of Benefits</w:t>
      </w:r>
    </w:p>
    <w:p>
      <w:pPr>
        <w:spacing w:before="0" w:after="120" w:line="259" w:lineRule="auto"/>
      </w:pPr>
      <w:r>
        <w:rPr>
          <w:rFonts w:ascii="Calibri" w:hAnsi="Calibri" w:eastAsia="Calibri"/>
          <w:b w:val="0"/>
          <w:color w:val="1A1A1A"/>
          <w:sz w:val="21"/>
        </w:rPr>
        <w:t>Raw electronic eligibility is incomplete for dental operations. ezFi transforms 271 data into structured, specialist-quality Verification of Benefits summaries that front desk, treatment coordinators, and billing teams can act on immediately.</w:t>
      </w:r>
    </w:p>
    <w:p>
      <w:pPr>
        <w:spacing w:before="160" w:after="80" w:line="276" w:lineRule="auto"/>
      </w:pPr>
      <w:r>
        <w:rPr>
          <w:rFonts w:ascii="Calibri" w:hAnsi="Calibri" w:eastAsia="Calibri"/>
          <w:b/>
          <w:color w:val="1E73E8"/>
          <w:sz w:val="24"/>
        </w:rPr>
        <w:t>Extracted &amp; Interpreted Benefit Elements</w:t>
      </w:r>
    </w:p>
    <w:tbl>
      <w:tblPr>
        <w:tblW w:type="auto" w:w="0"/>
        <w:jc w:val="center"/>
        <w:tblLook w:firstColumn="1" w:firstRow="1" w:lastColumn="0" w:lastRow="0" w:noHBand="0" w:noVBand="1" w:val="04A0"/>
        <w:tblLayout w:type="fixed"/>
      </w:tblPr>
      <w:tblGrid>
        <w:gridCol w:w="3360"/>
        <w:gridCol w:w="3360"/>
        <w:gridCol w:w="3360"/>
      </w:tblGrid>
      <w:tr>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Active Coverage</w:t>
            </w:r>
          </w:p>
        </w:tc>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Coverage Percentages</w:t>
            </w:r>
          </w:p>
        </w:tc>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Deductibles</w:t>
            </w:r>
          </w:p>
        </w:tc>
      </w:tr>
      <w:tr>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Remaining Deductibles</w:t>
            </w:r>
          </w:p>
        </w:tc>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Annual Maximums</w:t>
            </w:r>
          </w:p>
        </w:tc>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Remaining Maximums</w:t>
            </w:r>
          </w:p>
        </w:tc>
      </w:tr>
      <w:tr>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Preventive / Basic / Major</w:t>
            </w:r>
          </w:p>
        </w:tc>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Orthodontic Benefits</w:t>
            </w:r>
          </w:p>
        </w:tc>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Implant Benefits</w:t>
            </w:r>
          </w:p>
        </w:tc>
      </w:tr>
      <w:tr>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Waiting Periods</w:t>
            </w:r>
          </w:p>
        </w:tc>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Frequency Limitations</w:t>
            </w:r>
          </w:p>
        </w:tc>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Age Limitations</w:t>
            </w:r>
          </w:p>
        </w:tc>
      </w:tr>
      <w:tr>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Missing Tooth Clauses</w:t>
            </w:r>
          </w:p>
        </w:tc>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Alternate Benefits</w:t>
            </w:r>
          </w:p>
        </w:tc>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Downgrade Rules</w:t>
            </w:r>
          </w:p>
        </w:tc>
      </w:tr>
      <w:tr>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Prior Auth Indicators</w:t>
            </w:r>
          </w:p>
        </w:tc>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Individual vs Family Accumulators</w:t>
            </w:r>
          </w:p>
        </w:tc>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Last Service Dates</w:t>
            </w:r>
          </w:p>
        </w:tc>
      </w:tr>
      <w:tr>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Subscriber Information</w:t>
            </w:r>
          </w:p>
        </w:tc>
        <w:tc>
          <w:tcPr>
            <w:tcW w:type="dxa" w:w="3096"/>
            <w:shd w:fill="F2F5F8"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Dependent Information</w:t>
            </w:r>
          </w:p>
        </w:tc>
        <w:tc>
          <w:tcPr>
            <w:tcW w:type="dxa" w:w="3096"/>
            <w:shd w:fill="E8F1FC" w:val="clear"/>
            <w:tcBorders>
              <w:top w:val="single" w:sz="4" w:color="D0D7DE"/>
              <w:left w:val="single" w:sz="4" w:color="D0D7DE"/>
              <w:bottom w:val="single" w:sz="4" w:color="D0D7DE"/>
              <w:right w:val="single" w:sz="4" w:color="D0D7DE"/>
            </w:tcBorders>
          </w:tcPr>
          <w:p>
            <w:pPr>
              <w:spacing w:before="100" w:after="100" w:line="276" w:lineRule="auto"/>
              <w:jc w:val="center"/>
            </w:pPr>
            <w:r>
              <w:rPr>
                <w:rFonts w:ascii="Calibri" w:hAnsi="Calibri" w:eastAsia="Calibri"/>
                <w:b/>
                <w:color w:val="0F4CA8"/>
                <w:sz w:val="19"/>
              </w:rPr>
              <w:t>Patient Estimates</w:t>
            </w:r>
          </w:p>
        </w:tc>
      </w:tr>
    </w:tbl>
    <w:p/>
    <w:p>
      <w:pPr>
        <w:spacing w:before="160" w:after="80" w:line="276" w:lineRule="auto"/>
      </w:pPr>
      <w:r>
        <w:rPr>
          <w:rFonts w:ascii="Calibri" w:hAnsi="Calibri" w:eastAsia="Calibri"/>
          <w:b/>
          <w:color w:val="1E73E8"/>
          <w:sz w:val="24"/>
        </w:rPr>
        <w:t>From Raw 271 to Operational Clarity</w:t>
      </w:r>
    </w:p>
    <w:tbl>
      <w:tblPr>
        <w:tblW w:type="auto" w:w="0"/>
        <w:jc w:val="center"/>
        <w:tblLook w:firstColumn="1" w:firstRow="1" w:lastColumn="0" w:lastRow="0" w:noHBand="0" w:noVBand="1" w:val="04A0"/>
        <w:tblLayout w:type="fixed"/>
      </w:tblPr>
      <w:tblGrid>
        <w:gridCol w:w="5040"/>
        <w:gridCol w:w="5040"/>
      </w:tblGrid>
      <w:tr>
        <w:tc>
          <w:tcPr>
            <w:tcW w:type="dxa" w:w="3744"/>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Source Reality</w:t>
            </w:r>
          </w:p>
        </w:tc>
        <w:tc>
          <w:tcPr>
            <w:tcW w:type="dxa" w:w="5904"/>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ezFi Output</w:t>
            </w:r>
          </w:p>
        </w:tc>
      </w:tr>
      <w:tr>
        <w:tc>
          <w:tcPr>
            <w:tcW w:type="dxa" w:w="374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Fragmented EDI segments</w:t>
            </w:r>
          </w:p>
        </w:tc>
        <w:tc>
          <w:tcPr>
            <w:tcW w:type="dxa" w:w="590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Canonical dental benefits record</w:t>
            </w:r>
          </w:p>
        </w:tc>
      </w:tr>
      <w:tr>
        <w:tc>
          <w:tcPr>
            <w:tcW w:type="dxa" w:w="374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Payer-specific naming</w:t>
            </w:r>
          </w:p>
        </w:tc>
        <w:tc>
          <w:tcPr>
            <w:tcW w:type="dxa" w:w="590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Normalized coverage categories</w:t>
            </w:r>
          </w:p>
        </w:tc>
      </w:tr>
      <w:tr>
        <w:tc>
          <w:tcPr>
            <w:tcW w:type="dxa" w:w="374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Missing narrative context</w:t>
            </w:r>
          </w:p>
        </w:tc>
        <w:tc>
          <w:tcPr>
            <w:tcW w:type="dxa" w:w="590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Deterministic VOB summary for Benefit Notes</w:t>
            </w:r>
          </w:p>
        </w:tc>
      </w:tr>
      <w:tr>
        <w:tc>
          <w:tcPr>
            <w:tcW w:type="dxa" w:w="374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Unclear patient cost</w:t>
            </w:r>
          </w:p>
        </w:tc>
        <w:tc>
          <w:tcPr>
            <w:tcW w:type="dxa" w:w="590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Procedure-aware patient estimates where data allows</w:t>
            </w:r>
          </w:p>
        </w:tc>
      </w:tr>
      <w:tr>
        <w:tc>
          <w:tcPr>
            <w:tcW w:type="dxa" w:w="374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No audit trail</w:t>
            </w:r>
          </w:p>
        </w:tc>
        <w:tc>
          <w:tcPr>
            <w:tcW w:type="dxa" w:w="590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Verification timestamp, check ID, and review status</w:t>
            </w:r>
          </w:p>
        </w:tc>
      </w:tr>
    </w:tbl>
    <w:p>
      <w:pPr>
        <w:spacing w:before="0" w:after="40" w:line="276" w:lineRule="auto"/>
      </w:pPr>
    </w:p>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Specialist Standard</w:t>
            </w:r>
          </w:p>
          <w:p>
            <w:pPr>
              <w:spacing w:before="0" w:after="80" w:line="276" w:lineRule="auto"/>
            </w:pPr>
            <w:r>
              <w:rPr>
                <w:rFonts w:ascii="Calibri" w:hAnsi="Calibri" w:eastAsia="Calibri"/>
                <w:b w:val="0"/>
                <w:color w:val="5A6A7A"/>
                <w:sz w:val="19"/>
              </w:rPr>
              <w:t>ezFi is designed to produce the same depth a skilled insurance coordinator would document after a thorough payer call—coverage, deductibles, maximums, limitations, clauses, and patient estimates—then keep that standard consistent across every location.</w:t>
            </w:r>
          </w:p>
        </w:tc>
      </w:tr>
    </w:tbl>
    <w:p>
      <w:r>
        <w:br w:type="page"/>
      </w:r>
    </w:p>
    <w:p>
      <w:pPr>
        <w:spacing w:before="240" w:after="80" w:line="276" w:lineRule="auto"/>
        <w:pBdr>
          <w:bottom w:val="single" w:sz="14" w:space="1" w:color="1E73E8"/>
        </w:pBdr>
      </w:pPr>
      <w:r>
        <w:rPr>
          <w:rFonts w:ascii="Calibri" w:hAnsi="Calibri" w:eastAsia="Calibri"/>
          <w:b/>
          <w:color w:val="0F4CA8"/>
          <w:sz w:val="32"/>
        </w:rPr>
        <w:t>6. OpenDental Writeback</w:t>
      </w:r>
    </w:p>
    <w:p>
      <w:pPr>
        <w:spacing w:before="0" w:after="120" w:line="259" w:lineRule="auto"/>
      </w:pPr>
      <w:r>
        <w:rPr>
          <w:rFonts w:ascii="Calibri" w:hAnsi="Calibri" w:eastAsia="Calibri"/>
          <w:b w:val="0"/>
          <w:color w:val="1A1A1A"/>
          <w:sz w:val="21"/>
        </w:rPr>
        <w:t>Verification only creates value when it lands where staff already work. ezFi writes structured eligibility results into OpenDental across multiple, purpose-built locations—each with clear intent, isolation of failures, and safeguards for manually curated data.</w:t>
      </w:r>
    </w:p>
    <w:p>
      <w:pPr>
        <w:spacing w:before="160" w:after="80" w:line="276" w:lineRule="auto"/>
      </w:pPr>
      <w:r>
        <w:rPr>
          <w:rFonts w:ascii="Calibri" w:hAnsi="Calibri" w:eastAsia="Calibri"/>
          <w:b/>
          <w:color w:val="1E73E8"/>
          <w:sz w:val="24"/>
        </w:rPr>
        <w:t>Writeback Locations</w:t>
      </w:r>
    </w:p>
    <w:tbl>
      <w:tblPr>
        <w:tblW w:type="auto" w:w="0"/>
        <w:jc w:val="center"/>
        <w:tblLook w:firstColumn="1" w:firstRow="1" w:lastColumn="0" w:lastRow="0" w:noHBand="0" w:noVBand="1" w:val="04A0"/>
        <w:tblLayout w:type="fixed"/>
      </w:tblPr>
      <w:tblGrid>
        <w:gridCol w:w="3360"/>
        <w:gridCol w:w="3360"/>
        <w:gridCol w:w="3360"/>
      </w:tblGrid>
      <w:tr>
        <w:tc>
          <w:tcPr>
            <w:tcW w:type="dxa" w:w="2448"/>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OpenDental Location</w:t>
            </w:r>
          </w:p>
        </w:tc>
        <w:tc>
          <w:tcPr>
            <w:tcW w:type="dxa" w:w="4176"/>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What ezFi Writes</w:t>
            </w:r>
          </w:p>
        </w:tc>
        <w:tc>
          <w:tcPr>
            <w:tcW w:type="dxa" w:w="3024"/>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Purpose</w:t>
            </w:r>
          </w:p>
        </w:tc>
      </w:tr>
      <w:tr>
        <w:tc>
          <w:tcPr>
            <w:tcW w:type="dxa" w:w="244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Benefit Notes</w:t>
            </w:r>
          </w:p>
        </w:tc>
        <w:tc>
          <w:tcPr>
            <w:tcW w:type="dxa" w:w="417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Complete deterministic VOB summary: coverage, deductibles, annual maximums, patient estimates, verification timestamp</w:t>
            </w:r>
          </w:p>
        </w:tc>
        <w:tc>
          <w:tcPr>
            <w:tcW w:type="dxa" w:w="302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Primary structured snapshot for clinical and billing review</w:t>
            </w:r>
          </w:p>
        </w:tc>
      </w:tr>
      <w:tr>
        <w:tc>
          <w:tcPr>
            <w:tcW w:type="dxa" w:w="244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Subscriber Notes</w:t>
            </w:r>
          </w:p>
        </w:tc>
        <w:tc>
          <w:tcPr>
            <w:tcW w:type="dxa" w:w="417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Short insurance summary visible on the insurance grid</w:t>
            </w:r>
          </w:p>
        </w:tc>
        <w:tc>
          <w:tcPr>
            <w:tcW w:type="dxa" w:w="302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At-a-glance status for front desk</w:t>
            </w:r>
          </w:p>
        </w:tc>
      </w:tr>
      <w:tr>
        <w:tc>
          <w:tcPr>
            <w:tcW w:type="dxa" w:w="244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Insurance Verification</w:t>
            </w:r>
          </w:p>
        </w:tc>
        <w:tc>
          <w:tcPr>
            <w:tcW w:type="dxa" w:w="417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Verification status update (Patient Enrollment &amp; Insurance Benefit)</w:t>
            </w:r>
          </w:p>
        </w:tc>
        <w:tc>
          <w:tcPr>
            <w:tcW w:type="dxa" w:w="302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Audit trail of when and how benefits were verified</w:t>
            </w:r>
          </w:p>
        </w:tc>
      </w:tr>
      <w:tr>
        <w:tc>
          <w:tcPr>
            <w:tcW w:type="dxa" w:w="244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Communication Log</w:t>
            </w:r>
          </w:p>
        </w:tc>
        <w:tc>
          <w:tcPr>
            <w:tcW w:type="dxa" w:w="417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Front desk documentation and estimated patient responsibility</w:t>
            </w:r>
          </w:p>
        </w:tc>
        <w:tc>
          <w:tcPr>
            <w:tcW w:type="dxa" w:w="302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Patient-facing conversation support</w:t>
            </w:r>
          </w:p>
        </w:tc>
      </w:tr>
      <w:tr>
        <w:tc>
          <w:tcPr>
            <w:tcW w:type="dxa" w:w="244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Benefits Grid</w:t>
            </w:r>
          </w:p>
        </w:tc>
        <w:tc>
          <w:tcPr>
            <w:tcW w:type="dxa" w:w="417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Coverage percentages, deductibles, annual maximums; preserves manually edited rows</w:t>
            </w:r>
          </w:p>
        </w:tc>
        <w:tc>
          <w:tcPr>
            <w:tcW w:type="dxa" w:w="3024"/>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Structured plan benefits for estimates and claims</w:t>
            </w:r>
          </w:p>
        </w:tc>
      </w:tr>
      <w:tr>
        <w:tc>
          <w:tcPr>
            <w:tcW w:type="dxa" w:w="244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Insurance Adjustments</w:t>
            </w:r>
          </w:p>
        </w:tc>
        <w:tc>
          <w:tcPr>
            <w:tcW w:type="dxa" w:w="417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Remaining vs. used totals when sufficient payer information exists</w:t>
            </w:r>
          </w:p>
        </w:tc>
        <w:tc>
          <w:tcPr>
            <w:tcW w:type="dxa" w:w="3024"/>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Financial accumulator sync—only with adequate data</w:t>
            </w:r>
          </w:p>
        </w:tc>
      </w:tr>
    </w:tbl>
    <w:p>
      <w:pPr>
        <w:spacing w:before="0" w:after="40" w:line="276" w:lineRule="auto"/>
      </w:pPr>
    </w:p>
    <w:p>
      <w:pPr>
        <w:spacing w:before="160" w:after="80" w:line="276" w:lineRule="auto"/>
      </w:pPr>
      <w:r>
        <w:rPr>
          <w:rFonts w:ascii="Calibri" w:hAnsi="Calibri" w:eastAsia="Calibri"/>
          <w:b/>
          <w:color w:val="1E73E8"/>
          <w:sz w:val="24"/>
        </w:rPr>
        <w:t>Writeback Execution Model</w:t>
      </w:r>
    </w:p>
    <w:p>
      <w:pPr>
        <w:spacing w:before="0" w:after="120" w:line="259" w:lineRule="auto"/>
      </w:pPr>
      <w:r>
        <w:rPr>
          <w:rFonts w:ascii="Calibri" w:hAnsi="Calibri" w:eastAsia="Calibri"/>
          <w:b w:val="0"/>
          <w:color w:val="1A1A1A"/>
          <w:sz w:val="21"/>
        </w:rPr>
        <w:t>Each writeback step is isolated. A failure in one location does not abort the others. Financial and benefits-grid mutations support dry-run / shadow comparison and confidence gating before live mutation.</w:t>
      </w:r>
    </w:p>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OpenDental Remains Authoritative</w:t>
            </w:r>
          </w:p>
          <w:p>
            <w:pPr>
              <w:spacing w:before="0" w:after="80" w:line="276" w:lineRule="auto"/>
            </w:pPr>
            <w:r>
              <w:rPr>
                <w:rFonts w:ascii="Calibri" w:hAnsi="Calibri" w:eastAsia="Calibri"/>
                <w:b w:val="0"/>
                <w:color w:val="5A6A7A"/>
                <w:sz w:val="19"/>
              </w:rPr>
              <w:t>ezFi never invents fee schedules, ledger payments, or fabricated adjustments. Writeback is deterministic, reversible where snapshots exist, and designed for enterprise trust—not silent ledger mutation.</w:t>
            </w:r>
          </w:p>
        </w:tc>
      </w:tr>
    </w:tbl>
    <w:p>
      <w:r>
        <w:br w:type="page"/>
      </w:r>
    </w:p>
    <w:p>
      <w:pPr>
        <w:spacing w:before="240" w:after="80" w:line="276" w:lineRule="auto"/>
        <w:pBdr>
          <w:bottom w:val="single" w:sz="14" w:space="1" w:color="1E73E8"/>
        </w:pBdr>
      </w:pPr>
      <w:r>
        <w:rPr>
          <w:rFonts w:ascii="Calibri" w:hAnsi="Calibri" w:eastAsia="Calibri"/>
          <w:b/>
          <w:color w:val="0F4CA8"/>
          <w:sz w:val="32"/>
        </w:rPr>
        <w:t>7. Safety &amp; Data Integrity</w:t>
      </w:r>
    </w:p>
    <w:p>
      <w:pPr>
        <w:spacing w:before="0" w:after="120" w:line="259" w:lineRule="auto"/>
      </w:pPr>
      <w:r>
        <w:rPr>
          <w:rFonts w:ascii="Calibri" w:hAnsi="Calibri" w:eastAsia="Calibri"/>
          <w:b w:val="0"/>
          <w:color w:val="1A1A1A"/>
          <w:sz w:val="21"/>
        </w:rPr>
        <w:t>Automation without control is a liability. ezFi is engineered so clinics retain complete authority over financial and benefits data while still capturing the speed and consistency of AI-assisted verification.</w:t>
      </w:r>
    </w:p>
    <w:p>
      <w:pPr>
        <w:spacing w:before="160" w:after="80" w:line="276" w:lineRule="auto"/>
      </w:pPr>
      <w:r>
        <w:rPr>
          <w:rFonts w:ascii="Calibri" w:hAnsi="Calibri" w:eastAsia="Calibri"/>
          <w:b/>
          <w:color w:val="1E73E8"/>
          <w:sz w:val="24"/>
        </w:rPr>
        <w:t>ezFi Intentionally Does Not</w:t>
      </w:r>
    </w:p>
    <w:tbl>
      <w:tblPr>
        <w:tblW w:type="auto" w:w="0"/>
        <w:jc w:val="center"/>
        <w:tblLook w:firstColumn="1" w:firstRow="1" w:lastColumn="0" w:lastRow="0" w:noHBand="0" w:noVBand="1" w:val="04A0"/>
        <w:tblLayout w:type="fixed"/>
      </w:tblPr>
      <w:tblGrid>
        <w:gridCol w:w="5040"/>
        <w:gridCol w:w="5040"/>
      </w:tblGrid>
      <w:tr>
        <w:tc>
          <w:tcPr>
            <w:tcW w:type="dxa" w:w="4032"/>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Prohibited Action</w:t>
            </w:r>
          </w:p>
        </w:tc>
        <w:tc>
          <w:tcPr>
            <w:tcW w:type="dxa" w:w="5616"/>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Why It Matters</w:t>
            </w:r>
          </w:p>
        </w:tc>
      </w:tr>
      <w:tr>
        <w:tc>
          <w:tcPr>
            <w:tcW w:type="dxa" w:w="403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Overwrite manually edited benefits</w:t>
            </w:r>
          </w:p>
        </w:tc>
        <w:tc>
          <w:tcPr>
            <w:tcW w:type="dxa" w:w="561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Staff corrections reflect real-world plan knowledge</w:t>
            </w:r>
          </w:p>
        </w:tc>
      </w:tr>
      <w:tr>
        <w:tc>
          <w:tcPr>
            <w:tcW w:type="dxa" w:w="4032"/>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Fabricate adjustments</w:t>
            </w:r>
          </w:p>
        </w:tc>
        <w:tc>
          <w:tcPr>
            <w:tcW w:type="dxa" w:w="561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Ledger integrity must never be invented by a model</w:t>
            </w:r>
          </w:p>
        </w:tc>
      </w:tr>
      <w:tr>
        <w:tc>
          <w:tcPr>
            <w:tcW w:type="dxa" w:w="403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Fabricate payments</w:t>
            </w:r>
          </w:p>
        </w:tc>
        <w:tc>
          <w:tcPr>
            <w:tcW w:type="dxa" w:w="561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Cash and remittance must originate from real payer activity</w:t>
            </w:r>
          </w:p>
        </w:tc>
      </w:tr>
      <w:tr>
        <w:tc>
          <w:tcPr>
            <w:tcW w:type="dxa" w:w="4032"/>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Create fake ledger transactions</w:t>
            </w:r>
          </w:p>
        </w:tc>
        <w:tc>
          <w:tcPr>
            <w:tcW w:type="dxa" w:w="561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OpenDental financials stay audit-safe</w:t>
            </w:r>
          </w:p>
        </w:tc>
      </w:tr>
      <w:tr>
        <w:tc>
          <w:tcPr>
            <w:tcW w:type="dxa" w:w="403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Auto-assign fee schedules</w:t>
            </w:r>
          </w:p>
        </w:tc>
        <w:tc>
          <w:tcPr>
            <w:tcW w:type="dxa" w:w="561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Contractual fees remain a human / contract decision</w:t>
            </w:r>
          </w:p>
        </w:tc>
      </w:tr>
    </w:tbl>
    <w:p>
      <w:pPr>
        <w:spacing w:before="0" w:after="40" w:line="276" w:lineRule="auto"/>
      </w:pPr>
    </w:p>
    <w:p>
      <w:pPr>
        <w:spacing w:before="160" w:after="80" w:line="276" w:lineRule="auto"/>
      </w:pPr>
      <w:r>
        <w:rPr>
          <w:rFonts w:ascii="Calibri" w:hAnsi="Calibri" w:eastAsia="Calibri"/>
          <w:b/>
          <w:color w:val="1E73E8"/>
          <w:sz w:val="24"/>
        </w:rPr>
        <w:t>Control Surfaces</w:t>
      </w:r>
    </w:p>
    <w:tbl>
      <w:tblPr>
        <w:tblW w:type="auto" w:w="0"/>
        <w:jc w:val="center"/>
        <w:tblLook w:firstColumn="1" w:firstRow="1" w:lastColumn="0" w:lastRow="0" w:noHBand="0" w:noVBand="1" w:val="04A0"/>
        <w:tblLayout w:type="fixed"/>
      </w:tblPr>
      <w:tblGrid>
        <w:gridCol w:w="5040"/>
        <w:gridCol w:w="5040"/>
      </w:tblGrid>
      <w:tr>
        <w:tc>
          <w:tcPr>
            <w:tcW w:type="dxa" w:w="4824"/>
            <w:shd w:fill="EEF4FB" w:val="clear"/>
            <w:tcBorders>
              <w:top w:val="single" w:sz="8" w:color="1E73E8"/>
              <w:left w:val="single" w:sz="8" w:color="1E73E8"/>
              <w:bottom w:val="single" w:sz="8" w:color="1E73E8"/>
              <w:right w:val="single" w:sz="8" w:color="1E73E8"/>
            </w:tcBorders>
          </w:tcPr>
          <w:p>
            <w:pPr>
              <w:spacing w:before="80" w:after="20" w:line="276" w:lineRule="auto"/>
            </w:pPr>
            <w:r>
              <w:rPr>
                <w:rFonts w:ascii="Calibri" w:hAnsi="Calibri" w:eastAsia="Calibri"/>
                <w:b/>
                <w:color w:val="0F4CA8"/>
                <w:sz w:val="20"/>
              </w:rPr>
              <w:t>Shadow Mode</w:t>
            </w:r>
          </w:p>
          <w:p>
            <w:pPr>
              <w:spacing w:before="0" w:after="80" w:line="276" w:lineRule="auto"/>
            </w:pPr>
            <w:r>
              <w:rPr>
                <w:rFonts w:ascii="Calibri" w:hAnsi="Calibri" w:eastAsia="Calibri"/>
                <w:b w:val="0"/>
                <w:color w:val="5A6A7A"/>
                <w:sz w:val="18"/>
              </w:rPr>
              <w:t>Run full verification and proposed writeback without mutating OpenDental. Compare before go-live.</w:t>
            </w:r>
          </w:p>
        </w:tc>
        <w:tc>
          <w:tcPr>
            <w:tcW w:type="dxa" w:w="4824"/>
            <w:shd w:fill="EEF4FB" w:val="clear"/>
            <w:tcBorders>
              <w:top w:val="single" w:sz="8" w:color="1E73E8"/>
              <w:left w:val="single" w:sz="8" w:color="1E73E8"/>
              <w:bottom w:val="single" w:sz="8" w:color="1E73E8"/>
              <w:right w:val="single" w:sz="8" w:color="1E73E8"/>
            </w:tcBorders>
          </w:tcPr>
          <w:p>
            <w:pPr>
              <w:spacing w:before="80" w:after="20" w:line="276" w:lineRule="auto"/>
            </w:pPr>
            <w:r>
              <w:rPr>
                <w:rFonts w:ascii="Calibri" w:hAnsi="Calibri" w:eastAsia="Calibri"/>
                <w:b/>
                <w:color w:val="0F4CA8"/>
                <w:sz w:val="20"/>
              </w:rPr>
              <w:t>Review Queue</w:t>
            </w:r>
          </w:p>
          <w:p>
            <w:pPr>
              <w:spacing w:before="0" w:after="80" w:line="276" w:lineRule="auto"/>
            </w:pPr>
            <w:r>
              <w:rPr>
                <w:rFonts w:ascii="Calibri" w:hAnsi="Calibri" w:eastAsia="Calibri"/>
                <w:b w:val="0"/>
                <w:color w:val="5A6A7A"/>
                <w:sz w:val="18"/>
              </w:rPr>
              <w:t>Low-confidence, incomplete, or policy-sensitive results wait for staff judgment.</w:t>
            </w:r>
          </w:p>
        </w:tc>
      </w:tr>
      <w:tr>
        <w:tc>
          <w:tcPr>
            <w:tcW w:type="dxa" w:w="4824"/>
            <w:shd w:fill="EEF4FB" w:val="clear"/>
            <w:tcBorders>
              <w:top w:val="single" w:sz="8" w:color="1E73E8"/>
              <w:left w:val="single" w:sz="8" w:color="1E73E8"/>
              <w:bottom w:val="single" w:sz="8" w:color="1E73E8"/>
              <w:right w:val="single" w:sz="8" w:color="1E73E8"/>
            </w:tcBorders>
          </w:tcPr>
          <w:p>
            <w:pPr>
              <w:spacing w:before="80" w:after="20" w:line="276" w:lineRule="auto"/>
            </w:pPr>
            <w:r>
              <w:rPr>
                <w:rFonts w:ascii="Calibri" w:hAnsi="Calibri" w:eastAsia="Calibri"/>
                <w:b/>
                <w:color w:val="0F4CA8"/>
                <w:sz w:val="20"/>
              </w:rPr>
              <w:t>Exception Queue</w:t>
            </w:r>
          </w:p>
          <w:p>
            <w:pPr>
              <w:spacing w:before="0" w:after="80" w:line="276" w:lineRule="auto"/>
            </w:pPr>
            <w:r>
              <w:rPr>
                <w:rFonts w:ascii="Calibri" w:hAnsi="Calibri" w:eastAsia="Calibri"/>
                <w:b w:val="0"/>
                <w:color w:val="5A6A7A"/>
                <w:sz w:val="18"/>
              </w:rPr>
              <w:t>Failures and conflicts are aged, owned, and actionable—never lost in inboxes.</w:t>
            </w:r>
          </w:p>
        </w:tc>
        <w:tc>
          <w:tcPr>
            <w:tcW w:type="dxa" w:w="4824"/>
            <w:shd w:fill="EEF4FB" w:val="clear"/>
            <w:tcBorders>
              <w:top w:val="single" w:sz="8" w:color="1E73E8"/>
              <w:left w:val="single" w:sz="8" w:color="1E73E8"/>
              <w:bottom w:val="single" w:sz="8" w:color="1E73E8"/>
              <w:right w:val="single" w:sz="8" w:color="1E73E8"/>
            </w:tcBorders>
          </w:tcPr>
          <w:p>
            <w:pPr>
              <w:spacing w:before="80" w:after="20" w:line="276" w:lineRule="auto"/>
            </w:pPr>
            <w:r>
              <w:rPr>
                <w:rFonts w:ascii="Calibri" w:hAnsi="Calibri" w:eastAsia="Calibri"/>
                <w:b/>
                <w:color w:val="0F4CA8"/>
                <w:sz w:val="20"/>
              </w:rPr>
              <w:t>Approval Workflow</w:t>
            </w:r>
          </w:p>
          <w:p>
            <w:pPr>
              <w:spacing w:before="0" w:after="80" w:line="276" w:lineRule="auto"/>
            </w:pPr>
            <w:r>
              <w:rPr>
                <w:rFonts w:ascii="Calibri" w:hAnsi="Calibri" w:eastAsia="Calibri"/>
                <w:b w:val="0"/>
                <w:color w:val="5A6A7A"/>
                <w:sz w:val="18"/>
              </w:rPr>
              <w:t>Consequential writebacks proceed only after configured review, preserving control.</w:t>
            </w:r>
          </w:p>
        </w:tc>
      </w:tr>
    </w:tbl>
    <w:p>
      <w:pPr>
        <w:spacing w:before="240" w:after="80" w:line="276" w:lineRule="auto"/>
        <w:pBdr>
          <w:bottom w:val="single" w:sz="14" w:space="1" w:color="1E73E8"/>
        </w:pBdr>
      </w:pPr>
      <w:r>
        <w:rPr>
          <w:rFonts w:ascii="Calibri" w:hAnsi="Calibri" w:eastAsia="Calibri"/>
          <w:b/>
          <w:color w:val="0F4CA8"/>
          <w:sz w:val="32"/>
        </w:rPr>
        <w:t>8. Voice Verification</w:t>
      </w:r>
    </w:p>
    <w:p>
      <w:pPr>
        <w:spacing w:before="0" w:after="120" w:line="259" w:lineRule="auto"/>
      </w:pPr>
      <w:r>
        <w:rPr>
          <w:rFonts w:ascii="Calibri" w:hAnsi="Calibri" w:eastAsia="Calibri"/>
          <w:b w:val="0"/>
          <w:color w:val="1A1A1A"/>
          <w:sz w:val="21"/>
        </w:rPr>
        <w:t>Electronic eligibility is powerful—but not always complete. Voice AI extends the eligibility stack when the 271 leaves gaps that used to require a staff phone call.</w:t>
      </w:r>
    </w:p>
    <w:p>
      <w:pPr>
        <w:spacing w:before="160" w:after="80" w:line="276" w:lineRule="auto"/>
      </w:pPr>
      <w:r>
        <w:rPr>
          <w:rFonts w:ascii="Calibri" w:hAnsi="Calibri" w:eastAsia="Calibri"/>
          <w:b/>
          <w:color w:val="1E73E8"/>
          <w:sz w:val="24"/>
        </w:rPr>
        <w:t>Workflow</w:t>
      </w:r>
    </w:p>
    <w:p>
      <w:pPr>
        <w:spacing w:before="40" w:after="120" w:line="276" w:lineRule="auto"/>
        <w:jc w:val="center"/>
      </w:pPr>
      <w:r>
        <w:drawing>
          <wp:inline xmlns:a="http://schemas.openxmlformats.org/drawingml/2006/main" xmlns:pic="http://schemas.openxmlformats.org/drawingml/2006/picture">
            <wp:extent cx="5943600" cy="1089660"/>
            <wp:docPr id="3" name="Picture 3"/>
            <wp:cNvGraphicFramePr>
              <a:graphicFrameLocks noChangeAspect="1"/>
            </wp:cNvGraphicFramePr>
            <a:graphic>
              <a:graphicData uri="http://schemas.openxmlformats.org/drawingml/2006/picture">
                <pic:pic>
                  <pic:nvPicPr>
                    <pic:cNvPr id="0" name="voice_flow.png"/>
                    <pic:cNvPicPr/>
                  </pic:nvPicPr>
                  <pic:blipFill>
                    <a:blip r:embed="rId15"/>
                    <a:stretch>
                      <a:fillRect/>
                    </a:stretch>
                  </pic:blipFill>
                  <pic:spPr>
                    <a:xfrm>
                      <a:off x="0" y="0"/>
                      <a:ext cx="5943600" cy="1089660"/>
                    </a:xfrm>
                    <a:prstGeom prst="rect"/>
                  </pic:spPr>
                </pic:pic>
              </a:graphicData>
            </a:graphic>
          </wp:inline>
        </w:drawing>
      </w:r>
    </w:p>
    <w:p>
      <w:pPr>
        <w:spacing w:before="160" w:after="80" w:line="276" w:lineRule="auto"/>
      </w:pPr>
      <w:r>
        <w:rPr>
          <w:rFonts w:ascii="Calibri" w:hAnsi="Calibri" w:eastAsia="Calibri"/>
          <w:b/>
          <w:color w:val="1E73E8"/>
          <w:sz w:val="24"/>
        </w:rPr>
        <w:t>Conversation Design</w:t>
      </w:r>
    </w:p>
    <w:tbl>
      <w:tblPr>
        <w:tblW w:type="auto" w:w="0"/>
        <w:jc w:val="center"/>
        <w:tblLook w:firstColumn="1" w:firstRow="1" w:lastColumn="0" w:lastRow="0" w:noHBand="0" w:noVBand="1" w:val="04A0"/>
        <w:tblLayout w:type="fixed"/>
      </w:tblPr>
      <w:tblGrid>
        <w:gridCol w:w="5040"/>
        <w:gridCol w:w="5040"/>
      </w:tblGrid>
      <w:tr>
        <w:tc>
          <w:tcPr>
            <w:tcW w:type="dxa" w:w="3312"/>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Capability</w:t>
            </w:r>
          </w:p>
        </w:tc>
        <w:tc>
          <w:tcPr>
            <w:tcW w:type="dxa" w:w="6336"/>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Description</w:t>
            </w:r>
          </w:p>
        </w:tc>
      </w:tr>
      <w:tr>
        <w:tc>
          <w:tcPr>
            <w:tcW w:type="dxa" w:w="331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Context-aware conversations</w:t>
            </w:r>
          </w:p>
        </w:tc>
        <w:tc>
          <w:tcPr>
            <w:tcW w:type="dxa" w:w="633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The agent knows the patient, plan, and missing benefit fields before dialing</w:t>
            </w:r>
          </w:p>
        </w:tc>
      </w:tr>
      <w:tr>
        <w:tc>
          <w:tcPr>
            <w:tcW w:type="dxa" w:w="3312"/>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One question at a time</w:t>
            </w:r>
          </w:p>
        </w:tc>
        <w:tc>
          <w:tcPr>
            <w:tcW w:type="dxa" w:w="633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Payer agents receive clear, sequential questions—not overwhelming scripts</w:t>
            </w:r>
          </w:p>
        </w:tc>
      </w:tr>
      <w:tr>
        <w:tc>
          <w:tcPr>
            <w:tcW w:type="dxa" w:w="331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Intelligent follow-up</w:t>
            </w:r>
          </w:p>
        </w:tc>
        <w:tc>
          <w:tcPr>
            <w:tcW w:type="dxa" w:w="633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Answers drive the next question; ambiguity is clarified, not ignored</w:t>
            </w:r>
          </w:p>
        </w:tc>
      </w:tr>
      <w:tr>
        <w:tc>
          <w:tcPr>
            <w:tcW w:type="dxa" w:w="3312"/>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Dashboard review</w:t>
            </w:r>
          </w:p>
        </w:tc>
        <w:tc>
          <w:tcPr>
            <w:tcW w:type="dxa" w:w="633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Transcripts and extracted fields land in the same review workspace as electronic checks</w:t>
            </w:r>
          </w:p>
        </w:tc>
      </w:tr>
      <w:tr>
        <w:tc>
          <w:tcPr>
            <w:tcW w:type="dxa" w:w="331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Safe reconciliation</w:t>
            </w:r>
          </w:p>
        </w:tc>
        <w:tc>
          <w:tcPr>
            <w:tcW w:type="dxa" w:w="633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Voice findings merge into the VOB and writeback path only after review and approval</w:t>
            </w:r>
          </w:p>
        </w:tc>
      </w:tr>
    </w:tbl>
    <w:p>
      <w:pPr>
        <w:spacing w:before="0" w:after="40" w:line="276" w:lineRule="auto"/>
      </w:pPr>
    </w:p>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Complement, Don’t Replace</w:t>
            </w:r>
          </w:p>
          <w:p>
            <w:pPr>
              <w:spacing w:before="0" w:after="80" w:line="276" w:lineRule="auto"/>
            </w:pPr>
            <w:r>
              <w:rPr>
                <w:rFonts w:ascii="Calibri" w:hAnsi="Calibri" w:eastAsia="Calibri"/>
                <w:b w:val="0"/>
                <w:color w:val="5A6A7A"/>
                <w:sz w:val="19"/>
              </w:rPr>
              <w:t>Voice Verification is an extension of electronic eligibility—not a parallel process. The destination is the same: a complete VOB, staff control, and safe OpenDental writeback.</w:t>
            </w:r>
          </w:p>
        </w:tc>
      </w:tr>
    </w:tbl>
    <w:p>
      <w:r>
        <w:br w:type="page"/>
      </w:r>
    </w:p>
    <w:p>
      <w:pPr>
        <w:spacing w:before="240" w:after="80" w:line="276" w:lineRule="auto"/>
        <w:pBdr>
          <w:bottom w:val="single" w:sz="14" w:space="1" w:color="1E73E8"/>
        </w:pBdr>
      </w:pPr>
      <w:r>
        <w:rPr>
          <w:rFonts w:ascii="Calibri" w:hAnsi="Calibri" w:eastAsia="Calibri"/>
          <w:b/>
          <w:color w:val="0F4CA8"/>
          <w:sz w:val="32"/>
        </w:rPr>
        <w:t>9. Future Revenue Cycle Roadmap</w:t>
      </w:r>
    </w:p>
    <w:p>
      <w:pPr>
        <w:spacing w:before="0" w:after="120" w:line="259" w:lineRule="auto"/>
      </w:pPr>
      <w:r>
        <w:rPr>
          <w:rFonts w:ascii="Calibri" w:hAnsi="Calibri" w:eastAsia="Calibri"/>
          <w:b w:val="0"/>
          <w:color w:val="1A1A1A"/>
          <w:sz w:val="21"/>
        </w:rPr>
        <w:t>Eligibility Verification is the foundation. The same architecture—OpenDental as system of record, confidence gating, human review, and deterministic writeback—extends across the dental revenue cycle.</w:t>
      </w:r>
    </w:p>
    <w:tbl>
      <w:tblPr>
        <w:tblW w:type="auto" w:w="0"/>
        <w:jc w:val="center"/>
        <w:tblLook w:firstColumn="1" w:firstRow="1" w:lastColumn="0" w:lastRow="0" w:noHBand="0" w:noVBand="1" w:val="04A0"/>
        <w:tblLayout w:type="fixed"/>
      </w:tblPr>
      <w:tblGrid>
        <w:gridCol w:w="3360"/>
        <w:gridCol w:w="3360"/>
        <w:gridCol w:w="3360"/>
      </w:tblGrid>
      <w:tr>
        <w:tc>
          <w:tcPr>
            <w:tcW w:type="dxa" w:w="3240"/>
            <w:shd w:fill="F2F5F8" w:val="clear"/>
            <w:tcBorders>
              <w:top w:val="single" w:sz="8" w:color="1E73E8"/>
              <w:left w:val="single" w:sz="8" w:color="1E73E8"/>
              <w:bottom w:val="single" w:sz="8" w:color="1E73E8"/>
              <w:right w:val="single" w:sz="8" w:color="1E73E8"/>
            </w:tcBorders>
          </w:tcPr>
          <w:p>
            <w:pPr>
              <w:spacing w:before="80" w:after="60" w:line="276" w:lineRule="auto"/>
            </w:pPr>
            <w:r>
              <w:rPr>
                <w:rFonts w:ascii="Calibri" w:hAnsi="Calibri" w:eastAsia="Calibri"/>
                <w:b/>
                <w:color w:val="0F4CA8"/>
                <w:sz w:val="20"/>
              </w:rPr>
              <w:t>Coding Agent</w:t>
            </w:r>
          </w:p>
          <w:p>
            <w:pPr>
              <w:spacing w:before="20" w:after="20" w:line="276" w:lineRule="auto"/>
            </w:pPr>
            <w:r>
              <w:rPr>
                <w:rFonts w:ascii="Calibri" w:hAnsi="Calibri" w:eastAsia="Calibri"/>
                <w:b w:val="0"/>
                <w:color w:val="1A1A1A"/>
                <w:sz w:val="18"/>
              </w:rPr>
              <w:t>•  AI-assisted CDT coding</w:t>
            </w:r>
          </w:p>
          <w:p>
            <w:pPr>
              <w:spacing w:before="20" w:after="20" w:line="276" w:lineRule="auto"/>
            </w:pPr>
            <w:r>
              <w:rPr>
                <w:rFonts w:ascii="Calibri" w:hAnsi="Calibri" w:eastAsia="Calibri"/>
                <w:b w:val="0"/>
                <w:color w:val="1A1A1A"/>
                <w:sz w:val="18"/>
              </w:rPr>
              <w:t>•  Documentation review</w:t>
            </w:r>
          </w:p>
          <w:p>
            <w:pPr>
              <w:spacing w:before="20" w:after="20" w:line="276" w:lineRule="auto"/>
            </w:pPr>
            <w:r>
              <w:rPr>
                <w:rFonts w:ascii="Calibri" w:hAnsi="Calibri" w:eastAsia="Calibri"/>
                <w:b w:val="0"/>
                <w:color w:val="1A1A1A"/>
                <w:sz w:val="18"/>
              </w:rPr>
              <w:t>•  Clinical narratives</w:t>
            </w:r>
          </w:p>
          <w:p>
            <w:pPr>
              <w:spacing w:before="0" w:after="60" w:line="276" w:lineRule="auto"/>
            </w:pPr>
          </w:p>
        </w:tc>
        <w:tc>
          <w:tcPr>
            <w:tcW w:type="dxa" w:w="3240"/>
            <w:shd w:fill="F2F5F8" w:val="clear"/>
            <w:tcBorders>
              <w:top w:val="single" w:sz="8" w:color="1E73E8"/>
              <w:left w:val="single" w:sz="8" w:color="1E73E8"/>
              <w:bottom w:val="single" w:sz="8" w:color="1E73E8"/>
              <w:right w:val="single" w:sz="8" w:color="1E73E8"/>
            </w:tcBorders>
          </w:tcPr>
          <w:p>
            <w:pPr>
              <w:spacing w:before="80" w:after="60" w:line="276" w:lineRule="auto"/>
            </w:pPr>
            <w:r>
              <w:rPr>
                <w:rFonts w:ascii="Calibri" w:hAnsi="Calibri" w:eastAsia="Calibri"/>
                <w:b/>
                <w:color w:val="0F4CA8"/>
                <w:sz w:val="20"/>
              </w:rPr>
              <w:t>Prior Authorization</w:t>
            </w:r>
          </w:p>
          <w:p>
            <w:pPr>
              <w:spacing w:before="20" w:after="20" w:line="276" w:lineRule="auto"/>
            </w:pPr>
            <w:r>
              <w:rPr>
                <w:rFonts w:ascii="Calibri" w:hAnsi="Calibri" w:eastAsia="Calibri"/>
                <w:b w:val="0"/>
                <w:color w:val="1A1A1A"/>
                <w:sz w:val="18"/>
              </w:rPr>
              <w:t>•  Auth requirement detection</w:t>
            </w:r>
          </w:p>
          <w:p>
            <w:pPr>
              <w:spacing w:before="20" w:after="20" w:line="276" w:lineRule="auto"/>
            </w:pPr>
            <w:r>
              <w:rPr>
                <w:rFonts w:ascii="Calibri" w:hAnsi="Calibri" w:eastAsia="Calibri"/>
                <w:b w:val="0"/>
                <w:color w:val="1A1A1A"/>
                <w:sz w:val="18"/>
              </w:rPr>
              <w:t>•  Attachments &amp; submission</w:t>
            </w:r>
          </w:p>
          <w:p>
            <w:pPr>
              <w:spacing w:before="20" w:after="20" w:line="276" w:lineRule="auto"/>
            </w:pPr>
            <w:r>
              <w:rPr>
                <w:rFonts w:ascii="Calibri" w:hAnsi="Calibri" w:eastAsia="Calibri"/>
                <w:b w:val="0"/>
                <w:color w:val="1A1A1A"/>
                <w:sz w:val="18"/>
              </w:rPr>
              <w:t>•  Tracking &amp; renewals</w:t>
            </w:r>
          </w:p>
          <w:p>
            <w:pPr>
              <w:spacing w:before="0" w:after="60" w:line="276" w:lineRule="auto"/>
            </w:pPr>
          </w:p>
        </w:tc>
        <w:tc>
          <w:tcPr>
            <w:tcW w:type="dxa" w:w="3240"/>
            <w:shd w:fill="F2F5F8" w:val="clear"/>
            <w:tcBorders>
              <w:top w:val="single" w:sz="8" w:color="1E73E8"/>
              <w:left w:val="single" w:sz="8" w:color="1E73E8"/>
              <w:bottom w:val="single" w:sz="8" w:color="1E73E8"/>
              <w:right w:val="single" w:sz="8" w:color="1E73E8"/>
            </w:tcBorders>
          </w:tcPr>
          <w:p>
            <w:pPr>
              <w:spacing w:before="80" w:after="60" w:line="276" w:lineRule="auto"/>
            </w:pPr>
            <w:r>
              <w:rPr>
                <w:rFonts w:ascii="Calibri" w:hAnsi="Calibri" w:eastAsia="Calibri"/>
                <w:b/>
                <w:color w:val="0F4CA8"/>
                <w:sz w:val="20"/>
              </w:rPr>
              <w:t>Claim Preparation</w:t>
            </w:r>
          </w:p>
          <w:p>
            <w:pPr>
              <w:spacing w:before="20" w:after="20" w:line="276" w:lineRule="auto"/>
            </w:pPr>
            <w:r>
              <w:rPr>
                <w:rFonts w:ascii="Calibri" w:hAnsi="Calibri" w:eastAsia="Calibri"/>
                <w:b w:val="0"/>
                <w:color w:val="1A1A1A"/>
                <w:sz w:val="18"/>
              </w:rPr>
              <w:t>•  Pre-submission validation</w:t>
            </w:r>
          </w:p>
          <w:p>
            <w:pPr>
              <w:spacing w:before="20" w:after="20" w:line="276" w:lineRule="auto"/>
            </w:pPr>
            <w:r>
              <w:rPr>
                <w:rFonts w:ascii="Calibri" w:hAnsi="Calibri" w:eastAsia="Calibri"/>
                <w:b w:val="0"/>
                <w:color w:val="1A1A1A"/>
                <w:sz w:val="18"/>
              </w:rPr>
              <w:t>•  Missing documentation</w:t>
            </w:r>
          </w:p>
          <w:p>
            <w:pPr>
              <w:spacing w:before="20" w:after="20" w:line="276" w:lineRule="auto"/>
            </w:pPr>
            <w:r>
              <w:rPr>
                <w:rFonts w:ascii="Calibri" w:hAnsi="Calibri" w:eastAsia="Calibri"/>
                <w:b w:val="0"/>
                <w:color w:val="1A1A1A"/>
                <w:sz w:val="18"/>
              </w:rPr>
              <w:t>•  Readiness scoring</w:t>
            </w:r>
          </w:p>
          <w:p>
            <w:pPr>
              <w:spacing w:before="0" w:after="60" w:line="276" w:lineRule="auto"/>
            </w:pPr>
          </w:p>
        </w:tc>
      </w:tr>
    </w:tbl>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One Operating Model</w:t>
            </w:r>
          </w:p>
          <w:p>
            <w:pPr>
              <w:spacing w:before="0" w:after="80" w:line="276" w:lineRule="auto"/>
            </w:pPr>
            <w:r>
              <w:rPr>
                <w:rFonts w:ascii="Calibri" w:hAnsi="Calibri" w:eastAsia="Calibri"/>
                <w:b w:val="0"/>
                <w:color w:val="5A6A7A"/>
                <w:sz w:val="19"/>
              </w:rPr>
              <w:t>Each future agent reuses ezFi’s review queues, confidence thresholds, audit trail, and OpenDental synchronization patterns—so DSOs do not adopt a patchwork of point tools.</w:t>
            </w:r>
          </w:p>
        </w:tc>
      </w:tr>
    </w:tbl>
    <w:p>
      <w:pPr>
        <w:spacing w:before="240" w:after="80" w:line="276" w:lineRule="auto"/>
        <w:pBdr>
          <w:bottom w:val="single" w:sz="14" w:space="1" w:color="1E73E8"/>
        </w:pBdr>
      </w:pPr>
      <w:r>
        <w:rPr>
          <w:rFonts w:ascii="Calibri" w:hAnsi="Calibri" w:eastAsia="Calibri"/>
          <w:b/>
          <w:color w:val="0F4CA8"/>
          <w:sz w:val="32"/>
        </w:rPr>
        <w:t>10. EOB / ERA Automation</w:t>
      </w:r>
    </w:p>
    <w:p>
      <w:pPr>
        <w:spacing w:before="0" w:after="120" w:line="259" w:lineRule="auto"/>
      </w:pPr>
      <w:r>
        <w:rPr>
          <w:rFonts w:ascii="Calibri" w:hAnsi="Calibri" w:eastAsia="Calibri"/>
          <w:b w:val="0"/>
          <w:color w:val="1A1A1A"/>
          <w:sz w:val="21"/>
        </w:rPr>
        <w:t>As ezFi expands from verification into full revenue cycle automation, remittance processing becomes a natural next layer—structured data first, confidence gates, deterministic OpenDental posting, and human ownership of exceptions.</w:t>
      </w:r>
    </w:p>
    <w:p>
      <w:pPr>
        <w:spacing w:before="160" w:after="80" w:line="276" w:lineRule="auto"/>
      </w:pPr>
      <w:r>
        <w:rPr>
          <w:rFonts w:ascii="Calibri" w:hAnsi="Calibri" w:eastAsia="Calibri"/>
          <w:b/>
          <w:color w:val="1E73E8"/>
          <w:sz w:val="24"/>
        </w:rPr>
        <w:t>Planned Remittance Pipeline</w:t>
      </w:r>
    </w:p>
    <w:p>
      <w:pPr>
        <w:spacing w:before="40" w:after="120" w:line="276" w:lineRule="auto"/>
        <w:jc w:val="center"/>
      </w:pPr>
      <w:r>
        <w:drawing>
          <wp:inline xmlns:a="http://schemas.openxmlformats.org/drawingml/2006/main" xmlns:pic="http://schemas.openxmlformats.org/drawingml/2006/picture">
            <wp:extent cx="5760720" cy="2199548"/>
            <wp:docPr id="4" name="Picture 4"/>
            <wp:cNvGraphicFramePr>
              <a:graphicFrameLocks noChangeAspect="1"/>
            </wp:cNvGraphicFramePr>
            <a:graphic>
              <a:graphicData uri="http://schemas.openxmlformats.org/drawingml/2006/picture">
                <pic:pic>
                  <pic:nvPicPr>
                    <pic:cNvPr id="0" name="era_pipeline.png"/>
                    <pic:cNvPicPr/>
                  </pic:nvPicPr>
                  <pic:blipFill>
                    <a:blip r:embed="rId16"/>
                    <a:stretch>
                      <a:fillRect/>
                    </a:stretch>
                  </pic:blipFill>
                  <pic:spPr>
                    <a:xfrm>
                      <a:off x="0" y="0"/>
                      <a:ext cx="5760720" cy="2199548"/>
                    </a:xfrm>
                    <a:prstGeom prst="rect"/>
                  </pic:spPr>
                </pic:pic>
              </a:graphicData>
            </a:graphic>
          </wp:inline>
        </w:drawing>
      </w:r>
    </w:p>
    <w:p>
      <w:pPr>
        <w:spacing w:before="160" w:after="80" w:line="276" w:lineRule="auto"/>
      </w:pPr>
      <w:r>
        <w:rPr>
          <w:rFonts w:ascii="Calibri" w:hAnsi="Calibri" w:eastAsia="Calibri"/>
          <w:b/>
          <w:color w:val="1E73E8"/>
          <w:sz w:val="24"/>
        </w:rPr>
        <w:t>Capability Overview</w:t>
      </w:r>
    </w:p>
    <w:tbl>
      <w:tblPr>
        <w:tblW w:type="auto" w:w="0"/>
        <w:jc w:val="center"/>
        <w:tblLook w:firstColumn="1" w:firstRow="1" w:lastColumn="0" w:lastRow="0" w:noHBand="0" w:noVBand="1" w:val="04A0"/>
        <w:tblLayout w:type="fixed"/>
      </w:tblPr>
      <w:tblGrid>
        <w:gridCol w:w="5040"/>
        <w:gridCol w:w="5040"/>
      </w:tblGrid>
      <w:tr>
        <w:tc>
          <w:tcPr>
            <w:tcW w:type="dxa" w:w="2880"/>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Capability</w:t>
            </w:r>
          </w:p>
        </w:tc>
        <w:tc>
          <w:tcPr>
            <w:tcW w:type="dxa" w:w="6768"/>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ezFi Approach</w:t>
            </w:r>
          </w:p>
        </w:tc>
      </w:tr>
      <w:tr>
        <w:tc>
          <w:tcPr>
            <w:tcW w:type="dxa" w:w="28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ERA ingestion</w:t>
            </w:r>
          </w:p>
        </w:tc>
        <w:tc>
          <w:tcPr>
            <w:tcW w:type="dxa" w:w="67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Prefer X12 835 / ERA as the highest-fidelity input; maximize electronic remittance share</w:t>
            </w:r>
          </w:p>
        </w:tc>
      </w:tr>
      <w:tr>
        <w:tc>
          <w:tcPr>
            <w:tcW w:type="dxa" w:w="28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EOB interpretation</w:t>
            </w:r>
          </w:p>
        </w:tc>
        <w:tc>
          <w:tcPr>
            <w:tcW w:type="dxa" w:w="67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Document understanding for paper and portal EOBs, with field-level confidence scores</w:t>
            </w:r>
          </w:p>
        </w:tc>
      </w:tr>
      <w:tr>
        <w:tc>
          <w:tcPr>
            <w:tcW w:type="dxa" w:w="28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Payment posting</w:t>
            </w:r>
          </w:p>
        </w:tc>
        <w:tc>
          <w:tcPr>
            <w:tcW w:type="dxa" w:w="67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Deterministic OpenDental API posting to claimprocs—never generative ledger writes</w:t>
            </w:r>
          </w:p>
        </w:tc>
      </w:tr>
      <w:tr>
        <w:tc>
          <w:tcPr>
            <w:tcW w:type="dxa" w:w="28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Payment reconciliation</w:t>
            </w:r>
          </w:p>
        </w:tc>
        <w:tc>
          <w:tcPr>
            <w:tcW w:type="dxa" w:w="67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Three-way match: remittance total = ledger payment = bank credit (EFT trace / check #)</w:t>
            </w:r>
          </w:p>
        </w:tc>
      </w:tr>
      <w:tr>
        <w:tc>
          <w:tcPr>
            <w:tcW w:type="dxa" w:w="28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Exception handling</w:t>
            </w:r>
          </w:p>
        </w:tc>
        <w:tc>
          <w:tcPr>
            <w:tcW w:type="dxa" w:w="67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Named, aging queues for unmatched remits, denials, downgrades, takebacks, and refunds</w:t>
            </w:r>
          </w:p>
        </w:tc>
      </w:tr>
      <w:tr>
        <w:tc>
          <w:tcPr>
            <w:tcW w:type="dxa" w:w="2880"/>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Human review</w:t>
            </w:r>
          </w:p>
        </w:tc>
        <w:tc>
          <w:tcPr>
            <w:tcW w:type="dxa" w:w="6768"/>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Auto-post only when confidence, match, and rules thresholds are met; otherwise review</w:t>
            </w:r>
          </w:p>
        </w:tc>
      </w:tr>
      <w:tr>
        <w:tc>
          <w:tcPr>
            <w:tcW w:type="dxa" w:w="2880"/>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OpenDental sync</w:t>
            </w:r>
          </w:p>
        </w:tc>
        <w:tc>
          <w:tcPr>
            <w:tcW w:type="dxa" w:w="6768"/>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Payments, write-offs, deductibles, source documents, and posting rationale notes</w:t>
            </w:r>
          </w:p>
        </w:tc>
      </w:tr>
    </w:tbl>
    <w:p>
      <w:pPr>
        <w:spacing w:before="0" w:after="40" w:line="276" w:lineRule="auto"/>
      </w:pPr>
    </w:p>
    <w:p>
      <w:pPr>
        <w:spacing w:before="160" w:after="80" w:line="276" w:lineRule="auto"/>
      </w:pPr>
      <w:r>
        <w:rPr>
          <w:rFonts w:ascii="Calibri" w:hAnsi="Calibri" w:eastAsia="Calibri"/>
          <w:b/>
          <w:color w:val="1E73E8"/>
          <w:sz w:val="24"/>
        </w:rPr>
        <w:t>Posting Integrity Principles</w:t>
      </w:r>
    </w:p>
    <w:p>
      <w:pPr>
        <w:pStyle w:val="ListBullet"/>
        <w:spacing w:before="0" w:after="20" w:line="252" w:lineRule="auto"/>
        <w:ind w:left="317"/>
      </w:pPr>
      <w:r>
        <w:rPr>
          <w:rFonts w:ascii="Calibri" w:hAnsi="Calibri" w:eastAsia="Calibri"/>
          <w:b w:val="0"/>
          <w:color w:val="1A1A1A"/>
          <w:sz w:val="20"/>
        </w:rPr>
        <w:t>Rules engine primary for write-off vs. patient responsibility vs. denial classification</w:t>
      </w:r>
    </w:p>
    <w:p>
      <w:pPr>
        <w:pStyle w:val="ListBullet"/>
        <w:spacing w:before="0" w:after="20" w:line="252" w:lineRule="auto"/>
        <w:ind w:left="317"/>
      </w:pPr>
      <w:r>
        <w:rPr>
          <w:rFonts w:ascii="Calibri" w:hAnsi="Calibri" w:eastAsia="Calibri"/>
          <w:b w:val="0"/>
          <w:color w:val="1A1A1A"/>
          <w:sz w:val="20"/>
        </w:rPr>
        <w:t>Procedure-level posting for PPO accuracy—not lump totals that corrupt A/R</w:t>
      </w:r>
    </w:p>
    <w:p>
      <w:pPr>
        <w:pStyle w:val="ListBullet"/>
        <w:spacing w:before="0" w:after="20" w:line="252" w:lineRule="auto"/>
        <w:ind w:left="317"/>
      </w:pPr>
      <w:r>
        <w:rPr>
          <w:rFonts w:ascii="Calibri" w:hAnsi="Calibri" w:eastAsia="Calibri"/>
          <w:b w:val="0"/>
          <w:color w:val="1A1A1A"/>
          <w:sz w:val="20"/>
        </w:rPr>
        <w:t>No silent netting of takebacks; reverse with reference to the original claim</w:t>
      </w:r>
    </w:p>
    <w:p>
      <w:pPr>
        <w:pStyle w:val="ListBullet"/>
        <w:spacing w:before="0" w:after="20" w:line="252" w:lineRule="auto"/>
        <w:ind w:left="317"/>
      </w:pPr>
      <w:r>
        <w:rPr>
          <w:rFonts w:ascii="Calibri" w:hAnsi="Calibri" w:eastAsia="Calibri"/>
          <w:b w:val="0"/>
          <w:color w:val="1A1A1A"/>
          <w:sz w:val="20"/>
        </w:rPr>
        <w:t>Immutable audit: source document, rule version, confidence, before/after ledger state</w:t>
      </w:r>
    </w:p>
    <w:tbl>
      <w:tblPr>
        <w:tblW w:type="auto" w:w="0"/>
        <w:jc w:val="center"/>
        <w:tblLook w:firstColumn="1" w:firstRow="1" w:lastColumn="0" w:lastRow="0" w:noHBand="0" w:noVBand="1" w:val="04A0"/>
        <w:tblLayout w:type="fixed"/>
      </w:tblPr>
      <w:tblGrid>
        <w:gridCol w:w="10080"/>
      </w:tblGrid>
      <w:tr>
        <w:tc>
          <w:tcPr>
            <w:tcW w:type="dxa" w:w="9648"/>
            <w:shd w:fill="EEF4FB" w:val="clear"/>
            <w:tcBorders>
              <w:top w:val="single" w:sz="4" w:color="D0D7DE"/>
              <w:left w:val="single" w:sz="24" w:color="1E73E8"/>
              <w:bottom w:val="single" w:sz="4" w:color="D0D7DE"/>
              <w:right w:val="single" w:sz="4" w:color="D0D7DE"/>
            </w:tcBorders>
          </w:tcPr>
          <w:p>
            <w:pPr>
              <w:spacing w:before="80" w:after="20" w:line="276" w:lineRule="auto"/>
            </w:pPr>
            <w:r>
              <w:rPr>
                <w:rFonts w:ascii="Calibri" w:hAnsi="Calibri" w:eastAsia="Calibri"/>
                <w:b/>
                <w:color w:val="0F4CA8"/>
                <w:sz w:val="20"/>
              </w:rPr>
              <w:t>Part of the Same Platform</w:t>
            </w:r>
          </w:p>
          <w:p>
            <w:pPr>
              <w:spacing w:before="0" w:after="80" w:line="276" w:lineRule="auto"/>
            </w:pPr>
            <w:r>
              <w:rPr>
                <w:rFonts w:ascii="Calibri" w:hAnsi="Calibri" w:eastAsia="Calibri"/>
                <w:b w:val="0"/>
                <w:color w:val="5A6A7A"/>
                <w:sz w:val="19"/>
              </w:rPr>
              <w:t>EOB/ERA automation is the remittance chapter of ezFi’s end-to-end revenue cycle platform—built on the trust model proven in Eligibility Verification and OpenDental Writeback.</w:t>
            </w:r>
          </w:p>
        </w:tc>
      </w:tr>
    </w:tbl>
    <w:p>
      <w:r>
        <w:br w:type="page"/>
      </w:r>
    </w:p>
    <w:p>
      <w:pPr>
        <w:spacing w:before="240" w:after="80" w:line="276" w:lineRule="auto"/>
        <w:pBdr>
          <w:bottom w:val="single" w:sz="14" w:space="1" w:color="1E73E8"/>
        </w:pBdr>
      </w:pPr>
      <w:r>
        <w:rPr>
          <w:rFonts w:ascii="Calibri" w:hAnsi="Calibri" w:eastAsia="Calibri"/>
          <w:b/>
          <w:color w:val="0F4CA8"/>
          <w:sz w:val="32"/>
        </w:rPr>
        <w:t>11. Product Roadmap</w:t>
      </w:r>
    </w:p>
    <w:p>
      <w:pPr>
        <w:spacing w:before="0" w:after="160" w:line="259" w:lineRule="auto"/>
      </w:pPr>
      <w:r>
        <w:rPr>
          <w:rFonts w:ascii="Calibri" w:hAnsi="Calibri" w:eastAsia="Calibri"/>
          <w:b w:val="0"/>
          <w:color w:val="1A1A1A"/>
          <w:sz w:val="21"/>
        </w:rPr>
        <w:t>ezFi delivers value now in verification and writeback, then expands along a clear path toward enterprise DSO revenue cycle operations.</w:t>
      </w:r>
    </w:p>
    <w:tbl>
      <w:tblPr>
        <w:tblW w:type="auto" w:w="0"/>
        <w:jc w:val="center"/>
        <w:tblLook w:firstColumn="1" w:firstRow="1" w:lastColumn="0" w:lastRow="0" w:noHBand="0" w:noVBand="1" w:val="04A0"/>
        <w:tblLayout w:type="fixed"/>
      </w:tblPr>
      <w:tblGrid>
        <w:gridCol w:w="3360"/>
        <w:gridCol w:w="3360"/>
        <w:gridCol w:w="3360"/>
      </w:tblGrid>
      <w:tr>
        <w:tc>
          <w:tcPr>
            <w:tcW w:type="dxa" w:w="3096"/>
            <w:shd w:fill="1E73E8" w:val="clear"/>
            <w:tcBorders>
              <w:top w:val="single" w:sz="6" w:color="1E73E8"/>
              <w:left w:val="single" w:sz="6" w:color="1E73E8"/>
              <w:bottom w:val="single" w:sz="6" w:color="1E73E8"/>
              <w:right w:val="single" w:sz="6" w:color="1E73E8"/>
            </w:tcBorders>
          </w:tcPr>
          <w:p>
            <w:pPr>
              <w:spacing w:before="160" w:after="160" w:line="276" w:lineRule="auto"/>
              <w:jc w:val="center"/>
            </w:pPr>
            <w:r>
              <w:rPr>
                <w:rFonts w:ascii="Calibri" w:hAnsi="Calibri" w:eastAsia="Calibri"/>
                <w:b/>
                <w:color w:val="FFFFFF"/>
                <w:sz w:val="24"/>
              </w:rPr>
              <w:t>CURRENT</w:t>
            </w:r>
          </w:p>
        </w:tc>
        <w:tc>
          <w:tcPr>
            <w:tcW w:type="dxa" w:w="3096"/>
            <w:shd w:fill="2B6CB0" w:val="clear"/>
            <w:tcBorders>
              <w:top w:val="single" w:sz="6" w:color="2B6CB0"/>
              <w:left w:val="single" w:sz="6" w:color="2B6CB0"/>
              <w:bottom w:val="single" w:sz="6" w:color="2B6CB0"/>
              <w:right w:val="single" w:sz="6" w:color="2B6CB0"/>
            </w:tcBorders>
          </w:tcPr>
          <w:p>
            <w:pPr>
              <w:spacing w:before="160" w:after="160" w:line="276" w:lineRule="auto"/>
              <w:jc w:val="center"/>
            </w:pPr>
            <w:r>
              <w:rPr>
                <w:rFonts w:ascii="Calibri" w:hAnsi="Calibri" w:eastAsia="Calibri"/>
                <w:b/>
                <w:color w:val="FFFFFF"/>
                <w:sz w:val="24"/>
              </w:rPr>
              <w:t>NEXT</w:t>
            </w:r>
          </w:p>
        </w:tc>
        <w:tc>
          <w:tcPr>
            <w:tcW w:type="dxa" w:w="3096"/>
            <w:shd w:fill="5A6A7A" w:val="clear"/>
            <w:tcBorders>
              <w:top w:val="single" w:sz="6" w:color="5A6A7A"/>
              <w:left w:val="single" w:sz="6" w:color="5A6A7A"/>
              <w:bottom w:val="single" w:sz="6" w:color="5A6A7A"/>
              <w:right w:val="single" w:sz="6" w:color="5A6A7A"/>
            </w:tcBorders>
          </w:tcPr>
          <w:p>
            <w:pPr>
              <w:spacing w:before="160" w:after="160" w:line="276" w:lineRule="auto"/>
              <w:jc w:val="center"/>
            </w:pPr>
            <w:r>
              <w:rPr>
                <w:rFonts w:ascii="Calibri" w:hAnsi="Calibri" w:eastAsia="Calibri"/>
                <w:b/>
                <w:color w:val="FFFFFF"/>
                <w:sz w:val="24"/>
              </w:rPr>
              <w:t>FUTURE</w:t>
            </w:r>
          </w:p>
        </w:tc>
      </w:tr>
      <w:tr>
        <w:tc>
          <w:tcPr>
            <w:tcW w:type="dxa" w:w="3096"/>
            <w:shd w:fill="F2F5F8" w:val="clear"/>
            <w:tcBorders>
              <w:top w:val="single" w:sz="6" w:color="D0D7DE"/>
              <w:left w:val="single" w:sz="6" w:color="D0D7DE"/>
              <w:bottom w:val="single" w:sz="6" w:color="D0D7DE"/>
              <w:right w:val="single" w:sz="6" w:color="D0D7DE"/>
            </w:tcBorders>
          </w:tcPr>
          <w:p>
            <w:pPr>
              <w:spacing w:before="60" w:after="60" w:line="276" w:lineRule="auto"/>
            </w:pPr>
            <w:r>
              <w:rPr>
                <w:rFonts w:ascii="Calibri" w:hAnsi="Calibri" w:eastAsia="Calibri"/>
                <w:b w:val="0"/>
                <w:color w:val="1A1A1A"/>
                <w:sz w:val="20"/>
              </w:rPr>
              <w:t>•  Eligibility Verification</w:t>
            </w:r>
          </w:p>
          <w:p>
            <w:pPr>
              <w:spacing w:before="60" w:after="60" w:line="276" w:lineRule="auto"/>
            </w:pPr>
            <w:r>
              <w:rPr>
                <w:rFonts w:ascii="Calibri" w:hAnsi="Calibri" w:eastAsia="Calibri"/>
                <w:b w:val="0"/>
                <w:color w:val="1A1A1A"/>
                <w:sz w:val="20"/>
              </w:rPr>
              <w:t>•  Voice Verification</w:t>
            </w:r>
          </w:p>
          <w:p>
            <w:pPr>
              <w:spacing w:before="60" w:after="60" w:line="276" w:lineRule="auto"/>
            </w:pPr>
            <w:r>
              <w:rPr>
                <w:rFonts w:ascii="Calibri" w:hAnsi="Calibri" w:eastAsia="Calibri"/>
                <w:b w:val="0"/>
                <w:color w:val="1A1A1A"/>
                <w:sz w:val="20"/>
              </w:rPr>
              <w:t>•  OpenDental Writeback</w:t>
            </w:r>
          </w:p>
          <w:p>
            <w:pPr>
              <w:spacing w:before="0" w:after="80" w:line="276" w:lineRule="auto"/>
            </w:pPr>
          </w:p>
        </w:tc>
        <w:tc>
          <w:tcPr>
            <w:tcW w:type="dxa" w:w="3096"/>
            <w:shd w:fill="F2F5F8" w:val="clear"/>
            <w:tcBorders>
              <w:top w:val="single" w:sz="6" w:color="D0D7DE"/>
              <w:left w:val="single" w:sz="6" w:color="D0D7DE"/>
              <w:bottom w:val="single" w:sz="6" w:color="D0D7DE"/>
              <w:right w:val="single" w:sz="6" w:color="D0D7DE"/>
            </w:tcBorders>
          </w:tcPr>
          <w:p>
            <w:pPr>
              <w:spacing w:before="60" w:after="60" w:line="276" w:lineRule="auto"/>
            </w:pPr>
            <w:r>
              <w:rPr>
                <w:rFonts w:ascii="Calibri" w:hAnsi="Calibri" w:eastAsia="Calibri"/>
                <w:b w:val="0"/>
                <w:color w:val="1A1A1A"/>
                <w:sz w:val="20"/>
              </w:rPr>
              <w:t>•  Coding Agent</w:t>
            </w:r>
          </w:p>
          <w:p>
            <w:pPr>
              <w:spacing w:before="60" w:after="60" w:line="276" w:lineRule="auto"/>
            </w:pPr>
            <w:r>
              <w:rPr>
                <w:rFonts w:ascii="Calibri" w:hAnsi="Calibri" w:eastAsia="Calibri"/>
                <w:b w:val="0"/>
                <w:color w:val="1A1A1A"/>
                <w:sz w:val="20"/>
              </w:rPr>
              <w:t>•  Prior Authorization</w:t>
            </w:r>
          </w:p>
          <w:p>
            <w:pPr>
              <w:spacing w:before="60" w:after="60" w:line="276" w:lineRule="auto"/>
            </w:pPr>
            <w:r>
              <w:rPr>
                <w:rFonts w:ascii="Calibri" w:hAnsi="Calibri" w:eastAsia="Calibri"/>
                <w:b w:val="0"/>
                <w:color w:val="1A1A1A"/>
                <w:sz w:val="20"/>
              </w:rPr>
              <w:t>•  Claim Preparation</w:t>
            </w:r>
          </w:p>
          <w:p>
            <w:pPr>
              <w:spacing w:before="0" w:after="80" w:line="276" w:lineRule="auto"/>
            </w:pPr>
          </w:p>
        </w:tc>
        <w:tc>
          <w:tcPr>
            <w:tcW w:type="dxa" w:w="3096"/>
            <w:shd w:fill="F2F5F8" w:val="clear"/>
            <w:tcBorders>
              <w:top w:val="single" w:sz="6" w:color="D0D7DE"/>
              <w:left w:val="single" w:sz="6" w:color="D0D7DE"/>
              <w:bottom w:val="single" w:sz="6" w:color="D0D7DE"/>
              <w:right w:val="single" w:sz="6" w:color="D0D7DE"/>
            </w:tcBorders>
          </w:tcPr>
          <w:p>
            <w:pPr>
              <w:spacing w:before="60" w:after="60" w:line="276" w:lineRule="auto"/>
            </w:pPr>
            <w:r>
              <w:rPr>
                <w:rFonts w:ascii="Calibri" w:hAnsi="Calibri" w:eastAsia="Calibri"/>
                <w:b w:val="0"/>
                <w:color w:val="1A1A1A"/>
                <w:sz w:val="20"/>
              </w:rPr>
              <w:t>•  ERA Processing</w:t>
            </w:r>
          </w:p>
          <w:p>
            <w:pPr>
              <w:spacing w:before="60" w:after="60" w:line="276" w:lineRule="auto"/>
            </w:pPr>
            <w:r>
              <w:rPr>
                <w:rFonts w:ascii="Calibri" w:hAnsi="Calibri" w:eastAsia="Calibri"/>
                <w:b w:val="0"/>
                <w:color w:val="1A1A1A"/>
                <w:sz w:val="20"/>
              </w:rPr>
              <w:t>•  EOB Automation</w:t>
            </w:r>
          </w:p>
          <w:p>
            <w:pPr>
              <w:spacing w:before="60" w:after="60" w:line="276" w:lineRule="auto"/>
            </w:pPr>
            <w:r>
              <w:rPr>
                <w:rFonts w:ascii="Calibri" w:hAnsi="Calibri" w:eastAsia="Calibri"/>
                <w:b w:val="0"/>
                <w:color w:val="1A1A1A"/>
                <w:sz w:val="20"/>
              </w:rPr>
              <w:t>•  Denial Management</w:t>
            </w:r>
          </w:p>
          <w:p>
            <w:pPr>
              <w:spacing w:before="60" w:after="60" w:line="276" w:lineRule="auto"/>
            </w:pPr>
            <w:r>
              <w:rPr>
                <w:rFonts w:ascii="Calibri" w:hAnsi="Calibri" w:eastAsia="Calibri"/>
                <w:b w:val="0"/>
                <w:color w:val="1A1A1A"/>
                <w:sz w:val="20"/>
              </w:rPr>
              <w:t>•  Revenue Analytics</w:t>
            </w:r>
          </w:p>
          <w:p>
            <w:pPr>
              <w:spacing w:before="60" w:after="60" w:line="276" w:lineRule="auto"/>
            </w:pPr>
            <w:r>
              <w:rPr>
                <w:rFonts w:ascii="Calibri" w:hAnsi="Calibri" w:eastAsia="Calibri"/>
                <w:b w:val="0"/>
                <w:color w:val="1A1A1A"/>
                <w:sz w:val="20"/>
              </w:rPr>
              <w:t>•  Enterprise DSO Features</w:t>
            </w:r>
          </w:p>
          <w:p>
            <w:pPr>
              <w:spacing w:before="0" w:after="80" w:line="276" w:lineRule="auto"/>
            </w:pPr>
          </w:p>
        </w:tc>
      </w:tr>
    </w:tbl>
    <w:p/>
    <w:p>
      <w:pPr>
        <w:spacing w:before="160" w:after="80" w:line="276" w:lineRule="auto"/>
      </w:pPr>
      <w:r>
        <w:rPr>
          <w:rFonts w:ascii="Calibri" w:hAnsi="Calibri" w:eastAsia="Calibri"/>
          <w:b/>
          <w:color w:val="1E73E8"/>
          <w:sz w:val="24"/>
        </w:rPr>
        <w:t>Investment Thesis for Enterprise Buyers</w:t>
      </w:r>
    </w:p>
    <w:tbl>
      <w:tblPr>
        <w:tblW w:type="auto" w:w="0"/>
        <w:jc w:val="center"/>
        <w:tblLook w:firstColumn="1" w:firstRow="1" w:lastColumn="0" w:lastRow="0" w:noHBand="0" w:noVBand="1" w:val="04A0"/>
        <w:tblLayout w:type="fixed"/>
      </w:tblPr>
      <w:tblGrid>
        <w:gridCol w:w="5040"/>
        <w:gridCol w:w="5040"/>
      </w:tblGrid>
      <w:tr>
        <w:tc>
          <w:tcPr>
            <w:tcW w:type="dxa" w:w="2016"/>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Horizon</w:t>
            </w:r>
          </w:p>
        </w:tc>
        <w:tc>
          <w:tcPr>
            <w:tcW w:type="dxa" w:w="7632"/>
            <w:shd w:fill="1E73E8" w:val="clear"/>
            <w:tcBorders>
              <w:top w:val="single" w:sz="4" w:color="0F4CA8"/>
              <w:left w:val="single" w:sz="4" w:color="0F4CA8"/>
              <w:bottom w:val="single" w:sz="4" w:color="0F4CA8"/>
              <w:right w:val="single" w:sz="4" w:color="0F4CA8"/>
            </w:tcBorders>
            <w:vAlign w:val="center"/>
          </w:tcPr>
          <w:p>
            <w:pPr>
              <w:spacing w:before="40" w:after="40" w:line="276" w:lineRule="auto"/>
            </w:pPr>
            <w:r>
              <w:rPr>
                <w:rFonts w:ascii="Calibri" w:hAnsi="Calibri" w:eastAsia="Calibri"/>
                <w:b/>
                <w:color w:val="FFFFFF"/>
                <w:sz w:val="18"/>
              </w:rPr>
              <w:t>Buyer Outcome</w:t>
            </w:r>
          </w:p>
        </w:tc>
      </w:tr>
      <w:tr>
        <w:tc>
          <w:tcPr>
            <w:tcW w:type="dxa" w:w="201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Current</w:t>
            </w:r>
          </w:p>
        </w:tc>
        <w:tc>
          <w:tcPr>
            <w:tcW w:type="dxa" w:w="763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Standardize verification quality; cut admin time; harden OpenDental documentation</w:t>
            </w:r>
          </w:p>
        </w:tc>
      </w:tr>
      <w:tr>
        <w:tc>
          <w:tcPr>
            <w:tcW w:type="dxa" w:w="2016"/>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Next</w:t>
            </w:r>
          </w:p>
        </w:tc>
        <w:tc>
          <w:tcPr>
            <w:tcW w:type="dxa" w:w="7632"/>
            <w:shd w:fill="F2F5F8"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Reduce coding and auth friction; improve claim readiness before submission</w:t>
            </w:r>
          </w:p>
        </w:tc>
      </w:tr>
      <w:tr>
        <w:tc>
          <w:tcPr>
            <w:tcW w:type="dxa" w:w="2016"/>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Future</w:t>
            </w:r>
          </w:p>
        </w:tc>
        <w:tc>
          <w:tcPr>
            <w:tcW w:type="dxa" w:w="7632"/>
            <w:shd w:fill="FFFFFF" w:val="clear"/>
            <w:tcBorders>
              <w:top w:val="single" w:sz="4" w:color="D0D7DE"/>
              <w:left w:val="single" w:sz="4" w:color="D0D7DE"/>
              <w:bottom w:val="single" w:sz="4" w:color="D0D7DE"/>
              <w:right w:val="single" w:sz="4" w:color="D0D7DE"/>
            </w:tcBorders>
            <w:vAlign w:val="top"/>
          </w:tcPr>
          <w:p>
            <w:pPr>
              <w:spacing w:before="40" w:after="40" w:line="276" w:lineRule="auto"/>
            </w:pPr>
            <w:r>
              <w:rPr>
                <w:rFonts w:ascii="Calibri" w:hAnsi="Calibri" w:eastAsia="Calibri"/>
                <w:b w:val="0"/>
                <w:color w:val="1A1A1A"/>
                <w:sz w:val="18"/>
              </w:rPr>
              <w:t>Compress remittance-to-cash; control denials; measure RCM performance at scale</w:t>
            </w:r>
          </w:p>
        </w:tc>
      </w:tr>
    </w:tbl>
    <w:p>
      <w:pPr>
        <w:spacing w:before="0" w:after="40" w:line="276" w:lineRule="auto"/>
      </w:pPr>
    </w:p>
    <w:p>
      <w:pPr>
        <w:spacing w:before="240" w:after="80" w:line="276" w:lineRule="auto"/>
        <w:pBdr>
          <w:bottom w:val="single" w:sz="14" w:space="1" w:color="1E73E8"/>
        </w:pBdr>
      </w:pPr>
      <w:r>
        <w:rPr>
          <w:rFonts w:ascii="Calibri" w:hAnsi="Calibri" w:eastAsia="Calibri"/>
          <w:b/>
          <w:color w:val="0F4CA8"/>
          <w:sz w:val="32"/>
        </w:rPr>
        <w:t>12. Closing</w:t>
      </w:r>
    </w:p>
    <w:tbl>
      <w:tblPr>
        <w:tblW w:type="auto" w:w="0"/>
        <w:jc w:val="center"/>
        <w:tblLook w:firstColumn="1" w:firstRow="1" w:lastColumn="0" w:lastRow="0" w:noHBand="0" w:noVBand="1" w:val="04A0"/>
      </w:tblPr>
      <w:tblGrid>
        <w:gridCol w:w="10080"/>
      </w:tblGrid>
      <w:tr>
        <w:tc>
          <w:tcPr>
            <w:tcW w:type="dxa" w:w="10080"/>
            <w:shd w:fill="E8F1FC" w:val="clear"/>
            <w:tcBorders>
              <w:top w:val="single" w:sz="18" w:color="1E73E8"/>
              <w:left w:val="single" w:sz="18" w:color="1E73E8"/>
              <w:bottom w:val="single" w:sz="18" w:color="1E73E8"/>
              <w:right w:val="single" w:sz="18" w:color="1E73E8"/>
            </w:tcBorders>
          </w:tcPr>
          <w:p>
            <w:pPr>
              <w:spacing w:before="200" w:after="200" w:line="276" w:lineRule="auto"/>
              <w:jc w:val="center"/>
            </w:pPr>
            <w:r>
              <w:rPr>
                <w:rFonts w:ascii="Calibri" w:hAnsi="Calibri" w:eastAsia="Calibri"/>
                <w:b w:val="0"/>
                <w:color w:val="0F4CA8"/>
                <w:sz w:val="24"/>
              </w:rPr>
              <w:t>ezFi combines intelligent insurance verification, OpenDental integration, and AI-driven automation to reduce administrative burden while helping dental organizations improve efficiency, accuracy, and patient financial transparency.</w:t>
            </w:r>
          </w:p>
        </w:tc>
      </w:tr>
    </w:tbl>
    <w:p>
      <w:pPr>
        <w:spacing w:before="200" w:after="80" w:line="276" w:lineRule="auto"/>
      </w:pPr>
    </w:p>
    <w:p>
      <w:pPr>
        <w:spacing w:before="160" w:after="80" w:line="276" w:lineRule="auto"/>
      </w:pPr>
      <w:r>
        <w:rPr>
          <w:rFonts w:ascii="Calibri" w:hAnsi="Calibri" w:eastAsia="Calibri"/>
          <w:b/>
          <w:color w:val="1E73E8"/>
          <w:sz w:val="24"/>
        </w:rPr>
        <w:t>Engage With ezFi</w:t>
      </w:r>
    </w:p>
    <w:p>
      <w:pPr>
        <w:spacing w:before="0" w:after="120" w:line="259" w:lineRule="auto"/>
      </w:pPr>
      <w:r>
        <w:rPr>
          <w:rFonts w:ascii="Calibri" w:hAnsi="Calibri" w:eastAsia="Calibri"/>
          <w:b w:val="0"/>
          <w:color w:val="1A1A1A"/>
          <w:sz w:val="21"/>
        </w:rPr>
        <w:t>Whether you operate a single high-volume specialty practice or a multi-state DSO, ezFi is built to meet you where you work today—in OpenDental—and to grow with your revenue cycle ambitions.</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2520"/>
        <w:gridCol w:w="2520"/>
        <w:gridCol w:w="2520"/>
        <w:gridCol w:w="2520"/>
      </w:tblGrid>
      <w:tr>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Eligibility</w:t>
            </w:r>
            <w:r>
              <w:br/>
            </w:r>
            <w:r>
              <w:rPr>
                <w:rFonts w:ascii="Calibri" w:hAnsi="Calibri" w:eastAsia="Calibri"/>
                <w:b/>
                <w:color w:val="1E73E8"/>
                <w:sz w:val="22"/>
              </w:rPr>
              <w:t>Verification</w:t>
            </w:r>
          </w:p>
          <w:p>
            <w:pPr>
              <w:spacing w:before="0" w:after="100" w:line="276" w:lineRule="auto"/>
              <w:jc w:val="center"/>
            </w:pPr>
            <w:r>
              <w:rPr>
                <w:rFonts w:ascii="Calibri" w:hAnsi="Calibri" w:eastAsia="Calibri"/>
                <w:b w:val="0"/>
                <w:color w:val="5A6A7A"/>
                <w:sz w:val="16"/>
              </w:rPr>
              <w:t>Start With</w:t>
            </w:r>
          </w:p>
        </w:tc>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OpenDental</w:t>
            </w:r>
            <w:r>
              <w:br/>
            </w:r>
            <w:r>
              <w:rPr>
                <w:rFonts w:ascii="Calibri" w:hAnsi="Calibri" w:eastAsia="Calibri"/>
                <w:b/>
                <w:color w:val="1E73E8"/>
                <w:sz w:val="22"/>
              </w:rPr>
              <w:t>Writeback</w:t>
            </w:r>
          </w:p>
          <w:p>
            <w:pPr>
              <w:spacing w:before="0" w:after="100" w:line="276" w:lineRule="auto"/>
              <w:jc w:val="center"/>
            </w:pPr>
            <w:r>
              <w:rPr>
                <w:rFonts w:ascii="Calibri" w:hAnsi="Calibri" w:eastAsia="Calibri"/>
                <w:b w:val="0"/>
                <w:color w:val="5A6A7A"/>
                <w:sz w:val="16"/>
              </w:rPr>
              <w:t>Integrate Via</w:t>
            </w:r>
          </w:p>
        </w:tc>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Voice +</w:t>
            </w:r>
            <w:r>
              <w:br/>
            </w:r>
            <w:r>
              <w:rPr>
                <w:rFonts w:ascii="Calibri" w:hAnsi="Calibri" w:eastAsia="Calibri"/>
                <w:b/>
                <w:color w:val="1E73E8"/>
                <w:sz w:val="22"/>
              </w:rPr>
              <w:t>RCM Agents</w:t>
            </w:r>
          </w:p>
          <w:p>
            <w:pPr>
              <w:spacing w:before="0" w:after="100" w:line="276" w:lineRule="auto"/>
              <w:jc w:val="center"/>
            </w:pPr>
            <w:r>
              <w:rPr>
                <w:rFonts w:ascii="Calibri" w:hAnsi="Calibri" w:eastAsia="Calibri"/>
                <w:b w:val="0"/>
                <w:color w:val="5A6A7A"/>
                <w:sz w:val="16"/>
              </w:rPr>
              <w:t>Scale With</w:t>
            </w:r>
          </w:p>
        </w:tc>
        <w:tc>
          <w:tcPr>
            <w:tcW w:type="dxa" w:w="2412"/>
            <w:shd w:fill="F2F5F8" w:val="clear"/>
            <w:tcBorders>
              <w:top w:val="single" w:sz="4" w:color="D0D7DE"/>
              <w:left w:val="single" w:sz="4" w:color="D0D7DE"/>
              <w:bottom w:val="single" w:sz="4" w:color="D0D7DE"/>
              <w:right w:val="single" w:sz="4" w:color="D0D7DE"/>
            </w:tcBorders>
            <w:vAlign w:val="center"/>
          </w:tcPr>
          <w:p>
            <w:pPr>
              <w:spacing w:before="100" w:after="20" w:line="276" w:lineRule="auto"/>
              <w:jc w:val="center"/>
            </w:pPr>
            <w:r>
              <w:rPr>
                <w:rFonts w:ascii="Calibri" w:hAnsi="Calibri" w:eastAsia="Calibri"/>
                <w:b/>
                <w:color w:val="1E73E8"/>
                <w:sz w:val="22"/>
              </w:rPr>
              <w:t>Review &amp;</w:t>
            </w:r>
            <w:r>
              <w:br/>
            </w:r>
            <w:r>
              <w:rPr>
                <w:rFonts w:ascii="Calibri" w:hAnsi="Calibri" w:eastAsia="Calibri"/>
                <w:b/>
                <w:color w:val="1E73E8"/>
                <w:sz w:val="22"/>
              </w:rPr>
              <w:t>Shadow Mode</w:t>
            </w:r>
          </w:p>
          <w:p>
            <w:pPr>
              <w:spacing w:before="0" w:after="100" w:line="276" w:lineRule="auto"/>
              <w:jc w:val="center"/>
            </w:pPr>
            <w:r>
              <w:rPr>
                <w:rFonts w:ascii="Calibri" w:hAnsi="Calibri" w:eastAsia="Calibri"/>
                <w:b w:val="0"/>
                <w:color w:val="5A6A7A"/>
                <w:sz w:val="16"/>
              </w:rPr>
              <w:t>Govern With</w:t>
            </w:r>
          </w:p>
        </w:tc>
      </w:tr>
    </w:tbl>
    <w:p>
      <w:pPr>
        <w:spacing w:before="0" w:after="40" w:line="276" w:lineRule="auto"/>
      </w:pPr>
    </w:p>
    <w:p>
      <w:pPr>
        <w:spacing w:before="240" w:after="120" w:line="276" w:lineRule="auto"/>
        <w:jc w:val="center"/>
      </w:pPr>
      <w:r>
        <w:drawing>
          <wp:inline xmlns:a="http://schemas.openxmlformats.org/drawingml/2006/main" xmlns:pic="http://schemas.openxmlformats.org/drawingml/2006/picture">
            <wp:extent cx="1280160" cy="713839"/>
            <wp:docPr id="5" name="Picture 5"/>
            <wp:cNvGraphicFramePr>
              <a:graphicFrameLocks noChangeAspect="1"/>
            </wp:cNvGraphicFramePr>
            <a:graphic>
              <a:graphicData uri="http://schemas.openxmlformats.org/drawingml/2006/picture">
                <pic:pic>
                  <pic:nvPicPr>
                    <pic:cNvPr id="0" name="ezfi-logo.png"/>
                    <pic:cNvPicPr/>
                  </pic:nvPicPr>
                  <pic:blipFill>
                    <a:blip r:embed="rId13"/>
                    <a:stretch>
                      <a:fillRect/>
                    </a:stretch>
                  </pic:blipFill>
                  <pic:spPr>
                    <a:xfrm>
                      <a:off x="0" y="0"/>
                      <a:ext cx="1280160" cy="713839"/>
                    </a:xfrm>
                    <a:prstGeom prst="rect"/>
                  </pic:spPr>
                </pic:pic>
              </a:graphicData>
            </a:graphic>
          </wp:inline>
        </w:drawing>
      </w:r>
    </w:p>
    <w:p>
      <w:pPr>
        <w:spacing w:before="80" w:after="40" w:line="276" w:lineRule="auto"/>
        <w:jc w:val="center"/>
      </w:pPr>
      <w:r>
        <w:rPr>
          <w:rFonts w:ascii="Calibri" w:hAnsi="Calibri" w:eastAsia="Calibri"/>
          <w:b/>
          <w:color w:val="1E73E8"/>
          <w:sz w:val="22"/>
        </w:rPr>
        <w:t>Powered by Smile Suites</w:t>
      </w:r>
    </w:p>
    <w:p>
      <w:pPr>
        <w:spacing w:before="40" w:after="0" w:line="276" w:lineRule="auto"/>
        <w:jc w:val="center"/>
      </w:pPr>
      <w:r>
        <w:rPr>
          <w:rFonts w:ascii="Calibri" w:hAnsi="Calibri" w:eastAsia="Calibri"/>
          <w:b w:val="0"/>
          <w:color w:val="5A6A7A"/>
          <w:sz w:val="18"/>
        </w:rPr>
        <w:t>© Smile Suites  ·  ezFi Executive Product Overview  ·  Confidential</w:t>
      </w:r>
    </w:p>
    <w:sectPr w:rsidR="00FC693F" w:rsidRPr="0006063C" w:rsidSect="00034616">
      <w:headerReference w:type="default" r:id="rId9"/>
      <w:headerReference w:type="first" r:id="rId10"/>
      <w:footerReference w:type="default" r:id="rId11"/>
      <w:footerReference w:type="first" r:id="rId12"/>
      <w:pgSz w:w="12240" w:h="15840"/>
      <w:pgMar w:top="1224" w:right="1080" w:bottom="1008"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360"/>
      <w:gridCol w:w="3360"/>
      <w:gridCol w:w="3360"/>
    </w:tblGrid>
    <w:tr>
      <w:tc>
        <w:tcPr>
          <w:tcW w:type="dxa" w:w="3360"/>
        </w:tcPr>
        <w:p>
          <w:pPr>
            <w:spacing w:before="40" w:after="0" w:line="276" w:lineRule="auto"/>
          </w:pPr>
          <w:r>
            <w:rPr>
              <w:rFonts w:ascii="Calibri" w:hAnsi="Calibri" w:eastAsia="Calibri"/>
              <w:b w:val="0"/>
              <w:color w:val="5A6A7A"/>
              <w:sz w:val="16"/>
            </w:rPr>
            <w:t>ezFi  ·  Confidential</w:t>
          </w:r>
        </w:p>
      </w:tc>
      <w:tc>
        <w:tcPr>
          <w:tcW w:type="dxa" w:w="3360"/>
        </w:tcPr>
        <w:p>
          <w:pPr>
            <w:spacing w:before="40" w:after="0" w:line="276" w:lineRule="auto"/>
            <w:jc w:val="center"/>
          </w:pPr>
          <w:r>
            <w:rPr>
              <w:rFonts w:ascii="Calibri" w:hAnsi="Calibri" w:eastAsia="Calibri"/>
              <w:b/>
              <w:color w:val="1E73E8"/>
              <w:sz w:val="16"/>
            </w:rPr>
            <w:t>Powered by Smile Suites</w:t>
          </w:r>
        </w:p>
      </w:tc>
      <w:tc>
        <w:tcPr>
          <w:tcW w:type="dxa" w:w="3360"/>
        </w:tcPr>
        <w:p>
          <w:pPr>
            <w:spacing w:before="40" w:after="0" w:line="276" w:lineRule="auto"/>
            <w:jc w:val="right"/>
          </w:pPr>
          <w:r>
            <w:rPr>
              <w:rFonts w:ascii="Calibri" w:hAnsi="Calibri" w:eastAsia="Calibri"/>
              <w:b w:val="0"/>
              <w:color w:val="5A6A7A"/>
              <w:sz w:val="16"/>
            </w:rPr>
            <w:t xml:space="preserve">Page </w:t>
          </w:r>
          <w:r>
            <w:rPr>
              <w:rFonts w:ascii="Calibri" w:hAnsi="Calibri" w:eastAsia="Calibri"/>
              <w:b w:val="0"/>
              <w:color w:val="5A6A7A"/>
              <w:sz w:val="16"/>
            </w:rPr>
            <w:fldChar w:fldCharType="begin"/>
          </w:r>
          <w:r>
            <w:rPr>
              <w:rFonts w:ascii="Calibri" w:hAnsi="Calibri" w:eastAsia="Calibri"/>
              <w:b w:val="0"/>
              <w:color w:val="5A6A7A"/>
              <w:sz w:val="16"/>
            </w:rPr>
            <w:instrText xml:space="preserve"> PAGE </w:instrText>
          </w:r>
          <w:r>
            <w:rPr>
              <w:rFonts w:ascii="Calibri" w:hAnsi="Calibri" w:eastAsia="Calibri"/>
              <w:b w:val="0"/>
              <w:color w:val="5A6A7A"/>
              <w:sz w:val="16"/>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360"/>
      <w:gridCol w:w="3360"/>
      <w:gridCol w:w="3360"/>
    </w:tblGrid>
    <w:tr>
      <w:tc>
        <w:tcPr>
          <w:tcW w:type="dxa" w:w="3360"/>
        </w:tcPr>
        <w:p>
          <w:pPr>
            <w:spacing w:before="40" w:after="0" w:line="276" w:lineRule="auto"/>
          </w:pPr>
          <w:r>
            <w:rPr>
              <w:rFonts w:ascii="Calibri" w:hAnsi="Calibri" w:eastAsia="Calibri"/>
              <w:b w:val="0"/>
              <w:color w:val="5A6A7A"/>
              <w:sz w:val="16"/>
            </w:rPr>
            <w:t>ezFi  ·  Confidential</w:t>
          </w:r>
        </w:p>
      </w:tc>
      <w:tc>
        <w:tcPr>
          <w:tcW w:type="dxa" w:w="3360"/>
        </w:tcPr>
        <w:p>
          <w:pPr>
            <w:spacing w:before="40" w:after="0" w:line="276" w:lineRule="auto"/>
            <w:jc w:val="center"/>
          </w:pPr>
          <w:r>
            <w:rPr>
              <w:rFonts w:ascii="Calibri" w:hAnsi="Calibri" w:eastAsia="Calibri"/>
              <w:b/>
              <w:color w:val="1E73E8"/>
              <w:sz w:val="16"/>
            </w:rPr>
            <w:t>Powered by Smile Suites</w:t>
          </w:r>
        </w:p>
      </w:tc>
      <w:tc>
        <w:tcPr>
          <w:tcW w:type="dxa" w:w="3360"/>
        </w:tcPr>
        <w:p>
          <w:pPr>
            <w:spacing w:before="40" w:after="0" w:line="276" w:lineRule="auto"/>
            <w:jc w:val="right"/>
          </w:pPr>
          <w:r>
            <w:rPr>
              <w:rFonts w:ascii="Calibri" w:hAnsi="Calibri" w:eastAsia="Calibri"/>
              <w:b w:val="0"/>
              <w:color w:val="5A6A7A"/>
              <w:sz w:val="16"/>
            </w:rPr>
            <w:t xml:space="preserve">Page </w:t>
          </w:r>
          <w:r>
            <w:rPr>
              <w:rFonts w:ascii="Calibri" w:hAnsi="Calibri" w:eastAsia="Calibri"/>
              <w:b w:val="0"/>
              <w:color w:val="5A6A7A"/>
              <w:sz w:val="16"/>
            </w:rPr>
            <w:fldChar w:fldCharType="begin"/>
          </w:r>
          <w:r>
            <w:rPr>
              <w:rFonts w:ascii="Calibri" w:hAnsi="Calibri" w:eastAsia="Calibri"/>
              <w:b w:val="0"/>
              <w:color w:val="5A6A7A"/>
              <w:sz w:val="16"/>
            </w:rPr>
            <w:instrText xml:space="preserve"> PAGE </w:instrText>
          </w:r>
          <w:r>
            <w:rPr>
              <w:rFonts w:ascii="Calibri" w:hAnsi="Calibri" w:eastAsia="Calibri"/>
              <w:b w:val="0"/>
              <w:color w:val="5A6A7A"/>
              <w:sz w:val="16"/>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Pr>
    <w:r>
      <w:drawing>
        <wp:inline xmlns:a="http://schemas.openxmlformats.org/drawingml/2006/main" xmlns:pic="http://schemas.openxmlformats.org/drawingml/2006/picture">
          <wp:extent cx="658368" cy="367117"/>
          <wp:docPr id="1" name="Picture 1"/>
          <wp:cNvGraphicFramePr>
            <a:graphicFrameLocks noChangeAspect="1"/>
          </wp:cNvGraphicFramePr>
          <a:graphic>
            <a:graphicData uri="http://schemas.openxmlformats.org/drawingml/2006/picture">
              <pic:pic>
                <pic:nvPicPr>
                  <pic:cNvPr id="0" name="ezfi-logo.png"/>
                  <pic:cNvPicPr/>
                </pic:nvPicPr>
                <pic:blipFill>
                  <a:blip r:embed="rId1"/>
                  <a:stretch>
                    <a:fillRect/>
                  </a:stretch>
                </pic:blipFill>
                <pic:spPr>
                  <a:xfrm>
                    <a:off x="0" y="0"/>
                    <a:ext cx="658368" cy="367117"/>
                  </a:xfrm>
                  <a:prstGeom prst="rect"/>
                </pic:spPr>
              </pic:pic>
            </a:graphicData>
          </a:graphic>
        </wp:inline>
      </w:drawing>
    </w:r>
  </w:p>
  <w:p>
    <w:pPr>
      <w:spacing w:before="0" w:after="20" w:line="276" w:lineRule="auto"/>
      <w:jc w:val="right"/>
      <w:pBdr>
        <w:bottom w:val="single" w:sz="8" w:space="1" w:color="1E73E8"/>
      </w:pBdr>
    </w:pPr>
    <w:r>
      <w:rPr>
        <w:rFonts w:ascii="Calibri" w:hAnsi="Calibri" w:eastAsia="Calibri"/>
        <w:b w:val="0"/>
        <w:color w:val="5A6A7A"/>
        <w:sz w:val="16"/>
      </w:rPr>
      <w:t>AI-Powered Insurance Verification &amp; RCM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