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717550</wp:posOffset>
            </wp:positionH>
            <wp:positionV relativeFrom="page">
              <wp:posOffset>329565</wp:posOffset>
            </wp:positionV>
            <wp:extent cx="1987550" cy="4743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6419850</wp:posOffset>
            </wp:positionH>
            <wp:positionV relativeFrom="page">
              <wp:posOffset>0</wp:posOffset>
            </wp:positionV>
            <wp:extent cx="1130300" cy="18205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{{HEADER_CANDIDAT_TRI}}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{{HEADER_CANDIDAT_POSTE}}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94615</wp:posOffset>
            </wp:positionH>
            <wp:positionV relativeFrom="paragraph">
              <wp:posOffset>733425</wp:posOffset>
            </wp:positionV>
            <wp:extent cx="483235" cy="4946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9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19050</wp:posOffset>
            </wp:positionV>
            <wp:extent cx="2381885" cy="381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8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1D2263"/>
        </w:rPr>
        <w:t>Contact Commercial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1514475</wp:posOffset>
            </wp:positionH>
            <wp:positionV relativeFrom="paragraph">
              <wp:posOffset>-127635</wp:posOffset>
            </wp:positionV>
            <wp:extent cx="64135" cy="482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2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1D2263"/>
        </w:rPr>
        <w:t>{{COMMERCIAL_NOM_COMPLET}} –</w:t>
      </w:r>
      <w:r>
        <w:rPr>
          <w:rFonts w:ascii="Calibri" w:cs="Calibri" w:eastAsia="Calibri" w:hAnsi="Calibri"/>
          <w:sz w:val="28"/>
          <w:szCs w:val="28"/>
          <w:color w:val="1D2263"/>
        </w:rPr>
        <w:t xml:space="preserve">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1D2263"/>
        </w:rPr>
        <w:t>Altea Services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2511425</wp:posOffset>
            </wp:positionH>
            <wp:positionV relativeFrom="paragraph">
              <wp:posOffset>-111125</wp:posOffset>
            </wp:positionV>
            <wp:extent cx="83185" cy="450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64135</wp:posOffset>
            </wp:positionH>
            <wp:positionV relativeFrom="paragraph">
              <wp:posOffset>35560</wp:posOffset>
            </wp:positionV>
            <wp:extent cx="6073140" cy="5842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400"/>
          </w:cols>
          <w:pgMar w:left="1100" w:top="1440" w:right="1405" w:bottom="683" w:gutter="0" w:footer="0" w:header="0"/>
        </w:sect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1D2263"/>
        </w:rPr>
        <w:t>{{EMAIL_COM}}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268605</wp:posOffset>
            </wp:positionH>
            <wp:positionV relativeFrom="paragraph">
              <wp:posOffset>680085</wp:posOffset>
            </wp:positionV>
            <wp:extent cx="435610" cy="4349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3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1D2263"/>
          <w:highlight w:val="white"/>
        </w:rPr>
        <w:t xml:space="preserve">{{PHONE_CO}} </w:t>
      </w:r>
      <w:r>
        <w:rPr>
          <w:sz w:val="1"/>
          <w:szCs w:val="1"/>
          <w:color w:val="auto"/>
        </w:rPr>
        <w:drawing>
          <wp:inline distT="0" distB="0" distL="0" distR="0">
            <wp:extent cx="35560" cy="38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1D2263"/>
        </w:rPr>
        <w:t xml:space="preserve">www.altea-si.com </w:t>
      </w:r>
      <w:r>
        <w:rPr>
          <w:sz w:val="1"/>
          <w:szCs w:val="1"/>
          <w:color w:val="auto"/>
        </w:rPr>
        <w:drawing>
          <wp:inline distT="0" distB="0" distL="0" distR="0">
            <wp:extent cx="48260" cy="4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3">
            <w:col w:w="3780" w:space="720"/>
            <w:col w:w="2180" w:space="720"/>
            <w:col w:w="2000"/>
          </w:cols>
          <w:pgMar w:left="1100" w:top="1440" w:right="1405" w:bottom="683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1D2263"/>
        </w:rPr>
        <w:t>Focus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225425</wp:posOffset>
            </wp:positionV>
            <wp:extent cx="6123940" cy="857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2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Expérience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0"/>
          <w:szCs w:val="20"/>
          <w:color w:val="6165C3"/>
        </w:rPr>
        <w:t>{{FOCUS_NB_YEAR_EXP}}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365125</wp:posOffset>
            </wp:positionV>
            <wp:extent cx="6123940" cy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2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Compétences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0"/>
          <w:szCs w:val="20"/>
          <w:color w:val="6165C3"/>
        </w:rPr>
        <w:t>{{FOCUS_KEY_COMPETENCES}}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clefs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158750</wp:posOffset>
            </wp:positionV>
            <wp:extent cx="6123940" cy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2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En synthèse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color w:val="6165C3"/>
        </w:rPr>
        <w:t>{{FOCUS_KEY_SYNTHESE}}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-243205</wp:posOffset>
            </wp:positionH>
            <wp:positionV relativeFrom="paragraph">
              <wp:posOffset>496570</wp:posOffset>
            </wp:positionV>
            <wp:extent cx="7098665" cy="35979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65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1D2263"/>
        </w:rPr>
        <w:t>Compétences</w:t>
      </w:r>
      <w:r>
        <w:rPr>
          <w:rFonts w:ascii="Arial" w:cs="Arial" w:eastAsia="Arial" w:hAnsi="Arial"/>
          <w:sz w:val="34"/>
          <w:szCs w:val="34"/>
          <w:b w:val="1"/>
          <w:bCs w:val="1"/>
          <w:color w:val="7A4AFF"/>
        </w:rPr>
        <w:t xml:space="preserve"> Techniques</w:t>
      </w:r>
    </w:p>
    <w:p>
      <w:pPr>
        <w:sectPr>
          <w:pgSz w:w="11900" w:h="16840" w:orient="portrait"/>
          <w:cols w:equalWidth="0" w:num="1">
            <w:col w:w="9400"/>
          </w:cols>
          <w:pgMar w:left="1100" w:top="1440" w:right="1405" w:bottom="683" w:gutter="0" w:footer="0" w:header="0"/>
          <w:type w:val="continuous"/>
        </w:sect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1D2263"/>
        </w:rPr>
        <w:t>Soft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6165C3"/>
        </w:rPr>
        <w:t>{{COMPETENCES_SOFT_SKILLS}}</w:t>
      </w:r>
    </w:p>
    <w:p>
      <w:pPr>
        <w:sectPr>
          <w:pgSz w:w="11900" w:h="16840" w:orient="portrait"/>
          <w:cols w:equalWidth="0" w:num="2">
            <w:col w:w="1920" w:space="220"/>
            <w:col w:w="7260"/>
          </w:cols>
          <w:pgMar w:left="1100" w:top="1440" w:right="1405" w:bottom="683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color w:val="7A4A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5836285</wp:posOffset>
            </wp:positionH>
            <wp:positionV relativeFrom="page">
              <wp:posOffset>450850</wp:posOffset>
            </wp:positionV>
            <wp:extent cx="1322705" cy="3143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Dossier de compétences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1"/>
        </w:trPr>
        <w:tc>
          <w:tcPr>
            <w:tcW w:w="2420" w:type="dxa"/>
            <w:vAlign w:val="bottom"/>
            <w:tcBorders>
              <w:top w:val="single" w:sz="8" w:color="C0B6FF"/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Domaines</w:t>
            </w:r>
          </w:p>
        </w:tc>
        <w:tc>
          <w:tcPr>
            <w:tcW w:w="8080" w:type="dxa"/>
            <w:vAlign w:val="bottom"/>
            <w:tcBorders>
              <w:top w:val="single" w:sz="8" w:color="C0B6FF"/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{{COMPETENCES_SOFT_DOMAINES}}</w:t>
            </w:r>
          </w:p>
        </w:tc>
      </w:tr>
      <w:tr>
        <w:trPr>
          <w:trHeight w:val="199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115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0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Languages</w:t>
            </w: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{{COMPETENCES_LANGUAGES}}</w:t>
            </w:r>
          </w:p>
        </w:tc>
      </w:tr>
      <w:tr>
        <w:trPr>
          <w:trHeight w:val="115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5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Bases de données</w:t>
            </w: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{{COMPETENCES_BDD}}</w:t>
            </w:r>
          </w:p>
        </w:tc>
      </w:tr>
      <w:tr>
        <w:trPr>
          <w:trHeight w:val="115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3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Méthodologie</w:t>
            </w: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{{COMPETENCES_METHODOLOGIE}}</w:t>
            </w:r>
          </w:p>
        </w:tc>
      </w:tr>
      <w:tr>
        <w:trPr>
          <w:trHeight w:val="117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495935</wp:posOffset>
            </wp:positionV>
            <wp:extent cx="419100" cy="4178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Compétences</w:t>
      </w:r>
      <w:r>
        <w:rPr>
          <w:rFonts w:ascii="Arial" w:cs="Arial" w:eastAsia="Arial" w:hAnsi="Arial"/>
          <w:sz w:val="36"/>
          <w:szCs w:val="36"/>
          <w:b w:val="1"/>
          <w:bCs w:val="1"/>
          <w:color w:val="7A4AFF"/>
        </w:rPr>
        <w:t xml:space="preserve"> Métier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5"/>
        </w:trPr>
        <w:tc>
          <w:tcPr>
            <w:tcW w:w="120" w:type="dxa"/>
            <w:vAlign w:val="bottom"/>
            <w:tcBorders>
              <w:top w:val="single" w:sz="8" w:color="CECCFF"/>
              <w:lef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</w:rPr>
              <w:t>Banque</w:t>
            </w:r>
          </w:p>
        </w:tc>
        <w:tc>
          <w:tcPr>
            <w:tcW w:w="12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8"/>
              </w:rPr>
              <w:t>Assurance</w:t>
            </w:r>
          </w:p>
        </w:tc>
        <w:tc>
          <w:tcPr>
            <w:tcW w:w="12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6"/>
              </w:rPr>
              <w:t>Tertiaire</w:t>
            </w:r>
          </w:p>
        </w:tc>
        <w:tc>
          <w:tcPr>
            <w:tcW w:w="14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</w:rPr>
              <w:t>Services</w:t>
            </w:r>
          </w:p>
        </w:tc>
        <w:tc>
          <w:tcPr>
            <w:tcW w:w="12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9"/>
              </w:rPr>
              <w:t>Energie</w:t>
            </w:r>
          </w:p>
        </w:tc>
        <w:tc>
          <w:tcPr>
            <w:tcW w:w="14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20" w:type="dxa"/>
            <w:vAlign w:val="bottom"/>
            <w:tcBorders>
              <w:lef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20" w:type="dxa"/>
            <w:vAlign w:val="bottom"/>
            <w:tcBorders>
              <w:left w:val="single" w:sz="8" w:color="CECCFF"/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20" w:type="dxa"/>
            <w:vAlign w:val="bottom"/>
            <w:tcBorders>
              <w:left w:val="single" w:sz="8" w:color="CECC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2 ans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3 ans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9"/>
              </w:rPr>
              <w:t>5 années lumière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</w:rPr>
              <w:t>134 dodos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Trop longtemps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20" w:type="dxa"/>
            <w:vAlign w:val="bottom"/>
            <w:tcBorders>
              <w:left w:val="single" w:sz="8" w:color="CECCFF"/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494665</wp:posOffset>
            </wp:positionV>
            <wp:extent cx="419100" cy="4184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1D2263"/>
              </w:rPr>
              <w:t>Formations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5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2011</w:t>
            </w: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5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6165C3"/>
              </w:rPr>
              <w:t>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340"/>
              <w:spacing w:after="0" w:line="14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6165C3"/>
              </w:rPr>
              <w:t>TSRIT</w:t>
            </w:r>
            <w:r>
              <w:rPr>
                <w:rFonts w:ascii="Calibri" w:cs="Calibri" w:eastAsia="Calibri" w:hAnsi="Calibri"/>
                <w:sz w:val="15"/>
                <w:szCs w:val="15"/>
                <w:color w:val="6165C3"/>
              </w:rPr>
              <w:t xml:space="preserve"> (Informatique Titre Professionnel RNCP - </w:t>
            </w:r>
            <w:r>
              <w:rPr>
                <w:rFonts w:ascii="Calibri" w:cs="Calibri" w:eastAsia="Calibri" w:hAnsi="Calibri"/>
                <w:sz w:val="15"/>
                <w:szCs w:val="15"/>
                <w:i w:val="1"/>
                <w:iCs w:val="1"/>
                <w:color w:val="6165C3"/>
              </w:rPr>
              <w:t>Reconnu et délivré par l’Etat)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2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2010</w:t>
            </w: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5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6165C3"/>
              </w:rPr>
              <w:t>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3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6165C3"/>
              </w:rPr>
              <w:t>TSRIT</w:t>
            </w:r>
            <w:r>
              <w:rPr>
                <w:rFonts w:ascii="Calibri" w:cs="Calibri" w:eastAsia="Calibri" w:hAnsi="Calibri"/>
                <w:sz w:val="14"/>
                <w:szCs w:val="14"/>
                <w:color w:val="6165C3"/>
              </w:rPr>
              <w:t xml:space="preserve"> (Informatique Titre Professionnel RNCP - </w:t>
            </w:r>
            <w:r>
              <w:rPr>
                <w:rFonts w:ascii="Calibri" w:cs="Calibri" w:eastAsia="Calibri" w:hAnsi="Calibri"/>
                <w:sz w:val="14"/>
                <w:szCs w:val="14"/>
                <w:i w:val="1"/>
                <w:iCs w:val="1"/>
                <w:color w:val="6165C3"/>
              </w:rPr>
              <w:t>Reconnu et délivré par l’Etat)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2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2009</w:t>
            </w: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5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6165C3"/>
              </w:rPr>
              <w:t>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3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6165C3"/>
              </w:rPr>
              <w:t>TSRIT</w:t>
            </w:r>
            <w:r>
              <w:rPr>
                <w:rFonts w:ascii="Calibri" w:cs="Calibri" w:eastAsia="Calibri" w:hAnsi="Calibri"/>
                <w:sz w:val="14"/>
                <w:szCs w:val="14"/>
                <w:color w:val="6165C3"/>
              </w:rPr>
              <w:t xml:space="preserve"> : (Informatique Titre Professionnel RNCP - </w:t>
            </w:r>
            <w:r>
              <w:rPr>
                <w:rFonts w:ascii="Calibri" w:cs="Calibri" w:eastAsia="Calibri" w:hAnsi="Calibri"/>
                <w:sz w:val="14"/>
                <w:szCs w:val="14"/>
                <w:i w:val="1"/>
                <w:iCs w:val="1"/>
                <w:color w:val="6165C3"/>
              </w:rPr>
              <w:t>Reconnu et délivré par l’État)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283845</wp:posOffset>
            </wp:positionV>
            <wp:extent cx="419100" cy="4178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Certifications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1"/>
        </w:trPr>
        <w:tc>
          <w:tcPr>
            <w:tcW w:w="920" w:type="dxa"/>
            <w:vAlign w:val="bottom"/>
            <w:tcBorders>
              <w:top w:val="single" w:sz="8" w:color="C0B6FF"/>
            </w:tcBorders>
            <w:shd w:val="clear" w:color="auto" w:fill="E7E6FF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2014</w:t>
            </w:r>
          </w:p>
        </w:tc>
        <w:tc>
          <w:tcPr>
            <w:tcW w:w="9580" w:type="dxa"/>
            <w:vAlign w:val="bottom"/>
            <w:tcBorders>
              <w:top w:val="single" w:sz="8" w:color="C0B6FF"/>
            </w:tcBorders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Stormshield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(CSNA, Informatique Certified Stormshield Network Administrator)</w:t>
            </w:r>
          </w:p>
        </w:tc>
      </w:tr>
      <w:tr>
        <w:trPr>
          <w:trHeight w:val="119"/>
        </w:trPr>
        <w:tc>
          <w:tcPr>
            <w:tcW w:w="92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642620</wp:posOffset>
            </wp:positionV>
            <wp:extent cx="419100" cy="4178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Expériences</w:t>
      </w:r>
      <w:r>
        <w:rPr>
          <w:rFonts w:ascii="Arial" w:cs="Arial" w:eastAsia="Arial" w:hAnsi="Arial"/>
          <w:sz w:val="36"/>
          <w:szCs w:val="36"/>
          <w:b w:val="1"/>
          <w:bCs w:val="1"/>
          <w:color w:val="7A4AFF"/>
        </w:rPr>
        <w:t xml:space="preserve"> Professionnelles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3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gridSpan w:val="2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FFFFFF"/>
                <w:w w:val="99"/>
              </w:rPr>
              <w:t>Freelance pour NXO</w:t>
            </w: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  <w:vMerge w:val="restart"/>
            <w:shd w:val="clear" w:color="auto" w:fill="7A4AFF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FFFFFF"/>
                <w:w w:val="99"/>
              </w:rPr>
              <w:t>Novembre 2020 à décembre 2023</w:t>
            </w: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FFFFFF"/>
                <w:w w:val="94"/>
              </w:rPr>
              <w:t>Ingénieur système</w:t>
            </w:r>
          </w:p>
        </w:tc>
        <w:tc>
          <w:tcPr>
            <w:tcW w:w="82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Contexte</w:t>
            </w:r>
          </w:p>
        </w:tc>
        <w:tc>
          <w:tcPr>
            <w:tcW w:w="8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54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Administration et MCO des infrastructures clients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4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Réalisation de projets clients et internes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Équipe</w:t>
            </w:r>
          </w:p>
        </w:tc>
        <w:tc>
          <w:tcPr>
            <w:tcW w:w="8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54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PO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54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lead développer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3310890</wp:posOffset>
            </wp:positionH>
            <wp:positionV relativeFrom="paragraph">
              <wp:posOffset>-625475</wp:posOffset>
            </wp:positionV>
            <wp:extent cx="3839845" cy="12236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</w:sectPr>
      </w:pP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</w:pPr>
      <w:r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  <w:t>Altea Services :</w:t>
      </w:r>
      <w:r>
        <w:rPr>
          <w:rFonts w:ascii="Calibri" w:cs="Calibri" w:eastAsia="Calibri" w:hAnsi="Calibri"/>
          <w:sz w:val="17"/>
          <w:szCs w:val="17"/>
          <w:color w:val="1D2263"/>
        </w:rPr>
        <w:t xml:space="preserve"> Emilie MARC -</w:t>
      </w:r>
      <w:r>
        <w:rPr>
          <w:rFonts w:ascii="Calibri" w:cs="Calibri" w:eastAsia="Calibri" w:hAnsi="Calibri"/>
          <w:sz w:val="17"/>
          <w:szCs w:val="17"/>
          <w:color w:val="7A4AFF"/>
        </w:rPr>
        <w:t xml:space="preserve"> </w:t>
      </w:r>
      <w:hyperlink r:id="rId32">
        <w:r>
          <w:rPr>
            <w:rFonts w:ascii="Calibri" w:cs="Calibri" w:eastAsia="Calibri" w:hAnsi="Calibri"/>
            <w:sz w:val="17"/>
            <w:szCs w:val="17"/>
            <w:u w:val="single" w:color="auto"/>
            <w:color w:val="7A4AFF"/>
          </w:rPr>
          <w:t>emarc@altea-si.com</w:t>
        </w:r>
      </w:hyperlink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color w:val="7A4A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5836285</wp:posOffset>
            </wp:positionH>
            <wp:positionV relativeFrom="page">
              <wp:posOffset>450850</wp:posOffset>
            </wp:positionV>
            <wp:extent cx="1322705" cy="3143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Dossier de compétences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3 développeurs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6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Projets</w:t>
            </w: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Cisco Hyperflex – collectivité publique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Ajout d’un cluster 2 nœuds hyperconvergé avec</w:t>
            </w:r>
          </w:p>
        </w:tc>
      </w:tr>
      <w:tr>
        <w:trPr>
          <w:trHeight w:val="24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témoin déporté dans le Cloud. Sauvegarde immuable Veeam 11. Migration des serveurs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virtuels d’infrastructure.</w:t>
            </w:r>
          </w:p>
        </w:tc>
      </w:tr>
      <w:tr>
        <w:trPr>
          <w:trHeight w:val="51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Cisco Hyperflex – compagnie maritime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Création de l’infrastructure virtualisée pour un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grand groupe de transport maritime. Le cluster d’hyperconvergence a été pensé pour</w:t>
            </w:r>
          </w:p>
        </w:tc>
      </w:tr>
      <w:tr>
        <w:trPr>
          <w:trHeight w:val="24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être en totale autonomie. 2 ESX Vmware hyperconvergés monitorées par un témoin on-</w:t>
            </w:r>
          </w:p>
        </w:tc>
      </w:tr>
      <w:tr>
        <w:trPr>
          <w:trHeight w:val="246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premise. La solution est sauvegardée par Veeam 11 avec l’option d’immuabilité.</w:t>
            </w:r>
          </w:p>
        </w:tc>
      </w:tr>
      <w:tr>
        <w:trPr>
          <w:trHeight w:val="51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HPE Simplivity – Centre hospitalier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Création d’un cluster HPE Simplivity, solution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d’hyperconvergence HPE. Répartis dans 2 salles, les serveurs sont contrôlés par un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témoin indépendant. La solution de sauvegarde est effectuée par le logiciel Veeam, les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sauvegardes sont croisées pour assurer la redondance en cas de perte d’une salle.</w:t>
            </w:r>
          </w:p>
        </w:tc>
      </w:tr>
      <w:tr>
        <w:trPr>
          <w:trHeight w:val="51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Cluster ESX – Compagnie hôtelière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Création d’un cluster VMware sur 2 serveurs DL360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gen10. Stockage dédié sur une baie NETAPPC190. Sauvegarde Veeam 11.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59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Tâches</w:t>
            </w: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Installation et configurations des infrastructures de virtualisation Wmware</w:t>
            </w:r>
          </w:p>
        </w:tc>
      </w:tr>
      <w:tr>
        <w:trPr>
          <w:trHeight w:val="25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Hyper convergence Cisco Hyperflex en cluster et HPE Simplivity</w:t>
            </w:r>
          </w:p>
        </w:tc>
      </w:tr>
      <w:tr>
        <w:trPr>
          <w:trHeight w:val="254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Réalisation de monitoring basé sur Centreon et Nagvis</w:t>
            </w:r>
          </w:p>
        </w:tc>
      </w:tr>
      <w:tr>
        <w:trPr>
          <w:trHeight w:val="25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Gestion des backups quotidiens sous Veeam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9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  <w:shd w:val="clear" w:color="auto" w:fill="E7E6FF"/>
              </w:rPr>
              <w:t>Environnement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QNAP, NetApp, VMWare, Sinology, Linux, Windows, Veeam, Centreon, Nagvis, Fortinet</w:t>
            </w:r>
          </w:p>
        </w:tc>
      </w:tr>
      <w:tr>
        <w:trPr>
          <w:trHeight w:val="29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Technique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4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3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FFFFFF"/>
              </w:rPr>
              <w:t>THALES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vMerge w:val="restart"/>
            <w:shd w:val="clear" w:color="auto" w:fill="7A4AFF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FFFFFF"/>
              </w:rPr>
              <w:t>Janvier 2020 à septembre 2020</w:t>
            </w: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restart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FFFFFF"/>
              </w:rPr>
              <w:t>Ingénieur système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4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continue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Contexte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Administration des plateformes virtuelles et physiques des clients de la firme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80" w:type="dxa"/>
            <w:vAlign w:val="bottom"/>
            <w:tcBorders>
              <w:right w:val="single" w:sz="8" w:color="C0B6FF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Traitement des incidents N2/N3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80" w:type="dxa"/>
            <w:vAlign w:val="bottom"/>
            <w:tcBorders>
              <w:right w:val="single" w:sz="8" w:color="C0B6FF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Administration quotidienne des parcs hétérogènes sous Linux et Windows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Administration VMWare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  <w:w w:val="93"/>
                <w:shd w:val="clear" w:color="auto" w:fill="E7E6FF"/>
              </w:rPr>
              <w:t>Environnement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QNAP, NetApp, VMWare, Sinology, Linux, Windows, Veeam, Centreon, Nagvis, Fortinet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Technique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3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FFFFFF"/>
                <w:w w:val="97"/>
              </w:rPr>
              <w:t>Bourbon Offshore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vMerge w:val="restart"/>
            <w:shd w:val="clear" w:color="auto" w:fill="7A4AFF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FFFFFF"/>
                <w:w w:val="99"/>
              </w:rPr>
              <w:t>Février 2019 à janvier 2020</w:t>
            </w: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restart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FFFFFF"/>
              </w:rPr>
              <w:t>Ingénieur système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4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continue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Contexte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Projet de migration du SI de chaque navire de la flotte (200 navires)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Équipe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PO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lead développer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3 développeurs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3310890</wp:posOffset>
            </wp:positionH>
            <wp:positionV relativeFrom="paragraph">
              <wp:posOffset>-584200</wp:posOffset>
            </wp:positionV>
            <wp:extent cx="3839845" cy="12236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</w:sectPr>
      </w:pP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</w:pPr>
      <w:r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  <w:t>Altea Services :</w:t>
      </w:r>
      <w:r>
        <w:rPr>
          <w:rFonts w:ascii="Calibri" w:cs="Calibri" w:eastAsia="Calibri" w:hAnsi="Calibri"/>
          <w:sz w:val="17"/>
          <w:szCs w:val="17"/>
          <w:color w:val="1D2263"/>
        </w:rPr>
        <w:t xml:space="preserve"> Emilie MARC -</w:t>
      </w:r>
      <w:r>
        <w:rPr>
          <w:rFonts w:ascii="Calibri" w:cs="Calibri" w:eastAsia="Calibri" w:hAnsi="Calibri"/>
          <w:sz w:val="17"/>
          <w:szCs w:val="17"/>
          <w:color w:val="7A4AFF"/>
        </w:rPr>
        <w:t xml:space="preserve"> </w:t>
      </w:r>
      <w:hyperlink r:id="rId32">
        <w:r>
          <w:rPr>
            <w:rFonts w:ascii="Calibri" w:cs="Calibri" w:eastAsia="Calibri" w:hAnsi="Calibri"/>
            <w:sz w:val="17"/>
            <w:szCs w:val="17"/>
            <w:u w:val="single" w:color="auto"/>
            <w:color w:val="7A4AFF"/>
          </w:rPr>
          <w:t>emarc@altea-si.com</w:t>
        </w:r>
      </w:hyperlink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9"/>
          <w:szCs w:val="39"/>
          <w:color w:val="7A4A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5836285</wp:posOffset>
            </wp:positionH>
            <wp:positionV relativeFrom="page">
              <wp:posOffset>450850</wp:posOffset>
            </wp:positionV>
            <wp:extent cx="1322705" cy="3143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Dossier de compétences</w:t>
      </w:r>
    </w:p>
    <w:p>
      <w:pPr>
        <w:sectPr>
          <w:pgSz w:w="11900" w:h="16840" w:orient="portrait"/>
          <w:cols w:equalWidth="0" w:num="1">
            <w:col w:w="10560"/>
          </w:cols>
          <w:pgMar w:left="640" w:top="714" w:right="705" w:bottom="15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9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Tâches</w:t>
            </w: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Aide à l’installation des serveurs via Satellite</w:t>
            </w:r>
          </w:p>
        </w:tc>
      </w:tr>
      <w:tr>
        <w:trPr>
          <w:trHeight w:val="25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Migration des serveurs Exchange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Migration active directory, Filers, serveurs applicatifs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Automatisation des dernières tâches pour l’intégration et le déploiement de serveurs Et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services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Contrôle des phases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Coordination des parties tierces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Rédaction de la documentation technique pour l’industrialisation des migrations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92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  <w:shd w:val="clear" w:color="auto" w:fill="E7E6FF"/>
              </w:rPr>
              <w:t>Environnement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QNAP, NetApp, VMWare, Sinology, Linux, Windows, Veeam, Centreon, Nagvis, Fortinet</w:t>
            </w:r>
          </w:p>
        </w:tc>
      </w:tr>
      <w:tr>
        <w:trPr>
          <w:trHeight w:val="29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Technique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4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494665</wp:posOffset>
            </wp:positionV>
            <wp:extent cx="473710" cy="4724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Langues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0"/>
        </w:trPr>
        <w:tc>
          <w:tcPr>
            <w:tcW w:w="2120" w:type="dxa"/>
            <w:vAlign w:val="bottom"/>
            <w:tcBorders>
              <w:top w:val="single" w:sz="8" w:color="CECCFF"/>
              <w:left w:val="single" w:sz="8" w:color="CECCFF"/>
              <w:right w:val="single" w:sz="8" w:color="CECCFF"/>
            </w:tcBorders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</w:rPr>
              <w:t>Français</w:t>
            </w:r>
          </w:p>
        </w:tc>
        <w:tc>
          <w:tcPr>
            <w:tcW w:w="210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9"/>
              </w:rPr>
              <w:t>Anglais</w:t>
            </w:r>
          </w:p>
        </w:tc>
      </w:tr>
      <w:tr>
        <w:trPr>
          <w:trHeight w:val="115"/>
        </w:trPr>
        <w:tc>
          <w:tcPr>
            <w:tcW w:w="2120" w:type="dxa"/>
            <w:vAlign w:val="bottom"/>
            <w:tcBorders>
              <w:left w:val="single" w:sz="8" w:color="CECCFF"/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45"/>
        </w:trPr>
        <w:tc>
          <w:tcPr>
            <w:tcW w:w="2120" w:type="dxa"/>
            <w:vAlign w:val="bottom"/>
            <w:tcBorders>
              <w:left w:val="single" w:sz="8" w:color="CECCFF"/>
              <w:right w:val="single" w:sz="8" w:color="CECCF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Langue maternelle</w:t>
            </w:r>
          </w:p>
        </w:tc>
        <w:tc>
          <w:tcPr>
            <w:tcW w:w="2100" w:type="dxa"/>
            <w:vAlign w:val="bottom"/>
            <w:tcBorders>
              <w:right w:val="single" w:sz="8" w:color="CECCF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9"/>
              </w:rPr>
              <w:t>Baragouine</w:t>
            </w:r>
          </w:p>
        </w:tc>
      </w:tr>
      <w:tr>
        <w:trPr>
          <w:trHeight w:val="115"/>
        </w:trPr>
        <w:tc>
          <w:tcPr>
            <w:tcW w:w="2120" w:type="dxa"/>
            <w:vAlign w:val="bottom"/>
            <w:tcBorders>
              <w:left w:val="single" w:sz="8" w:color="CECCFF"/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3310890</wp:posOffset>
            </wp:positionH>
            <wp:positionV relativeFrom="paragraph">
              <wp:posOffset>4490085</wp:posOffset>
            </wp:positionV>
            <wp:extent cx="3839845" cy="12236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560"/>
          </w:cols>
          <w:pgMar w:left="640" w:top="714" w:right="705" w:bottom="15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</w:pPr>
      <w:r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  <w:t>Altea Services :</w:t>
      </w:r>
      <w:r>
        <w:rPr>
          <w:rFonts w:ascii="Calibri" w:cs="Calibri" w:eastAsia="Calibri" w:hAnsi="Calibri"/>
          <w:sz w:val="17"/>
          <w:szCs w:val="17"/>
          <w:color w:val="1D2263"/>
        </w:rPr>
        <w:t xml:space="preserve"> Emilie MARC -</w:t>
      </w:r>
      <w:r>
        <w:rPr>
          <w:rFonts w:ascii="Calibri" w:cs="Calibri" w:eastAsia="Calibri" w:hAnsi="Calibri"/>
          <w:sz w:val="17"/>
          <w:szCs w:val="17"/>
          <w:color w:val="7A4AFF"/>
        </w:rPr>
        <w:t xml:space="preserve"> </w:t>
      </w:r>
      <w:hyperlink r:id="rId32">
        <w:r>
          <w:rPr>
            <w:rFonts w:ascii="Calibri" w:cs="Calibri" w:eastAsia="Calibri" w:hAnsi="Calibri"/>
            <w:sz w:val="17"/>
            <w:szCs w:val="17"/>
            <w:u w:val="single" w:color="auto"/>
            <w:color w:val="7A4AFF"/>
          </w:rPr>
          <w:t>emarc@altea-si.com</w:t>
        </w:r>
      </w:hyperlink>
    </w:p>
    <w:sectPr>
      <w:pgSz w:w="11900" w:h="16840" w:orient="portrait"/>
      <w:cols w:equalWidth="0" w:num="1">
        <w:col w:w="10560"/>
      </w:cols>
      <w:pgMar w:left="640" w:top="714" w:right="705" w:bottom="15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2" Type="http://schemas.openxmlformats.org/officeDocument/2006/relationships/hyperlink" Target="mailto:emarc@altea-si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2024-12-04T21:45:45Z</dcterms:created>
  <dcterms:modified xsi:type="dcterms:W3CDTF">2024-12-04T21:45:45Z</dcterms:modified>
</cp:coreProperties>
</file>