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717550</wp:posOffset>
            </wp:positionH>
            <wp:positionV relativeFrom="page">
              <wp:posOffset>329565</wp:posOffset>
            </wp:positionV>
            <wp:extent cx="1987550" cy="4743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6419850</wp:posOffset>
            </wp:positionH>
            <wp:positionV relativeFrom="page">
              <wp:posOffset>0</wp:posOffset>
            </wp:positionV>
            <wp:extent cx="1130300" cy="18205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82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>{{HEADER_CANDIDAT_TRI}}</w:t>
      </w:r>
    </w:p>
    <w:p>
      <w:pPr>
        <w:spacing w:after="0" w:line="10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auto"/>
        </w:rPr>
        <w:t>{{HEADER_CANDIDAT_POSTE}}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94615</wp:posOffset>
            </wp:positionH>
            <wp:positionV relativeFrom="paragraph">
              <wp:posOffset>733425</wp:posOffset>
            </wp:positionV>
            <wp:extent cx="483235" cy="4946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49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19050</wp:posOffset>
            </wp:positionV>
            <wp:extent cx="2381885" cy="381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38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1D2263"/>
        </w:rPr>
        <w:t>Contact Commercial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1514475</wp:posOffset>
            </wp:positionH>
            <wp:positionV relativeFrom="paragraph">
              <wp:posOffset>-127635</wp:posOffset>
            </wp:positionV>
            <wp:extent cx="64135" cy="482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4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20"/>
        <w:spacing w:after="0" w:line="23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1D2263"/>
        </w:rPr>
        <w:t>((COMMERCIAL_NOM_COMPLET}} –</w:t>
      </w:r>
      <w:r>
        <w:rPr>
          <w:rFonts w:ascii="Calibri" w:cs="Calibri" w:eastAsia="Calibri" w:hAnsi="Calibri"/>
          <w:sz w:val="28"/>
          <w:szCs w:val="28"/>
          <w:color w:val="1D2263"/>
        </w:rPr>
        <w:t xml:space="preserve"> </w:t>
      </w:r>
      <w:r>
        <w:rPr>
          <w:rFonts w:ascii="Calibri" w:cs="Calibri" w:eastAsia="Calibri" w:hAnsi="Calibri"/>
          <w:sz w:val="28"/>
          <w:szCs w:val="28"/>
          <w:i w:val="1"/>
          <w:iCs w:val="1"/>
          <w:color w:val="1D2263"/>
        </w:rPr>
        <w:t>Altea Services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2505075</wp:posOffset>
            </wp:positionH>
            <wp:positionV relativeFrom="paragraph">
              <wp:posOffset>-111125</wp:posOffset>
            </wp:positionV>
            <wp:extent cx="83185" cy="450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400"/>
          </w:cols>
          <w:pgMar w:left="1100" w:top="1440" w:right="1405" w:bottom="607" w:gutter="0" w:footer="0" w:header="0"/>
        </w:sectPr>
      </w:pP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ind w:left="840" w:right="380" w:firstLine="176"/>
        <w:spacing w:after="0" w:line="3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i w:val="1"/>
          <w:iCs w:val="1"/>
          <w:color w:val="1D2263"/>
          <w:highlight w:val="white"/>
        </w:rPr>
        <w:t xml:space="preserve">{{HEADER_COMMERCI </w:t>
      </w:r>
      <w:r>
        <w:rPr>
          <w:sz w:val="1"/>
          <w:szCs w:val="1"/>
          <w:color w:val="auto"/>
        </w:rPr>
        <w:drawing>
          <wp:inline distT="0" distB="0" distL="0" distR="0">
            <wp:extent cx="48260" cy="48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" cy="4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1"/>
          <w:szCs w:val="21"/>
          <w:i w:val="1"/>
          <w:iCs w:val="1"/>
          <w:color w:val="1D2263"/>
        </w:rPr>
        <w:t xml:space="preserve"> AL_EMAIL}}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146050</wp:posOffset>
            </wp:positionH>
            <wp:positionV relativeFrom="paragraph">
              <wp:posOffset>-521970</wp:posOffset>
            </wp:positionV>
            <wp:extent cx="2640330" cy="14814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48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1D2263"/>
        </w:rPr>
        <w:t>{{HEADER_</w:t>
      </w:r>
      <w:r>
        <w:rPr>
          <w:sz w:val="1"/>
          <w:szCs w:val="1"/>
          <w:color w:val="auto"/>
        </w:rPr>
        <w:drawing>
          <wp:inline distT="0" distB="0" distL="0" distR="0">
            <wp:extent cx="35560" cy="38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3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-172085</wp:posOffset>
            </wp:positionV>
            <wp:extent cx="1378585" cy="5588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right="580"/>
        <w:spacing w:after="0" w:line="34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i w:val="1"/>
          <w:iCs w:val="1"/>
          <w:color w:val="1D2263"/>
          <w:highlight w:val="white"/>
        </w:rPr>
        <w:t xml:space="preserve">COMMERCIAL_ </w:t>
      </w:r>
      <w:r>
        <w:rPr>
          <w:rFonts w:ascii="Arial" w:cs="Arial" w:eastAsia="Arial" w:hAnsi="Arial"/>
          <w:sz w:val="21"/>
          <w:szCs w:val="21"/>
          <w:i w:val="1"/>
          <w:iCs w:val="1"/>
          <w:color w:val="1D2263"/>
        </w:rPr>
        <w:t xml:space="preserve">PHONE}} </w:t>
      </w:r>
      <w:r>
        <w:rPr>
          <w:sz w:val="1"/>
          <w:szCs w:val="1"/>
          <w:color w:val="auto"/>
        </w:rPr>
        <w:drawing>
          <wp:inline distT="0" distB="0" distL="0" distR="0">
            <wp:extent cx="35560" cy="38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3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i w:val="1"/>
          <w:iCs w:val="1"/>
          <w:color w:val="1D2263"/>
        </w:rPr>
        <w:t xml:space="preserve">www.altea-si.com </w:t>
      </w:r>
      <w:r>
        <w:rPr>
          <w:sz w:val="1"/>
          <w:szCs w:val="1"/>
          <w:color w:val="auto"/>
        </w:rPr>
        <w:drawing>
          <wp:inline distT="0" distB="0" distL="0" distR="0">
            <wp:extent cx="48260" cy="48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" cy="4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-450850</wp:posOffset>
            </wp:positionH>
            <wp:positionV relativeFrom="paragraph">
              <wp:posOffset>-217170</wp:posOffset>
            </wp:positionV>
            <wp:extent cx="1064895" cy="2857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23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3">
            <w:col w:w="3780" w:space="720"/>
            <w:col w:w="2180" w:space="720"/>
            <w:col w:w="2000"/>
          </w:cols>
          <w:pgMar w:left="1100" w:top="1440" w:right="1405" w:bottom="607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color w:val="1D2263"/>
        </w:rPr>
        <w:t>Focus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225425</wp:posOffset>
            </wp:positionV>
            <wp:extent cx="6123940" cy="857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8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ind w:left="260"/>
        <w:spacing w:after="0"/>
        <w:tabs>
          <w:tab w:leader="none" w:pos="22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1D2263"/>
        </w:rPr>
        <w:t>Expérience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0"/>
          <w:szCs w:val="20"/>
          <w:color w:val="6165C3"/>
        </w:rPr>
        <w:t>{{FOCUS_NB_YEAR_EXP}}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365125</wp:posOffset>
            </wp:positionV>
            <wp:extent cx="6123940" cy="127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ind w:left="260"/>
        <w:spacing w:after="0"/>
        <w:tabs>
          <w:tab w:leader="none" w:pos="22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1D2263"/>
        </w:rPr>
        <w:t>Compétences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0"/>
          <w:szCs w:val="20"/>
          <w:color w:val="6165C3"/>
        </w:rPr>
        <w:t>{{FOCUS_KEY_COMPETENCES}}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1D2263"/>
        </w:rPr>
        <w:t>clefs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155575</wp:posOffset>
            </wp:positionV>
            <wp:extent cx="6123940" cy="127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6" w:lineRule="exact"/>
        <w:rPr>
          <w:sz w:val="24"/>
          <w:szCs w:val="24"/>
          <w:color w:val="auto"/>
        </w:rPr>
      </w:pPr>
    </w:p>
    <w:p>
      <w:pPr>
        <w:ind w:left="260"/>
        <w:spacing w:after="0"/>
        <w:tabs>
          <w:tab w:leader="none" w:pos="22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1D2263"/>
        </w:rPr>
        <w:t>En synthèse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9"/>
          <w:szCs w:val="19"/>
          <w:color w:val="6165C3"/>
        </w:rPr>
        <w:t>{{FOCUS_KEY_SYNTHESE}}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-243205</wp:posOffset>
            </wp:positionH>
            <wp:positionV relativeFrom="paragraph">
              <wp:posOffset>497205</wp:posOffset>
            </wp:positionV>
            <wp:extent cx="7098665" cy="35979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665" cy="359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b w:val="1"/>
          <w:bCs w:val="1"/>
          <w:color w:val="1D2263"/>
        </w:rPr>
        <w:t>Compétences</w:t>
      </w:r>
      <w:r>
        <w:rPr>
          <w:rFonts w:ascii="Arial" w:cs="Arial" w:eastAsia="Arial" w:hAnsi="Arial"/>
          <w:sz w:val="34"/>
          <w:szCs w:val="34"/>
          <w:b w:val="1"/>
          <w:bCs w:val="1"/>
          <w:color w:val="7A4AFF"/>
        </w:rPr>
        <w:t xml:space="preserve"> Techniques</w:t>
      </w:r>
    </w:p>
    <w:p>
      <w:pPr>
        <w:sectPr>
          <w:pgSz w:w="11900" w:h="16840" w:orient="portrait"/>
          <w:cols w:equalWidth="0" w:num="1">
            <w:col w:w="9400"/>
          </w:cols>
          <w:pgMar w:left="1100" w:top="1440" w:right="1405" w:bottom="607" w:gutter="0" w:footer="0" w:header="0"/>
          <w:type w:val="continuous"/>
        </w:sectPr>
      </w:pP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1D2263"/>
        </w:rPr>
        <w:t>Soft 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9"/>
          <w:szCs w:val="19"/>
          <w:color w:val="6165C3"/>
        </w:rPr>
        <w:t>{{COMPETENCES_SOFT_SKILLS}}</w:t>
      </w:r>
    </w:p>
    <w:p>
      <w:pPr>
        <w:sectPr>
          <w:pgSz w:w="11900" w:h="16840" w:orient="portrait"/>
          <w:cols w:equalWidth="0" w:num="2">
            <w:col w:w="1920" w:space="220"/>
            <w:col w:w="7260"/>
          </w:cols>
          <w:pgMar w:left="1100" w:top="1440" w:right="1405" w:bottom="607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color w:val="7A4A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5836285</wp:posOffset>
            </wp:positionH>
            <wp:positionV relativeFrom="page">
              <wp:posOffset>450850</wp:posOffset>
            </wp:positionV>
            <wp:extent cx="1322705" cy="3143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Dossier de compétences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tbl>
      <w:tblPr>
        <w:tblLayout w:type="fixed"/>
        <w:tblInd w:w="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1"/>
        </w:trPr>
        <w:tc>
          <w:tcPr>
            <w:tcW w:w="2420" w:type="dxa"/>
            <w:vAlign w:val="bottom"/>
            <w:tcBorders>
              <w:top w:val="single" w:sz="8" w:color="C0B6FF"/>
              <w:left w:val="single" w:sz="8" w:color="C0B6FF"/>
              <w:right w:val="single" w:sz="8" w:color="C0B6FF"/>
            </w:tcBorders>
            <w:shd w:val="clear" w:color="auto" w:fill="E7E6FF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Domaines</w:t>
            </w:r>
          </w:p>
        </w:tc>
        <w:tc>
          <w:tcPr>
            <w:tcW w:w="8080" w:type="dxa"/>
            <w:vAlign w:val="bottom"/>
            <w:tcBorders>
              <w:top w:val="single" w:sz="8" w:color="C0B6FF"/>
              <w:right w:val="single" w:sz="8" w:color="C0B6FF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{{COMPETENCES_SOFT_DOMAINES}}</w:t>
            </w:r>
          </w:p>
        </w:tc>
      </w:tr>
      <w:tr>
        <w:trPr>
          <w:trHeight w:val="199"/>
        </w:trPr>
        <w:tc>
          <w:tcPr>
            <w:tcW w:w="2420" w:type="dxa"/>
            <w:vAlign w:val="bottom"/>
            <w:tcBorders>
              <w:left w:val="single" w:sz="8" w:color="C0B6FF"/>
              <w:righ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80" w:type="dxa"/>
            <w:vAlign w:val="bottom"/>
            <w:tcBorders>
              <w:right w:val="single" w:sz="8" w:color="C0B6F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115"/>
        </w:trPr>
        <w:tc>
          <w:tcPr>
            <w:tcW w:w="2420" w:type="dxa"/>
            <w:vAlign w:val="bottom"/>
            <w:tcBorders>
              <w:left w:val="single" w:sz="8" w:color="C0B6FF"/>
              <w:bottom w:val="single" w:sz="8" w:color="C0B6FF"/>
              <w:righ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8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390"/>
        </w:trPr>
        <w:tc>
          <w:tcPr>
            <w:tcW w:w="2420" w:type="dxa"/>
            <w:vAlign w:val="bottom"/>
            <w:tcBorders>
              <w:left w:val="single" w:sz="8" w:color="C0B6FF"/>
              <w:right w:val="single" w:sz="8" w:color="C0B6FF"/>
            </w:tcBorders>
            <w:shd w:val="clear" w:color="auto" w:fill="E7E6FF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Languages</w:t>
            </w:r>
          </w:p>
        </w:tc>
        <w:tc>
          <w:tcPr>
            <w:tcW w:w="8080" w:type="dxa"/>
            <w:vAlign w:val="bottom"/>
            <w:tcBorders>
              <w:right w:val="single" w:sz="8" w:color="C0B6FF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{{COMPETENCES_LANGUAGES}}</w:t>
            </w:r>
          </w:p>
        </w:tc>
      </w:tr>
      <w:tr>
        <w:trPr>
          <w:trHeight w:val="115"/>
        </w:trPr>
        <w:tc>
          <w:tcPr>
            <w:tcW w:w="2420" w:type="dxa"/>
            <w:vAlign w:val="bottom"/>
            <w:tcBorders>
              <w:left w:val="single" w:sz="8" w:color="C0B6FF"/>
              <w:bottom w:val="single" w:sz="8" w:color="C0B6FF"/>
              <w:righ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8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395"/>
        </w:trPr>
        <w:tc>
          <w:tcPr>
            <w:tcW w:w="2420" w:type="dxa"/>
            <w:vAlign w:val="bottom"/>
            <w:tcBorders>
              <w:left w:val="single" w:sz="8" w:color="C0B6FF"/>
              <w:right w:val="single" w:sz="8" w:color="C0B6FF"/>
            </w:tcBorders>
            <w:shd w:val="clear" w:color="auto" w:fill="E7E6FF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Bases de données</w:t>
            </w:r>
          </w:p>
        </w:tc>
        <w:tc>
          <w:tcPr>
            <w:tcW w:w="8080" w:type="dxa"/>
            <w:vAlign w:val="bottom"/>
            <w:tcBorders>
              <w:right w:val="single" w:sz="8" w:color="C0B6FF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{{COMPETENCES_BDD}}</w:t>
            </w:r>
          </w:p>
        </w:tc>
      </w:tr>
      <w:tr>
        <w:trPr>
          <w:trHeight w:val="115"/>
        </w:trPr>
        <w:tc>
          <w:tcPr>
            <w:tcW w:w="2420" w:type="dxa"/>
            <w:vAlign w:val="bottom"/>
            <w:tcBorders>
              <w:left w:val="single" w:sz="8" w:color="C0B6FF"/>
              <w:bottom w:val="single" w:sz="8" w:color="C0B6FF"/>
              <w:righ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8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393"/>
        </w:trPr>
        <w:tc>
          <w:tcPr>
            <w:tcW w:w="2420" w:type="dxa"/>
            <w:vAlign w:val="bottom"/>
            <w:tcBorders>
              <w:left w:val="single" w:sz="8" w:color="C0B6FF"/>
              <w:right w:val="single" w:sz="8" w:color="C0B6FF"/>
            </w:tcBorders>
            <w:shd w:val="clear" w:color="auto" w:fill="E7E6FF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Méthodologie</w:t>
            </w:r>
          </w:p>
        </w:tc>
        <w:tc>
          <w:tcPr>
            <w:tcW w:w="8080" w:type="dxa"/>
            <w:vAlign w:val="bottom"/>
            <w:tcBorders>
              <w:right w:val="single" w:sz="8" w:color="C0B6FF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{{COMPETENCES_METHODOLOGIE}}</w:t>
            </w:r>
          </w:p>
        </w:tc>
      </w:tr>
      <w:tr>
        <w:trPr>
          <w:trHeight w:val="117"/>
        </w:trPr>
        <w:tc>
          <w:tcPr>
            <w:tcW w:w="2420" w:type="dxa"/>
            <w:vAlign w:val="bottom"/>
            <w:tcBorders>
              <w:left w:val="single" w:sz="8" w:color="C0B6FF"/>
              <w:bottom w:val="single" w:sz="8" w:color="C0B6FF"/>
              <w:righ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8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495935</wp:posOffset>
            </wp:positionV>
            <wp:extent cx="419100" cy="41783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1D2263"/>
        </w:rPr>
        <w:t>Compétences</w:t>
      </w:r>
      <w:r>
        <w:rPr>
          <w:rFonts w:ascii="Arial" w:cs="Arial" w:eastAsia="Arial" w:hAnsi="Arial"/>
          <w:sz w:val="36"/>
          <w:szCs w:val="36"/>
          <w:b w:val="1"/>
          <w:bCs w:val="1"/>
          <w:color w:val="7A4AFF"/>
        </w:rPr>
        <w:t xml:space="preserve"> Métier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tbl>
      <w:tblPr>
        <w:tblLayout w:type="fixed"/>
        <w:tblInd w:w="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25"/>
        </w:trPr>
        <w:tc>
          <w:tcPr>
            <w:tcW w:w="120" w:type="dxa"/>
            <w:vAlign w:val="bottom"/>
            <w:tcBorders>
              <w:top w:val="single" w:sz="8" w:color="CECCFF"/>
              <w:lef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top w:val="single" w:sz="8" w:color="CECCFF"/>
            </w:tcBorders>
            <w:vMerge w:val="restart"/>
            <w:shd w:val="clear" w:color="auto" w:fill="E7E6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1D2263"/>
              </w:rPr>
              <w:t>Banque</w:t>
            </w:r>
          </w:p>
        </w:tc>
        <w:tc>
          <w:tcPr>
            <w:tcW w:w="120" w:type="dxa"/>
            <w:vAlign w:val="bottom"/>
            <w:tcBorders>
              <w:top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top w:val="single" w:sz="8" w:color="CECCFF"/>
            </w:tcBorders>
            <w:vMerge w:val="restart"/>
            <w:shd w:val="clear" w:color="auto" w:fill="E7E6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1D2263"/>
                <w:w w:val="98"/>
              </w:rPr>
              <w:t>Assurance</w:t>
            </w:r>
          </w:p>
        </w:tc>
        <w:tc>
          <w:tcPr>
            <w:tcW w:w="120" w:type="dxa"/>
            <w:vAlign w:val="bottom"/>
            <w:tcBorders>
              <w:top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top w:val="single" w:sz="8" w:color="CECCFF"/>
            </w:tcBorders>
            <w:vMerge w:val="restart"/>
            <w:shd w:val="clear" w:color="auto" w:fill="E7E6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1D2263"/>
                <w:w w:val="96"/>
              </w:rPr>
              <w:t>Tertiaire</w:t>
            </w:r>
          </w:p>
        </w:tc>
        <w:tc>
          <w:tcPr>
            <w:tcW w:w="140" w:type="dxa"/>
            <w:vAlign w:val="bottom"/>
            <w:tcBorders>
              <w:top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top w:val="single" w:sz="8" w:color="CECCFF"/>
            </w:tcBorders>
            <w:vMerge w:val="restart"/>
            <w:shd w:val="clear" w:color="auto" w:fill="E7E6FF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1D2263"/>
              </w:rPr>
              <w:t>Services</w:t>
            </w:r>
          </w:p>
        </w:tc>
        <w:tc>
          <w:tcPr>
            <w:tcW w:w="120" w:type="dxa"/>
            <w:vAlign w:val="bottom"/>
            <w:tcBorders>
              <w:top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top w:val="single" w:sz="8" w:color="CECCFF"/>
            </w:tcBorders>
            <w:vMerge w:val="restart"/>
            <w:shd w:val="clear" w:color="auto" w:fill="E7E6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1D2263"/>
                <w:w w:val="99"/>
              </w:rPr>
              <w:t>Energie</w:t>
            </w:r>
          </w:p>
        </w:tc>
        <w:tc>
          <w:tcPr>
            <w:tcW w:w="140" w:type="dxa"/>
            <w:vAlign w:val="bottom"/>
            <w:tcBorders>
              <w:top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120" w:type="dxa"/>
            <w:vAlign w:val="bottom"/>
            <w:tcBorders>
              <w:lef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120" w:type="dxa"/>
            <w:vAlign w:val="bottom"/>
            <w:tcBorders>
              <w:left w:val="single" w:sz="8" w:color="CECCFF"/>
              <w:bottom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0"/>
        </w:trPr>
        <w:tc>
          <w:tcPr>
            <w:tcW w:w="120" w:type="dxa"/>
            <w:vAlign w:val="bottom"/>
            <w:tcBorders>
              <w:left w:val="single" w:sz="8" w:color="CECC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CECCFF"/>
            </w:tcBorders>
            <w:gridSpan w:val="2"/>
          </w:tcPr>
          <w:p>
            <w:pPr>
              <w:jc w:val="center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1D2263"/>
                <w:w w:val="98"/>
              </w:rPr>
              <w:t>2 ans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CECCFF"/>
            </w:tcBorders>
            <w:gridSpan w:val="2"/>
          </w:tcPr>
          <w:p>
            <w:pPr>
              <w:jc w:val="center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1D2263"/>
                <w:w w:val="98"/>
              </w:rPr>
              <w:t>3 ans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CECCFF"/>
            </w:tcBorders>
            <w:gridSpan w:val="2"/>
          </w:tcPr>
          <w:p>
            <w:pPr>
              <w:jc w:val="center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1D2263"/>
                <w:w w:val="99"/>
              </w:rPr>
              <w:t>5 années lumière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CECCFF"/>
            </w:tcBorders>
            <w:gridSpan w:val="2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1D2263"/>
              </w:rPr>
              <w:t>134 dodos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CECCFF"/>
            </w:tcBorders>
            <w:gridSpan w:val="2"/>
          </w:tcPr>
          <w:p>
            <w:pPr>
              <w:jc w:val="center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1D2263"/>
                <w:w w:val="98"/>
              </w:rPr>
              <w:t>Trop longtemps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20" w:type="dxa"/>
            <w:vAlign w:val="bottom"/>
            <w:tcBorders>
              <w:left w:val="single" w:sz="8" w:color="CECCFF"/>
              <w:bottom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CECCFF"/>
              <w:right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CECCFF"/>
              <w:right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ECCFF"/>
              <w:right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CECCFF"/>
              <w:right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ECCFF"/>
              <w:right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494665</wp:posOffset>
            </wp:positionV>
            <wp:extent cx="419100" cy="41846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2" w:lineRule="exact"/>
        <w:rPr>
          <w:sz w:val="20"/>
          <w:szCs w:val="20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38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1D2263"/>
              </w:rPr>
              <w:t>Formations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2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58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120" w:type="dxa"/>
            <w:vAlign w:val="bottom"/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  <w:shd w:val="clear" w:color="auto" w:fill="E7E6FF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2011</w:t>
            </w:r>
          </w:p>
        </w:tc>
        <w:tc>
          <w:tcPr>
            <w:tcW w:w="100" w:type="dxa"/>
            <w:vAlign w:val="bottom"/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580" w:type="dxa"/>
            <w:vAlign w:val="bottom"/>
          </w:tcPr>
          <w:p>
            <w:pPr>
              <w:ind w:left="5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6165C3"/>
              </w:rPr>
              <w:t>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120" w:type="dxa"/>
            <w:vAlign w:val="bottom"/>
            <w:shd w:val="clear" w:color="auto" w:fill="E7E6FF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  <w:shd w:val="clear" w:color="auto" w:fill="E7E6FF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E7E6FF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580" w:type="dxa"/>
            <w:vAlign w:val="bottom"/>
          </w:tcPr>
          <w:p>
            <w:pPr>
              <w:ind w:left="340"/>
              <w:spacing w:after="0" w:line="14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5"/>
                <w:szCs w:val="15"/>
                <w:b w:val="1"/>
                <w:bCs w:val="1"/>
                <w:color w:val="6165C3"/>
              </w:rPr>
              <w:t>TSRIT</w:t>
            </w:r>
            <w:r>
              <w:rPr>
                <w:rFonts w:ascii="Calibri" w:cs="Calibri" w:eastAsia="Calibri" w:hAnsi="Calibri"/>
                <w:sz w:val="15"/>
                <w:szCs w:val="15"/>
                <w:color w:val="6165C3"/>
              </w:rPr>
              <w:t xml:space="preserve"> (Informatique Titre Professionnel RNCP - </w:t>
            </w:r>
            <w:r>
              <w:rPr>
                <w:rFonts w:ascii="Calibri" w:cs="Calibri" w:eastAsia="Calibri" w:hAnsi="Calibri"/>
                <w:sz w:val="15"/>
                <w:szCs w:val="15"/>
                <w:i w:val="1"/>
                <w:iCs w:val="1"/>
                <w:color w:val="6165C3"/>
              </w:rPr>
              <w:t>Reconnu et délivré par l’Etat)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120" w:type="dxa"/>
            <w:vAlign w:val="bottom"/>
            <w:tcBorders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58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120" w:type="dxa"/>
            <w:vAlign w:val="bottom"/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  <w:shd w:val="clear" w:color="auto" w:fill="E7E6FF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2010</w:t>
            </w:r>
          </w:p>
        </w:tc>
        <w:tc>
          <w:tcPr>
            <w:tcW w:w="100" w:type="dxa"/>
            <w:vAlign w:val="bottom"/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580" w:type="dxa"/>
            <w:vAlign w:val="bottom"/>
          </w:tcPr>
          <w:p>
            <w:pPr>
              <w:ind w:left="5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6165C3"/>
              </w:rPr>
              <w:t>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"/>
        </w:trPr>
        <w:tc>
          <w:tcPr>
            <w:tcW w:w="120" w:type="dxa"/>
            <w:vAlign w:val="bottom"/>
            <w:shd w:val="clear" w:color="auto" w:fill="E7E6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  <w:shd w:val="clear" w:color="auto" w:fill="E7E6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E7E6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580" w:type="dxa"/>
            <w:vAlign w:val="bottom"/>
          </w:tcPr>
          <w:p>
            <w:pPr>
              <w:ind w:left="3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4"/>
                <w:szCs w:val="14"/>
                <w:b w:val="1"/>
                <w:bCs w:val="1"/>
                <w:color w:val="6165C3"/>
              </w:rPr>
              <w:t>TSRIT</w:t>
            </w:r>
            <w:r>
              <w:rPr>
                <w:rFonts w:ascii="Calibri" w:cs="Calibri" w:eastAsia="Calibri" w:hAnsi="Calibri"/>
                <w:sz w:val="14"/>
                <w:szCs w:val="14"/>
                <w:color w:val="6165C3"/>
              </w:rPr>
              <w:t xml:space="preserve"> (Informatique Titre Professionnel RNCP - </w:t>
            </w:r>
            <w:r>
              <w:rPr>
                <w:rFonts w:ascii="Calibri" w:cs="Calibri" w:eastAsia="Calibri" w:hAnsi="Calibri"/>
                <w:sz w:val="14"/>
                <w:szCs w:val="14"/>
                <w:i w:val="1"/>
                <w:iCs w:val="1"/>
                <w:color w:val="6165C3"/>
              </w:rPr>
              <w:t>Reconnu et délivré par l’Etat)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120" w:type="dxa"/>
            <w:vAlign w:val="bottom"/>
            <w:tcBorders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58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120" w:type="dxa"/>
            <w:vAlign w:val="bottom"/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  <w:shd w:val="clear" w:color="auto" w:fill="E7E6FF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2009</w:t>
            </w:r>
          </w:p>
        </w:tc>
        <w:tc>
          <w:tcPr>
            <w:tcW w:w="100" w:type="dxa"/>
            <w:vAlign w:val="bottom"/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580" w:type="dxa"/>
            <w:vAlign w:val="bottom"/>
          </w:tcPr>
          <w:p>
            <w:pPr>
              <w:ind w:left="5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6165C3"/>
              </w:rPr>
              <w:t>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"/>
        </w:trPr>
        <w:tc>
          <w:tcPr>
            <w:tcW w:w="120" w:type="dxa"/>
            <w:vAlign w:val="bottom"/>
            <w:shd w:val="clear" w:color="auto" w:fill="E7E6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  <w:shd w:val="clear" w:color="auto" w:fill="E7E6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E7E6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580" w:type="dxa"/>
            <w:vAlign w:val="bottom"/>
          </w:tcPr>
          <w:p>
            <w:pPr>
              <w:ind w:left="340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4"/>
                <w:szCs w:val="14"/>
                <w:b w:val="1"/>
                <w:bCs w:val="1"/>
                <w:color w:val="6165C3"/>
              </w:rPr>
              <w:t>TSRIT</w:t>
            </w:r>
            <w:r>
              <w:rPr>
                <w:rFonts w:ascii="Calibri" w:cs="Calibri" w:eastAsia="Calibri" w:hAnsi="Calibri"/>
                <w:sz w:val="14"/>
                <w:szCs w:val="14"/>
                <w:color w:val="6165C3"/>
              </w:rPr>
              <w:t xml:space="preserve"> : (Informatique Titre Professionnel RNCP - </w:t>
            </w:r>
            <w:r>
              <w:rPr>
                <w:rFonts w:ascii="Calibri" w:cs="Calibri" w:eastAsia="Calibri" w:hAnsi="Calibri"/>
                <w:sz w:val="14"/>
                <w:szCs w:val="14"/>
                <w:i w:val="1"/>
                <w:iCs w:val="1"/>
                <w:color w:val="6165C3"/>
              </w:rPr>
              <w:t>Reconnu et délivré par l’État)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20" w:type="dxa"/>
            <w:vAlign w:val="bottom"/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5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283845</wp:posOffset>
            </wp:positionV>
            <wp:extent cx="419100" cy="41783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1D2263"/>
        </w:rPr>
        <w:t>Certifications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1"/>
        </w:trPr>
        <w:tc>
          <w:tcPr>
            <w:tcW w:w="920" w:type="dxa"/>
            <w:vAlign w:val="bottom"/>
            <w:tcBorders>
              <w:top w:val="single" w:sz="8" w:color="C0B6FF"/>
            </w:tcBorders>
            <w:shd w:val="clear" w:color="auto" w:fill="E7E6FF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2014</w:t>
            </w:r>
          </w:p>
        </w:tc>
        <w:tc>
          <w:tcPr>
            <w:tcW w:w="9580" w:type="dxa"/>
            <w:vAlign w:val="bottom"/>
            <w:tcBorders>
              <w:top w:val="single" w:sz="8" w:color="C0B6FF"/>
            </w:tcBorders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6165C3"/>
              </w:rPr>
              <w:t>Stormshield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(CSNA, Informatique Certified Stormshield Network Administrator)</w:t>
            </w:r>
          </w:p>
        </w:tc>
      </w:tr>
      <w:tr>
        <w:trPr>
          <w:trHeight w:val="119"/>
        </w:trPr>
        <w:tc>
          <w:tcPr>
            <w:tcW w:w="920" w:type="dxa"/>
            <w:vAlign w:val="bottom"/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5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642620</wp:posOffset>
            </wp:positionV>
            <wp:extent cx="419100" cy="41783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1D2263"/>
        </w:rPr>
        <w:t>Expériences</w:t>
      </w:r>
      <w:r>
        <w:rPr>
          <w:rFonts w:ascii="Arial" w:cs="Arial" w:eastAsia="Arial" w:hAnsi="Arial"/>
          <w:sz w:val="36"/>
          <w:szCs w:val="36"/>
          <w:b w:val="1"/>
          <w:bCs w:val="1"/>
          <w:color w:val="7A4AFF"/>
        </w:rPr>
        <w:t xml:space="preserve"> Professionnelles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tbl>
      <w:tblPr>
        <w:tblLayout w:type="fixed"/>
        <w:tblInd w:w="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3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00" w:type="dxa"/>
            <w:vAlign w:val="bottom"/>
            <w:gridSpan w:val="2"/>
            <w:shd w:val="clear" w:color="auto" w:fill="7A4A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FFFFFF"/>
                <w:w w:val="99"/>
              </w:rPr>
              <w:t>Freelance pour NXO</w:t>
            </w:r>
          </w:p>
        </w:tc>
        <w:tc>
          <w:tcPr>
            <w:tcW w:w="3100" w:type="dxa"/>
            <w:vAlign w:val="bottom"/>
            <w:shd w:val="clear" w:color="auto" w:fill="7A4A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0" w:type="dxa"/>
            <w:vAlign w:val="bottom"/>
            <w:vMerge w:val="restart"/>
            <w:shd w:val="clear" w:color="auto" w:fill="7A4AFF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i w:val="1"/>
                <w:iCs w:val="1"/>
                <w:color w:val="FFFFFF"/>
                <w:w w:val="99"/>
              </w:rPr>
              <w:t>Novembre 2020 à décembre 2023</w:t>
            </w: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2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  <w:vMerge w:val="restart"/>
            <w:shd w:val="clear" w:color="auto" w:fill="7A4A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FFFFFF"/>
                <w:w w:val="94"/>
              </w:rPr>
              <w:t>Ingénieur système</w:t>
            </w:r>
          </w:p>
        </w:tc>
        <w:tc>
          <w:tcPr>
            <w:tcW w:w="820" w:type="dxa"/>
            <w:vAlign w:val="bottom"/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100" w:type="dxa"/>
            <w:vAlign w:val="bottom"/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0" w:type="dxa"/>
            <w:vAlign w:val="bottom"/>
            <w:vMerge w:val="continue"/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20" w:type="dxa"/>
            <w:vAlign w:val="bottom"/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00" w:type="dxa"/>
            <w:vAlign w:val="bottom"/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0" w:type="dxa"/>
            <w:vAlign w:val="bottom"/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2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10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20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Contexte</w:t>
            </w:r>
          </w:p>
        </w:tc>
        <w:tc>
          <w:tcPr>
            <w:tcW w:w="82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540" w:type="dxa"/>
            <w:vAlign w:val="bottom"/>
            <w:tcBorders>
              <w:right w:val="single" w:sz="8" w:color="C0B6FF"/>
            </w:tcBorders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Administration et MCO des infrastructures clients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1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4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Réalisation de projets clients et internes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5"/>
        </w:trPr>
        <w:tc>
          <w:tcPr>
            <w:tcW w:w="240" w:type="dxa"/>
            <w:vAlign w:val="bottom"/>
            <w:tcBorders>
              <w:left w:val="single" w:sz="8" w:color="C0B6FF"/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9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Équipe</w:t>
            </w:r>
          </w:p>
        </w:tc>
        <w:tc>
          <w:tcPr>
            <w:tcW w:w="82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540" w:type="dxa"/>
            <w:vAlign w:val="bottom"/>
            <w:tcBorders>
              <w:right w:val="single" w:sz="8" w:color="C0B6FF"/>
            </w:tcBorders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1 PO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1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540" w:type="dxa"/>
            <w:vAlign w:val="bottom"/>
            <w:tcBorders>
              <w:right w:val="single" w:sz="8" w:color="C0B6FF"/>
            </w:tcBorders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1 lead développer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5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3310890</wp:posOffset>
            </wp:positionH>
            <wp:positionV relativeFrom="paragraph">
              <wp:posOffset>-625475</wp:posOffset>
            </wp:positionV>
            <wp:extent cx="3839845" cy="122364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1223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0560"/>
          </w:cols>
          <w:pgMar w:left="640" w:top="707" w:right="705" w:bottom="155" w:gutter="0" w:footer="0" w:header="0"/>
        </w:sectPr>
      </w:pP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rFonts w:ascii="Calibri" w:cs="Calibri" w:eastAsia="Calibri" w:hAnsi="Calibri"/>
          <w:sz w:val="17"/>
          <w:szCs w:val="17"/>
          <w:b w:val="1"/>
          <w:bCs w:val="1"/>
          <w:color w:val="1D2263"/>
        </w:rPr>
      </w:pPr>
      <w:r>
        <w:rPr>
          <w:rFonts w:ascii="Calibri" w:cs="Calibri" w:eastAsia="Calibri" w:hAnsi="Calibri"/>
          <w:sz w:val="17"/>
          <w:szCs w:val="17"/>
          <w:b w:val="1"/>
          <w:bCs w:val="1"/>
          <w:color w:val="1D2263"/>
        </w:rPr>
        <w:t>Altea Services :</w:t>
      </w:r>
      <w:r>
        <w:rPr>
          <w:rFonts w:ascii="Calibri" w:cs="Calibri" w:eastAsia="Calibri" w:hAnsi="Calibri"/>
          <w:sz w:val="17"/>
          <w:szCs w:val="17"/>
          <w:color w:val="1D2263"/>
        </w:rPr>
        <w:t xml:space="preserve"> Emilie MARC -</w:t>
      </w:r>
      <w:r>
        <w:rPr>
          <w:rFonts w:ascii="Calibri" w:cs="Calibri" w:eastAsia="Calibri" w:hAnsi="Calibri"/>
          <w:sz w:val="17"/>
          <w:szCs w:val="17"/>
          <w:color w:val="7A4AFF"/>
        </w:rPr>
        <w:t xml:space="preserve"> </w:t>
      </w:r>
      <w:hyperlink r:id="rId35">
        <w:r>
          <w:rPr>
            <w:rFonts w:ascii="Calibri" w:cs="Calibri" w:eastAsia="Calibri" w:hAnsi="Calibri"/>
            <w:sz w:val="17"/>
            <w:szCs w:val="17"/>
            <w:u w:val="single" w:color="auto"/>
            <w:color w:val="7A4AFF"/>
          </w:rPr>
          <w:t>emarc@altea-si.com</w:t>
        </w:r>
      </w:hyperlink>
    </w:p>
    <w:p>
      <w:pPr>
        <w:sectPr>
          <w:pgSz w:w="11900" w:h="16840" w:orient="portrait"/>
          <w:cols w:equalWidth="0" w:num="1">
            <w:col w:w="10560"/>
          </w:cols>
          <w:pgMar w:left="640" w:top="707" w:right="705" w:bottom="155" w:gutter="0" w:footer="0" w:header="0"/>
          <w:type w:val="continuous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color w:val="7A4A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5836285</wp:posOffset>
            </wp:positionH>
            <wp:positionV relativeFrom="page">
              <wp:posOffset>450850</wp:posOffset>
            </wp:positionV>
            <wp:extent cx="1322705" cy="3143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Dossier de compétences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tbl>
      <w:tblPr>
        <w:tblLayout w:type="fixed"/>
        <w:tblInd w:w="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3 développeurs</w:t>
            </w:r>
          </w:p>
        </w:tc>
      </w:tr>
      <w:tr>
        <w:trPr>
          <w:trHeight w:val="175"/>
        </w:trPr>
        <w:tc>
          <w:tcPr>
            <w:tcW w:w="2120" w:type="dxa"/>
            <w:vAlign w:val="bottom"/>
            <w:tcBorders>
              <w:left w:val="single" w:sz="8" w:color="C0B6FF"/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360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Projets</w:t>
            </w:r>
          </w:p>
        </w:tc>
        <w:tc>
          <w:tcPr>
            <w:tcW w:w="70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6165C3"/>
              </w:rPr>
              <w:t>Cisco Hyperflex – collectivité publique :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Ajout d’un cluster 2 nœuds hyperconvergé avec</w:t>
            </w:r>
          </w:p>
        </w:tc>
      </w:tr>
      <w:tr>
        <w:trPr>
          <w:trHeight w:val="240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témoin déporté dans le Cloud. Sauvegarde immuable Veeam 11. Migration des serveurs</w:t>
            </w:r>
          </w:p>
        </w:tc>
      </w:tr>
      <w:tr>
        <w:trPr>
          <w:trHeight w:val="24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virtuels d’infrastructure.</w:t>
            </w:r>
          </w:p>
        </w:tc>
      </w:tr>
      <w:tr>
        <w:trPr>
          <w:trHeight w:val="510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</w:t>
            </w: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6165C3"/>
              </w:rPr>
              <w:t>Cisco Hyperflex – compagnie maritime :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Création de l’infrastructure virtualisée pour un</w:t>
            </w:r>
          </w:p>
        </w:tc>
      </w:tr>
      <w:tr>
        <w:trPr>
          <w:trHeight w:val="24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grand groupe de transport maritime. Le cluster d’hyperconvergence a été pensé pour</w:t>
            </w:r>
          </w:p>
        </w:tc>
      </w:tr>
      <w:tr>
        <w:trPr>
          <w:trHeight w:val="240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être en totale autonomie. 2 ESX Vmware hyperconvergés monitorées par un témoin on-</w:t>
            </w:r>
          </w:p>
        </w:tc>
      </w:tr>
      <w:tr>
        <w:trPr>
          <w:trHeight w:val="246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premise. La solution est sauvegardée par Veeam 11 avec l’option d’immuabilité.</w:t>
            </w:r>
          </w:p>
        </w:tc>
      </w:tr>
      <w:tr>
        <w:trPr>
          <w:trHeight w:val="510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</w:t>
            </w: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6165C3"/>
              </w:rPr>
              <w:t>HPE Simplivity – Centre hospitalier :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Création d’un cluster HPE Simplivity, solution</w:t>
            </w:r>
          </w:p>
        </w:tc>
      </w:tr>
      <w:tr>
        <w:trPr>
          <w:trHeight w:val="24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d’hyperconvergence HPE. Répartis dans 2 salles, les serveurs sont contrôlés par un</w:t>
            </w:r>
          </w:p>
        </w:tc>
      </w:tr>
      <w:tr>
        <w:trPr>
          <w:trHeight w:val="24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témoin indépendant. La solution de sauvegarde est effectuée par le logiciel Veeam, les</w:t>
            </w:r>
          </w:p>
        </w:tc>
      </w:tr>
      <w:tr>
        <w:trPr>
          <w:trHeight w:val="24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sauvegardes sont croisées pour assurer la redondance en cas de perte d’une salle.</w:t>
            </w:r>
          </w:p>
        </w:tc>
      </w:tr>
      <w:tr>
        <w:trPr>
          <w:trHeight w:val="510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</w:t>
            </w: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6165C3"/>
              </w:rPr>
              <w:t>Cluster ESX – Compagnie hôtelière :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Création d’un cluster VMware sur 2 serveurs DL360</w:t>
            </w:r>
          </w:p>
        </w:tc>
      </w:tr>
      <w:tr>
        <w:trPr>
          <w:trHeight w:val="24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gen10. Stockage dédié sur une baie NETAPPC190. Sauvegarde Veeam 11.</w:t>
            </w:r>
          </w:p>
        </w:tc>
      </w:tr>
      <w:tr>
        <w:trPr>
          <w:trHeight w:val="175"/>
        </w:trPr>
        <w:tc>
          <w:tcPr>
            <w:tcW w:w="2120" w:type="dxa"/>
            <w:vAlign w:val="bottom"/>
            <w:tcBorders>
              <w:left w:val="single" w:sz="8" w:color="C0B6FF"/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359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Tâches</w:t>
            </w:r>
          </w:p>
        </w:tc>
        <w:tc>
          <w:tcPr>
            <w:tcW w:w="70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Installation et configurations des infrastructures de virtualisation Wmware</w:t>
            </w:r>
          </w:p>
        </w:tc>
      </w:tr>
      <w:tr>
        <w:trPr>
          <w:trHeight w:val="251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Hyper convergence Cisco Hyperflex en cluster et HPE Simplivity</w:t>
            </w:r>
          </w:p>
        </w:tc>
      </w:tr>
      <w:tr>
        <w:trPr>
          <w:trHeight w:val="254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Réalisation de monitoring basé sur Centreon et Nagvis</w:t>
            </w:r>
          </w:p>
        </w:tc>
      </w:tr>
      <w:tr>
        <w:trPr>
          <w:trHeight w:val="251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Gestion des backups quotidiens sous Veeam</w:t>
            </w:r>
          </w:p>
        </w:tc>
      </w:tr>
      <w:tr>
        <w:trPr>
          <w:trHeight w:val="175"/>
        </w:trPr>
        <w:tc>
          <w:tcPr>
            <w:tcW w:w="2120" w:type="dxa"/>
            <w:vAlign w:val="bottom"/>
            <w:tcBorders>
              <w:left w:val="single" w:sz="8" w:color="C0B6FF"/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39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  <w:shd w:val="clear" w:color="auto" w:fill="E7E6FF"/>
              </w:rPr>
              <w:t>Environnement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QNAP, NetApp, VMWare, Sinology, Linux, Windows, Veeam, Centreon, Nagvis, Fortinet</w:t>
            </w:r>
          </w:p>
        </w:tc>
      </w:tr>
      <w:tr>
        <w:trPr>
          <w:trHeight w:val="291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Technique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74"/>
        </w:trPr>
        <w:tc>
          <w:tcPr>
            <w:tcW w:w="2120" w:type="dxa"/>
            <w:vAlign w:val="bottom"/>
            <w:tcBorders>
              <w:left w:val="single" w:sz="8" w:color="C0B6FF"/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tbl>
      <w:tblPr>
        <w:tblLayout w:type="fixed"/>
        <w:tblInd w:w="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3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gridSpan w:val="2"/>
            <w:shd w:val="clear" w:color="auto" w:fill="7A4A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FFFFFF"/>
              </w:rPr>
              <w:t>THALES</w:t>
            </w:r>
          </w:p>
        </w:tc>
        <w:tc>
          <w:tcPr>
            <w:tcW w:w="220" w:type="dxa"/>
            <w:vAlign w:val="bottom"/>
            <w:shd w:val="clear" w:color="auto" w:fill="7A4A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  <w:shd w:val="clear" w:color="auto" w:fill="7A4A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  <w:vMerge w:val="restart"/>
            <w:shd w:val="clear" w:color="auto" w:fill="7A4AFF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i w:val="1"/>
                <w:iCs w:val="1"/>
                <w:color w:val="FFFFFF"/>
              </w:rPr>
              <w:t>Janvier 2020 à septembre 2020</w:t>
            </w: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360" w:type="dxa"/>
            <w:vAlign w:val="bottom"/>
            <w:gridSpan w:val="2"/>
            <w:vMerge w:val="restart"/>
            <w:shd w:val="clear" w:color="auto" w:fill="7A4A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FFFFFF"/>
              </w:rPr>
              <w:t>Ingénieur système</w:t>
            </w:r>
          </w:p>
        </w:tc>
        <w:tc>
          <w:tcPr>
            <w:tcW w:w="220" w:type="dxa"/>
            <w:vAlign w:val="bottom"/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780" w:type="dxa"/>
            <w:vAlign w:val="bottom"/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40" w:type="dxa"/>
            <w:vAlign w:val="bottom"/>
            <w:vMerge w:val="continue"/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360" w:type="dxa"/>
            <w:vAlign w:val="bottom"/>
            <w:gridSpan w:val="2"/>
            <w:vMerge w:val="continue"/>
            <w:shd w:val="clear" w:color="auto" w:fill="7A4A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7A4A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780" w:type="dxa"/>
            <w:vAlign w:val="bottom"/>
            <w:shd w:val="clear" w:color="auto" w:fill="7A4A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40" w:type="dxa"/>
            <w:vAlign w:val="bottom"/>
            <w:shd w:val="clear" w:color="auto" w:fill="7A4A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78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4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jc w:val="right"/>
              <w:ind w:right="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Contexte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660" w:type="dxa"/>
            <w:vAlign w:val="bottom"/>
            <w:tcBorders>
              <w:right w:val="single" w:sz="8" w:color="C0B6FF"/>
            </w:tcBorders>
            <w:gridSpan w:val="3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Administration des plateformes virtuelles et physiques des clients de la firme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1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880" w:type="dxa"/>
            <w:vAlign w:val="bottom"/>
            <w:tcBorders>
              <w:right w:val="single" w:sz="8" w:color="C0B6FF"/>
            </w:tcBorders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Traitement des incidents N2/N3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80" w:type="dxa"/>
            <w:vAlign w:val="bottom"/>
            <w:tcBorders>
              <w:right w:val="single" w:sz="8" w:color="C0B6FF"/>
            </w:tcBorders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Administration quotidienne des parcs hétérogènes sous Linux et Windows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660" w:type="dxa"/>
            <w:vAlign w:val="bottom"/>
            <w:tcBorders>
              <w:right w:val="single" w:sz="8" w:color="C0B6FF"/>
            </w:tcBorders>
            <w:gridSpan w:val="3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Administration VMWare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5"/>
        </w:trPr>
        <w:tc>
          <w:tcPr>
            <w:tcW w:w="240" w:type="dxa"/>
            <w:vAlign w:val="bottom"/>
            <w:tcBorders>
              <w:left w:val="single" w:sz="8" w:color="C0B6FF"/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78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jc w:val="right"/>
              <w:ind w:right="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  <w:w w:val="93"/>
                <w:shd w:val="clear" w:color="auto" w:fill="E7E6FF"/>
              </w:rPr>
              <w:t>Environnement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60" w:type="dxa"/>
            <w:vAlign w:val="bottom"/>
            <w:tcBorders>
              <w:right w:val="single" w:sz="8" w:color="C0B6FF"/>
            </w:tcBorders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QNAP, NetApp, VMWare, Sinology, Linux, Windows, Veeam, Centreon, Nagvis, Fortinet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5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jc w:val="right"/>
              <w:ind w:right="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Technique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4"/>
        </w:trPr>
        <w:tc>
          <w:tcPr>
            <w:tcW w:w="240" w:type="dxa"/>
            <w:vAlign w:val="bottom"/>
            <w:tcBorders>
              <w:left w:val="single" w:sz="8" w:color="C0B6FF"/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78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3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gridSpan w:val="2"/>
            <w:shd w:val="clear" w:color="auto" w:fill="7A4A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FFFFFF"/>
                <w:w w:val="97"/>
              </w:rPr>
              <w:t>Bourbon Offshore</w:t>
            </w:r>
          </w:p>
        </w:tc>
        <w:tc>
          <w:tcPr>
            <w:tcW w:w="220" w:type="dxa"/>
            <w:vAlign w:val="bottom"/>
            <w:shd w:val="clear" w:color="auto" w:fill="7A4A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  <w:shd w:val="clear" w:color="auto" w:fill="7A4A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  <w:vMerge w:val="restart"/>
            <w:shd w:val="clear" w:color="auto" w:fill="7A4AFF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i w:val="1"/>
                <w:iCs w:val="1"/>
                <w:color w:val="FFFFFF"/>
                <w:w w:val="99"/>
              </w:rPr>
              <w:t>Février 2019 à janvier 2020</w:t>
            </w: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2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360" w:type="dxa"/>
            <w:vAlign w:val="bottom"/>
            <w:gridSpan w:val="2"/>
            <w:vMerge w:val="restart"/>
            <w:shd w:val="clear" w:color="auto" w:fill="7A4A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FFFFFF"/>
              </w:rPr>
              <w:t>Ingénieur système</w:t>
            </w:r>
          </w:p>
        </w:tc>
        <w:tc>
          <w:tcPr>
            <w:tcW w:w="220" w:type="dxa"/>
            <w:vAlign w:val="bottom"/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780" w:type="dxa"/>
            <w:vAlign w:val="bottom"/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40" w:type="dxa"/>
            <w:vAlign w:val="bottom"/>
            <w:vMerge w:val="continue"/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60" w:type="dxa"/>
            <w:vAlign w:val="bottom"/>
            <w:gridSpan w:val="2"/>
            <w:vMerge w:val="continue"/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780" w:type="dxa"/>
            <w:vAlign w:val="bottom"/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40" w:type="dxa"/>
            <w:vAlign w:val="bottom"/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78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40" w:type="dxa"/>
            <w:vAlign w:val="bottom"/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  <w:shd w:val="clear" w:color="auto" w:fill="7A4A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jc w:val="right"/>
              <w:ind w:right="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Contexte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660" w:type="dxa"/>
            <w:vAlign w:val="bottom"/>
            <w:tcBorders>
              <w:right w:val="single" w:sz="8" w:color="C0B6FF"/>
            </w:tcBorders>
            <w:gridSpan w:val="3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Projet de migration du SI de chaque navire de la flotte (200 navires)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4"/>
        </w:trPr>
        <w:tc>
          <w:tcPr>
            <w:tcW w:w="240" w:type="dxa"/>
            <w:vAlign w:val="bottom"/>
            <w:tcBorders>
              <w:left w:val="single" w:sz="8" w:color="C0B6FF"/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78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9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jc w:val="right"/>
              <w:ind w:right="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Équipe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660" w:type="dxa"/>
            <w:vAlign w:val="bottom"/>
            <w:tcBorders>
              <w:right w:val="single" w:sz="8" w:color="C0B6FF"/>
            </w:tcBorders>
            <w:gridSpan w:val="3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1 PO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1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660" w:type="dxa"/>
            <w:vAlign w:val="bottom"/>
            <w:tcBorders>
              <w:right w:val="single" w:sz="8" w:color="C0B6FF"/>
            </w:tcBorders>
            <w:gridSpan w:val="3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1 lead développer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660" w:type="dxa"/>
            <w:vAlign w:val="bottom"/>
            <w:tcBorders>
              <w:right w:val="single" w:sz="8" w:color="C0B6FF"/>
            </w:tcBorders>
            <w:gridSpan w:val="3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3 développeurs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5"/>
        </w:trPr>
        <w:tc>
          <w:tcPr>
            <w:tcW w:w="24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3310890</wp:posOffset>
            </wp:positionH>
            <wp:positionV relativeFrom="paragraph">
              <wp:posOffset>-584200</wp:posOffset>
            </wp:positionV>
            <wp:extent cx="3839845" cy="12236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1223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0560"/>
          </w:cols>
          <w:pgMar w:left="640" w:top="707" w:right="705" w:bottom="155" w:gutter="0" w:footer="0" w:header="0"/>
        </w:sectPr>
      </w:pP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rFonts w:ascii="Calibri" w:cs="Calibri" w:eastAsia="Calibri" w:hAnsi="Calibri"/>
          <w:sz w:val="17"/>
          <w:szCs w:val="17"/>
          <w:b w:val="1"/>
          <w:bCs w:val="1"/>
          <w:color w:val="1D2263"/>
        </w:rPr>
      </w:pPr>
      <w:r>
        <w:rPr>
          <w:rFonts w:ascii="Calibri" w:cs="Calibri" w:eastAsia="Calibri" w:hAnsi="Calibri"/>
          <w:sz w:val="17"/>
          <w:szCs w:val="17"/>
          <w:b w:val="1"/>
          <w:bCs w:val="1"/>
          <w:color w:val="1D2263"/>
        </w:rPr>
        <w:t>Altea Services :</w:t>
      </w:r>
      <w:r>
        <w:rPr>
          <w:rFonts w:ascii="Calibri" w:cs="Calibri" w:eastAsia="Calibri" w:hAnsi="Calibri"/>
          <w:sz w:val="17"/>
          <w:szCs w:val="17"/>
          <w:color w:val="1D2263"/>
        </w:rPr>
        <w:t xml:space="preserve"> Emilie MARC -</w:t>
      </w:r>
      <w:r>
        <w:rPr>
          <w:rFonts w:ascii="Calibri" w:cs="Calibri" w:eastAsia="Calibri" w:hAnsi="Calibri"/>
          <w:sz w:val="17"/>
          <w:szCs w:val="17"/>
          <w:color w:val="7A4AFF"/>
        </w:rPr>
        <w:t xml:space="preserve"> </w:t>
      </w:r>
      <w:hyperlink r:id="rId35">
        <w:r>
          <w:rPr>
            <w:rFonts w:ascii="Calibri" w:cs="Calibri" w:eastAsia="Calibri" w:hAnsi="Calibri"/>
            <w:sz w:val="17"/>
            <w:szCs w:val="17"/>
            <w:u w:val="single" w:color="auto"/>
            <w:color w:val="7A4AFF"/>
          </w:rPr>
          <w:t>emarc@altea-si.com</w:t>
        </w:r>
      </w:hyperlink>
    </w:p>
    <w:p>
      <w:pPr>
        <w:sectPr>
          <w:pgSz w:w="11900" w:h="16840" w:orient="portrait"/>
          <w:cols w:equalWidth="0" w:num="1">
            <w:col w:w="10560"/>
          </w:cols>
          <w:pgMar w:left="640" w:top="707" w:right="705" w:bottom="155" w:gutter="0" w:footer="0" w:header="0"/>
          <w:type w:val="continuous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9"/>
          <w:szCs w:val="39"/>
          <w:color w:val="7A4A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5836285</wp:posOffset>
            </wp:positionH>
            <wp:positionV relativeFrom="page">
              <wp:posOffset>450850</wp:posOffset>
            </wp:positionV>
            <wp:extent cx="1322705" cy="3143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Dossier de compétences</w:t>
      </w:r>
    </w:p>
    <w:p>
      <w:pPr>
        <w:sectPr>
          <w:pgSz w:w="11900" w:h="16840" w:orient="portrait"/>
          <w:cols w:equalWidth="0" w:num="1">
            <w:col w:w="10560"/>
          </w:cols>
          <w:pgMar w:left="640" w:top="714" w:right="705" w:bottom="15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tbl>
      <w:tblPr>
        <w:tblLayout w:type="fixed"/>
        <w:tblInd w:w="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9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Tâches</w:t>
            </w:r>
          </w:p>
        </w:tc>
        <w:tc>
          <w:tcPr>
            <w:tcW w:w="70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Aide à l’installation des serveurs via Satellite</w:t>
            </w:r>
          </w:p>
        </w:tc>
      </w:tr>
      <w:tr>
        <w:trPr>
          <w:trHeight w:val="251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Migration des serveurs Exchange</w:t>
            </w:r>
          </w:p>
        </w:tc>
      </w:tr>
      <w:tr>
        <w:trPr>
          <w:trHeight w:val="25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Migration active directory, Filers, serveurs applicatifs</w:t>
            </w:r>
          </w:p>
        </w:tc>
      </w:tr>
      <w:tr>
        <w:trPr>
          <w:trHeight w:val="25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Automatisation des dernières tâches pour l’intégration et le déploiement de serveurs Et</w:t>
            </w:r>
          </w:p>
        </w:tc>
      </w:tr>
      <w:tr>
        <w:trPr>
          <w:trHeight w:val="24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services</w:t>
            </w:r>
          </w:p>
        </w:tc>
      </w:tr>
      <w:tr>
        <w:trPr>
          <w:trHeight w:val="25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Contrôle des phases</w:t>
            </w:r>
          </w:p>
        </w:tc>
      </w:tr>
      <w:tr>
        <w:trPr>
          <w:trHeight w:val="25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Coordination des parties tierces</w:t>
            </w:r>
          </w:p>
        </w:tc>
      </w:tr>
      <w:tr>
        <w:trPr>
          <w:trHeight w:val="25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360" w:type="dxa"/>
            <w:vAlign w:val="bottom"/>
            <w:tcBorders>
              <w:right w:val="single" w:sz="8" w:color="C0B6FF"/>
            </w:tcBorders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73B8E"/>
              </w:rPr>
              <w:t>•</w:t>
            </w: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 xml:space="preserve">  Rédaction de la documentation technique pour l’industrialisation des migrations</w:t>
            </w:r>
          </w:p>
        </w:tc>
      </w:tr>
      <w:tr>
        <w:trPr>
          <w:trHeight w:val="175"/>
        </w:trPr>
        <w:tc>
          <w:tcPr>
            <w:tcW w:w="2120" w:type="dxa"/>
            <w:vAlign w:val="bottom"/>
            <w:tcBorders>
              <w:left w:val="single" w:sz="8" w:color="C0B6FF"/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392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  <w:shd w:val="clear" w:color="auto" w:fill="E7E6FF"/>
              </w:rPr>
              <w:t>Environnement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6165C3"/>
              </w:rPr>
              <w:t>QNAP, NetApp, VMWare, Sinology, Linux, Windows, Veeam, Centreon, Nagvis, Fortinet</w:t>
            </w:r>
          </w:p>
        </w:tc>
      </w:tr>
      <w:tr>
        <w:trPr>
          <w:trHeight w:val="295"/>
        </w:trPr>
        <w:tc>
          <w:tcPr>
            <w:tcW w:w="2120" w:type="dxa"/>
            <w:vAlign w:val="bottom"/>
            <w:tcBorders>
              <w:left w:val="single" w:sz="8" w:color="C0B6FF"/>
            </w:tcBorders>
            <w:shd w:val="clear" w:color="auto" w:fill="E7E6FF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1D2263"/>
              </w:rPr>
              <w:t>Technique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right w:val="single" w:sz="8" w:color="C0B6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74"/>
        </w:trPr>
        <w:tc>
          <w:tcPr>
            <w:tcW w:w="2120" w:type="dxa"/>
            <w:vAlign w:val="bottom"/>
            <w:tcBorders>
              <w:left w:val="single" w:sz="8" w:color="C0B6FF"/>
              <w:bottom w:val="single" w:sz="8" w:color="C0B6FF"/>
            </w:tcBorders>
            <w:shd w:val="clear" w:color="auto" w:fill="E7E6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680" w:type="dxa"/>
            <w:vAlign w:val="bottom"/>
            <w:tcBorders>
              <w:bottom w:val="single" w:sz="8" w:color="C0B6FF"/>
              <w:right w:val="single" w:sz="8" w:color="C0B6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494665</wp:posOffset>
            </wp:positionV>
            <wp:extent cx="473710" cy="47244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" cy="47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1D2263"/>
        </w:rPr>
        <w:t>Langues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0"/>
        </w:trPr>
        <w:tc>
          <w:tcPr>
            <w:tcW w:w="2120" w:type="dxa"/>
            <w:vAlign w:val="bottom"/>
            <w:tcBorders>
              <w:top w:val="single" w:sz="8" w:color="CECCFF"/>
              <w:left w:val="single" w:sz="8" w:color="CECCFF"/>
              <w:right w:val="single" w:sz="8" w:color="CECCFF"/>
            </w:tcBorders>
            <w:shd w:val="clear" w:color="auto" w:fill="E7E6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1D2263"/>
              </w:rPr>
              <w:t>Français</w:t>
            </w:r>
          </w:p>
        </w:tc>
        <w:tc>
          <w:tcPr>
            <w:tcW w:w="2100" w:type="dxa"/>
            <w:vAlign w:val="bottom"/>
            <w:tcBorders>
              <w:top w:val="single" w:sz="8" w:color="CECCFF"/>
              <w:right w:val="single" w:sz="8" w:color="CECCFF"/>
            </w:tcBorders>
            <w:shd w:val="clear" w:color="auto" w:fill="E7E6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1D2263"/>
                <w:w w:val="99"/>
              </w:rPr>
              <w:t>Anglais</w:t>
            </w:r>
          </w:p>
        </w:tc>
      </w:tr>
      <w:tr>
        <w:trPr>
          <w:trHeight w:val="115"/>
        </w:trPr>
        <w:tc>
          <w:tcPr>
            <w:tcW w:w="2120" w:type="dxa"/>
            <w:vAlign w:val="bottom"/>
            <w:tcBorders>
              <w:left w:val="single" w:sz="8" w:color="CECCFF"/>
              <w:bottom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CECCFF"/>
              <w:right w:val="single" w:sz="8" w:color="CECCFF"/>
            </w:tcBorders>
            <w:shd w:val="clear" w:color="auto" w:fill="E7E6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345"/>
        </w:trPr>
        <w:tc>
          <w:tcPr>
            <w:tcW w:w="2120" w:type="dxa"/>
            <w:vAlign w:val="bottom"/>
            <w:tcBorders>
              <w:left w:val="single" w:sz="8" w:color="CECCFF"/>
              <w:right w:val="single" w:sz="8" w:color="CECCF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1D2263"/>
                <w:w w:val="98"/>
              </w:rPr>
              <w:t>Langue maternelle</w:t>
            </w:r>
          </w:p>
        </w:tc>
        <w:tc>
          <w:tcPr>
            <w:tcW w:w="2100" w:type="dxa"/>
            <w:vAlign w:val="bottom"/>
            <w:tcBorders>
              <w:right w:val="single" w:sz="8" w:color="CECCFF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1D2263"/>
                <w:w w:val="99"/>
              </w:rPr>
              <w:t>Baragouine</w:t>
            </w:r>
          </w:p>
        </w:tc>
      </w:tr>
      <w:tr>
        <w:trPr>
          <w:trHeight w:val="115"/>
        </w:trPr>
        <w:tc>
          <w:tcPr>
            <w:tcW w:w="2120" w:type="dxa"/>
            <w:vAlign w:val="bottom"/>
            <w:tcBorders>
              <w:left w:val="single" w:sz="8" w:color="CECCFF"/>
              <w:bottom w:val="single" w:sz="8" w:color="CECCFF"/>
              <w:right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CECCFF"/>
              <w:right w:val="single" w:sz="8" w:color="CECC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3310890</wp:posOffset>
            </wp:positionH>
            <wp:positionV relativeFrom="paragraph">
              <wp:posOffset>4490085</wp:posOffset>
            </wp:positionV>
            <wp:extent cx="3839845" cy="122364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1223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0560"/>
          </w:cols>
          <w:pgMar w:left="640" w:top="714" w:right="705" w:bottom="155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rFonts w:ascii="Calibri" w:cs="Calibri" w:eastAsia="Calibri" w:hAnsi="Calibri"/>
          <w:sz w:val="17"/>
          <w:szCs w:val="17"/>
          <w:b w:val="1"/>
          <w:bCs w:val="1"/>
          <w:color w:val="1D2263"/>
        </w:rPr>
      </w:pPr>
      <w:r>
        <w:rPr>
          <w:rFonts w:ascii="Calibri" w:cs="Calibri" w:eastAsia="Calibri" w:hAnsi="Calibri"/>
          <w:sz w:val="17"/>
          <w:szCs w:val="17"/>
          <w:b w:val="1"/>
          <w:bCs w:val="1"/>
          <w:color w:val="1D2263"/>
        </w:rPr>
        <w:t>Altea Services :</w:t>
      </w:r>
      <w:r>
        <w:rPr>
          <w:rFonts w:ascii="Calibri" w:cs="Calibri" w:eastAsia="Calibri" w:hAnsi="Calibri"/>
          <w:sz w:val="17"/>
          <w:szCs w:val="17"/>
          <w:color w:val="1D2263"/>
        </w:rPr>
        <w:t xml:space="preserve"> Emilie MARC -</w:t>
      </w:r>
      <w:r>
        <w:rPr>
          <w:rFonts w:ascii="Calibri" w:cs="Calibri" w:eastAsia="Calibri" w:hAnsi="Calibri"/>
          <w:sz w:val="17"/>
          <w:szCs w:val="17"/>
          <w:color w:val="7A4AFF"/>
        </w:rPr>
        <w:t xml:space="preserve"> </w:t>
      </w:r>
      <w:hyperlink r:id="rId35">
        <w:r>
          <w:rPr>
            <w:rFonts w:ascii="Calibri" w:cs="Calibri" w:eastAsia="Calibri" w:hAnsi="Calibri"/>
            <w:sz w:val="17"/>
            <w:szCs w:val="17"/>
            <w:u w:val="single" w:color="auto"/>
            <w:color w:val="7A4AFF"/>
          </w:rPr>
          <w:t>emarc@altea-si.com</w:t>
        </w:r>
      </w:hyperlink>
    </w:p>
    <w:sectPr>
      <w:pgSz w:w="11900" w:h="16840" w:orient="portrait"/>
      <w:cols w:equalWidth="0" w:num="1">
        <w:col w:w="10560"/>
      </w:cols>
      <w:pgMar w:left="640" w:top="714" w:right="705" w:bottom="155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png"/><Relationship Id="rId20" Type="http://schemas.openxmlformats.org/officeDocument/2006/relationships/image" Target="media/image9.jpeg"/><Relationship Id="rId21" Type="http://schemas.openxmlformats.org/officeDocument/2006/relationships/image" Target="media/image10.pn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jpeg"/><Relationship Id="rId30" Type="http://schemas.openxmlformats.org/officeDocument/2006/relationships/image" Target="media/image19.jpeg"/><Relationship Id="rId31" Type="http://schemas.openxmlformats.org/officeDocument/2006/relationships/image" Target="media/image20.jpeg"/><Relationship Id="rId32" Type="http://schemas.openxmlformats.org/officeDocument/2006/relationships/image" Target="media/image21.jpeg"/><Relationship Id="rId33" Type="http://schemas.openxmlformats.org/officeDocument/2006/relationships/image" Target="media/image22.jpeg"/><Relationship Id="rId34" Type="http://schemas.openxmlformats.org/officeDocument/2006/relationships/image" Target="media/image23.jpeg"/><Relationship Id="rId36" Type="http://schemas.openxmlformats.org/officeDocument/2006/relationships/image" Target="media/image24.jpeg"/><Relationship Id="rId37" Type="http://schemas.openxmlformats.org/officeDocument/2006/relationships/image" Target="media/image25.jpeg"/><Relationship Id="rId38" Type="http://schemas.openxmlformats.org/officeDocument/2006/relationships/image" Target="media/image26.jpeg"/><Relationship Id="rId39" Type="http://schemas.openxmlformats.org/officeDocument/2006/relationships/image" Target="media/image27.jpeg"/><Relationship Id="rId40" Type="http://schemas.openxmlformats.org/officeDocument/2006/relationships/image" Target="media/image28.jpeg"/><Relationship Id="rId35" Type="http://schemas.openxmlformats.org/officeDocument/2006/relationships/hyperlink" Target="mailto:emarc@altea-si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2024-12-04T11:59:25Z</dcterms:created>
  <dcterms:modified xsi:type="dcterms:W3CDTF">2024-12-04T11:59:25Z</dcterms:modified>
</cp:coreProperties>
</file>