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200"/>
        <w:jc w:val="center"/>
      </w:pPr>
      <w:r>
        <w:rPr>
          <w:rFonts w:ascii="微软雅黑" w:hAnsi="微软雅黑" w:eastAsia="微软雅黑"/>
          <w:b/>
          <w:i w:val="0"/>
          <w:color w:val="1F2329"/>
          <w:sz w:val="60"/>
        </w:rPr>
        <w:t>BPMN 审批流生成器</w:t>
      </w:r>
    </w:p>
    <w:p>
      <w:pPr>
        <w:spacing w:after="8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6"/>
        </w:rPr>
        <w:t>用一句自然语言，生成可直接部署的 BPMN 2.0 审批流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165DFF"/>
          <w:sz w:val="24"/>
        </w:rPr>
        <w:t>参赛作品介绍文档</w:t>
      </w:r>
    </w:p>
    <w:p>
      <w:pPr>
        <w:spacing w:after="120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2"/>
        </w:rPr>
        <w:t>适用于政务 / 企业审批流程的低代码配置工具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项目</w:t>
            </w:r>
          </w:p>
        </w:tc>
        <w:tc>
          <w:tcPr>
            <w:tcW w:type="dxa" w:w="6973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内容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项目名称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bpmn-gen —— AI 驱动的审批流生成器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技术栈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Node.js（生成核心，零运行时依赖）+ Java（验证工具 / Flowable 引擎）+ bpmn-js（可视化）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DeepSeek（OpenAI 兼容接口），可一键切换通义千问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引擎方言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7（xmlns:flowable）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开源许可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Apache License 2.0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代码仓库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https://github.com/Alter2007/bpmn-gen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演示视频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https://www.bilibili.com/video/BV1FvHA6YEyP/（P1 走大模型 / P2 离线模式）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文档版本</w:t>
            </w:r>
          </w:p>
        </w:tc>
        <w:tc>
          <w:tcPr>
            <w:tcW w:type="dxa" w:w="697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v1.0</w:t>
            </w:r>
          </w:p>
        </w:tc>
      </w:tr>
    </w:tbl>
    <w:p>
      <w:pPr>
        <w:spacing w:after="40"/>
      </w:pP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本项目的全部技术结论均可在仓库内用一条命令复现：verify-all.cmd</w:t>
      </w:r>
    </w:p>
    <w:p>
      <w:r>
        <w:br w:type="page"/>
      </w:r>
    </w:p>
    <w:p>
      <w:pPr>
        <w:pStyle w:val="Heading1"/>
      </w:pPr>
      <w:r>
        <w:t>一、这是什么（大白话）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3"/>
        </w:rPr>
        <w:t>业务人员用中文说一遍审批规则，工具直接生成一个能被 Flowable / Camunda 直接部署的 BPMN 文件。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不用写代码，也不用去求 IT。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在企业或政府办公里，财务、行政想做一个“报销审批流”，通常要走这么一圈：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20"/>
        </w:rPr>
        <w:t>业务人员 → 提需求 → IT 部门 → 程序员开发 → 反复确认 → 上线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问题是：业务人员不懂代码，程序员不懂业务。一句话就能说完的规则（“1000 以内主管批，超过 5000 财务复核”），往往要来回沟通好几轮，周期以周计。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本工具让业务人员自己动手，把这句话直接变成系统能跑的配置，把中间的沟通成本干掉。</w:t>
      </w:r>
    </w:p>
    <w:p>
      <w:pPr>
        <w:pStyle w:val="Heading2"/>
      </w:pPr>
      <w:r>
        <w:t>1.1 它怎么工作（三步）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步骤</w:t>
            </w:r>
          </w:p>
        </w:tc>
        <w:tc>
          <w:tcPr>
            <w:tcW w:type="dxa" w:w="294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你做什么</w:t>
            </w:r>
          </w:p>
        </w:tc>
        <w:tc>
          <w:tcPr>
            <w:tcW w:type="dxa" w:w="447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系统做什么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说人话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输入一句中文规则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解析关键词，选出最匹配的模板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翻译意图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——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大模型只输出一个极小 JSON（模板 id + 参数 + 置信度）；XML 由确定性代码生成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直接运行</w:t>
            </w:r>
          </w:p>
        </w:tc>
        <w:tc>
          <w:tcPr>
            <w:tcW w:type="dxa" w:w="294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下载 .bpmn，扔进引擎</w:t>
            </w:r>
          </w:p>
        </w:tc>
        <w:tc>
          <w:tcPr>
            <w:tcW w:type="dxa" w:w="447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/ Camunda 部署即跑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关键设计：模型从不写 XML。它的自由度被限制在“理解你说的是哪一类流程、阈值是多少”；语法正确性由代码保证 —— 所以“AI 生成的 XML 语法错”这类问题在物理上不可能发生。</w:t>
      </w:r>
    </w:p>
    <w:p>
      <w:pPr>
        <w:pStyle w:val="Heading2"/>
      </w:pPr>
      <w:r>
        <w:t>1.2 传统做法卡在哪（三重门槛）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门槛</w:t>
            </w:r>
          </w:p>
        </w:tc>
        <w:tc>
          <w:tcPr>
            <w:tcW w:type="dxa" w:w="532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具体表现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传统代价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沟通门槛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业务说自然语言，开发要写流程定义，靠文档和会议反复对齐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一轮澄清 2~5 天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建模门槛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涉及网关、默认流、条件表达式、图形坐标（DI）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业务学不会，开发也要查规范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验证门槛</w:t>
            </w:r>
          </w:p>
        </w:tc>
        <w:tc>
          <w:tcPr>
            <w:tcW w:type="dxa" w:w="532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文件是否合法、引擎能否接受，往往部署时才知道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上线前才发现流程卡死</w:t>
            </w:r>
          </w:p>
        </w:tc>
      </w:tr>
    </w:tbl>
    <w:p>
      <w:pPr>
        <w:spacing w:after="40"/>
      </w:pPr>
    </w:p>
    <w:p>
      <w:pPr>
        <w:pStyle w:val="Heading2"/>
      </w:pPr>
      <w:r>
        <w:t>1.3 属于什么方向的产品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低代码 / 无代码：不用画图也不用写代码，一句话即可；比拖拽式 BPMN 设计器更快。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AI 开发工具链：AI 负责“意图 → 配置”的翻译，而不是负责生成语法。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行业应用平台（政务 / 企业）：28 个模板覆盖公文、投诉、报销、采购、用章、请假、会签、超时催办等场景。</w:t>
      </w:r>
    </w:p>
    <w:p>
      <w:pPr>
        <w:pStyle w:val="Heading1"/>
      </w:pPr>
      <w:r>
        <w:t>二、产品定位与使用方式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一句话定位：把业务人员的一句自然语言，变成 Flowable 引擎能直接部署的 BPMN 2.0 文件。</w:t>
      </w:r>
    </w:p>
    <w:p>
      <w:pPr>
        <w:pStyle w:val="Heading2"/>
      </w:pPr>
      <w:r>
        <w:t>2.1 三条使用路径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离线模板匹配：一句话 → 模板，不需要大模型，适合演示、断网、成本敏感场景。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大模型选模板：一句话 → 模型只回 templateId + slots（JSON），适合口语化、表述更自由的真实输入。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直接给 IR：结构化 JSON 进管线，适合系统集成、批量生成与二次开发。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三种路径在本地 Web 应用里都已打通：浏览器内输入 → 生成 → 可视化 → 下载 .bpmn，全程不用切命令行；应用只监听本机回环地址，关闭窗口即结束。</w:t>
      </w:r>
    </w:p>
    <w:p>
      <w:pPr>
        <w:pStyle w:val="Heading2"/>
      </w:pPr>
      <w:r>
        <w:t>2.2 系统做什么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管线固定为五段，每一步的职责边界清晰，且不可跳过：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204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阶段</w:t>
            </w:r>
          </w:p>
        </w:tc>
        <w:tc>
          <w:tcPr>
            <w:tcW w:type="dxa" w:w="464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职责</w:t>
            </w:r>
          </w:p>
        </w:tc>
        <w:tc>
          <w:tcPr>
            <w:tcW w:type="dxa" w:w="209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失败时的行为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① 自然语言 → IR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匹配模板并填充槽位（模型只输出 templateId + slots）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无匹配即明确拒绝，不硬凑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② 确定性修复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只修确定性错误：缺 id、重复 id、自环、悬空端点、多余默认流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修不了的语义错误直接报错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③ 三层静态校验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契约 / 图论 / XML 良构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任一层不过即终止，不输出半成品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④ 序列化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 → BPMN XML，含完整 DI（图形坐标）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序列化器不接受非 IR 输入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⑤ 独立验证</w:t>
            </w:r>
          </w:p>
        </w:tc>
        <w:tc>
          <w:tcPr>
            <w:tcW w:type="dxa" w:w="464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官方 XSD / 第三方 moddle / Flowable 引擎校验</w:t>
            </w:r>
          </w:p>
        </w:tc>
        <w:tc>
          <w:tcPr>
            <w:tcW w:type="dxa" w:w="209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报告差异，不回写产物</w:t>
            </w:r>
          </w:p>
        </w:tc>
      </w:tr>
    </w:tbl>
    <w:p>
      <w:pPr>
        <w:spacing w:after="40"/>
      </w:pPr>
    </w:p>
    <w:p>
      <w:pPr>
        <w:pStyle w:val="Heading1"/>
      </w:pPr>
      <w:r>
        <w:t>三、技术架构</w:t>
      </w:r>
    </w:p>
    <w:p>
      <w:pPr>
        <w:pStyle w:val="Heading2"/>
      </w:pPr>
      <w:r>
        <w:t>3.1 分层结构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36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5443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核心文件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产出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bin/nl2bpmn.js、bin/ai2bpmn.js、web/（可视化）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命令行 / 浏览器界面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语义层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src/nl.js（模板匹配 + 槽位）、src/prompt.js（提示词 + 输出解析）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IR（JSON）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修复层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src/repair.js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修好的 IR + 修复动作清单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校验层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src/ir.js（契约）、src/graph.js（图论）、src/xml-lint.js（良构）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结构化错误列表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序列化层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src/layout.js（分层布局）、src/serialize.js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2.0 XML（含 DI）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验证层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tools/xsd-validate（官方 XSD）、web/check-model.js（moddle）、tools/flowable-check（引擎）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三层独立验证结论</w:t>
            </w:r>
          </w:p>
        </w:tc>
      </w:tr>
      <w:tr>
        <w:trPr>
          <w:cantSplit/>
        </w:trPr>
        <w:tc>
          <w:tcPr>
            <w:tcW w:type="dxa" w:w="136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编排</w:t>
            </w:r>
          </w:p>
        </w:tc>
        <w:tc>
          <w:tcPr>
            <w:tcW w:type="dxa" w:w="5443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src/pipeline.js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把上面串成不可跳过的链</w:t>
            </w:r>
          </w:p>
        </w:tc>
      </w:tr>
    </w:tbl>
    <w:p>
      <w:pPr>
        <w:spacing w:after="40"/>
      </w:pPr>
    </w:p>
    <w:p>
      <w:pPr>
        <w:pStyle w:val="Heading2"/>
      </w:pPr>
      <w:r>
        <w:t>3.2 六层校验漏斗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这是本作品可靠性设计的核心：错误越早发现，修复成本越低。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247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层</w:t>
            </w:r>
          </w:p>
        </w:tc>
        <w:tc>
          <w:tcPr>
            <w:tcW w:type="dxa" w:w="419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检查内容</w:t>
            </w:r>
          </w:p>
        </w:tc>
        <w:tc>
          <w:tcPr>
            <w:tcW w:type="dxa" w:w="249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执行者</w:t>
            </w:r>
          </w:p>
        </w:tc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实测结果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L1 良构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标签配对、根元素唯一、CDATA 完整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自研 xml-lint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L0 契约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字段类型、id 唯一、自环、默认流唯一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src/ir.js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L3 图论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起止唯一、悬挂节点、不可达、死路、网关默认流、并行网关不带条件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src/graph.js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通过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 规范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是否符合 BPMN 2.0 官方 schema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XSD + JDK 17 校验器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L2b 模型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模型能否被标准库建出来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L4-lite 引擎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引擎能否解析并通过流程校验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官方组件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实例运行</w:t>
            </w:r>
          </w:p>
        </w:tc>
        <w:tc>
          <w:tcPr>
            <w:tcW w:type="dxa" w:w="419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真实部署 + 启动实例 + 路径断言</w:t>
            </w:r>
          </w:p>
        </w:tc>
        <w:tc>
          <w:tcPr>
            <w:tcW w:type="dxa" w:w="249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 内存引擎</w:t>
            </w:r>
          </w:p>
        </w:tc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/ 113 断言</w:t>
            </w:r>
          </w:p>
        </w:tc>
      </w:tr>
    </w:tbl>
    <w:p>
      <w:pPr>
        <w:spacing w:after="40"/>
      </w:pPr>
    </w:p>
    <w:p>
      <w:pPr>
        <w:pStyle w:val="Heading2"/>
      </w:pPr>
      <w:r>
        <w:t>3.3 五个关键设计决策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  <w:tblHeader/>
        </w:trPr>
        <w:tc>
          <w:tcPr>
            <w:tcW w:type="dxa" w:w="1587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决策</w:t>
            </w:r>
          </w:p>
        </w:tc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我们选了什么</w:t>
            </w:r>
          </w:p>
        </w:tc>
        <w:tc>
          <w:tcPr>
            <w:tcW w:type="dxa" w:w="2268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被否决的方案</w:t>
            </w:r>
          </w:p>
        </w:tc>
        <w:tc>
          <w:tcPr>
            <w:tcW w:type="dxa" w:w="3005"/>
            <w:shd w:fill="EEF1F6"/>
          </w:tcPr>
          <w:p>
            <w:r/>
            <w:r>
              <w:rPr>
                <w:rFonts w:ascii="微软雅黑" w:hAnsi="微软雅黑"/>
                <w:b/>
                <w:sz w:val="17"/>
              </w:rPr>
              <w:t>否决原因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大模型输出什么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只输出 IR（JSON）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直接输出 BPMN XML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命名空间、id 冲突、坐标缺失、标签闭合、转义五类随机故障，每次失败方式都不同，无法测试覆盖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依赖策略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核心链路零依赖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用 bpmn-moddle 做核心校验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引入 node_modules、版本锁定、供应链风险；评审克隆后卡在 npm install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引擎选型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Flowable 7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Camunda 8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Zeebe + Elasticsearch + gRPC，架构重，与“本机零污染”目标直接冲突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图形坐标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自己算 DI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只生成逻辑段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引擎能跑但 bpmn-js 打开是白屏，演示当场翻车</w:t>
            </w:r>
          </w:p>
        </w:tc>
      </w:tr>
      <w:tr>
        <w:trPr>
          <w:cantSplit/>
        </w:trPr>
        <w:tc>
          <w:tcPr>
            <w:tcW w:type="dxa" w:w="1587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自动修复边界</w:t>
            </w:r>
          </w:p>
        </w:tc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只修确定性错误</w:t>
            </w:r>
          </w:p>
        </w:tc>
        <w:tc>
          <w:tcPr>
            <w:tcW w:type="dxa" w:w="226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让 AI 猜缺失的连线</w:t>
            </w:r>
          </w:p>
        </w:tc>
        <w:tc>
          <w:tcPr>
            <w:tcW w:type="dxa" w:w="300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7"/>
              </w:rPr>
              <w:t>猜出来的流程无法解释，且会把错误固化进产物</w:t>
            </w:r>
          </w:p>
        </w:tc>
      </w:tr>
    </w:tbl>
    <w:p>
      <w:pPr>
        <w:spacing w:after="40"/>
      </w:pPr>
    </w:p>
    <w:p>
      <w:pPr>
        <w:pStyle w:val="Heading2"/>
      </w:pPr>
      <w:r>
        <w:t>3.4 三个核心技术难点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模型幻觉“看起来对、跑不通”：多个结束事件、审批节点没有出口、网关全带条件却没有默认流 —— XML 合法、XSD 通过、引擎也能部署，但运行时永久卡死。做法是把这类问题前移到静态检查（src/graph.js 做可达性与死路分析）。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图形坐标（DI）不能手写：BPMN 分逻辑段与坐标段，缺坐标时引擎照跑但可视化工具白屏。用最长路径分层算法（正向直角折线、回边绕行），不用力导向是因为它每次结果不同，会破坏“同输入同输出”。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修复必须克制：缺 id / 重复 id / 自环 / 悬空端点 / 多余默认流可以修；缺节点类型、悬挂节点、不可达节点一律不修 —— 这些需要业务判断，替用户猜等于制造无法解释的流程。</w:t>
      </w:r>
    </w:p>
    <w:p>
      <w:pPr>
        <w:pStyle w:val="Heading1"/>
      </w:pPr>
      <w:r>
        <w:t>四、应用场景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47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场景</w:t>
            </w:r>
          </w:p>
        </w:tc>
        <w:tc>
          <w:tcPr>
            <w:tcW w:type="dxa" w:w="4535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典型描述</w:t>
            </w:r>
          </w:p>
        </w:tc>
        <w:tc>
          <w:tcPr>
            <w:tcW w:type="dxa" w:w="277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对应模板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差旅报销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金额小于 X 主管批，超过 Y 财务复核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amount_tiered（金额分级，阈值可参数化）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请假审批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3 天以内主管批，超过 3 天走人事备案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leave_days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采购申请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按金额分三档：部门经理 / 采购部 / 财务总监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purchase_request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合同评审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法务、财务、业务三方并行会签后汇总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contract_review（并行网关）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入职办理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人事建档、IT 开户、行政工位三线并行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onboarding_parallel（并行网关）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用章申请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申请 → 审批 → 用印登记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seal_apply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费用报销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部门审核 → 财务审核 → 归档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expense_reimburse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公文签发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拟稿 → 核稿 → 会签 → 签发（政务发文）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official_document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投诉信访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登记 → 分办 → 责任部门处理 → 回访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complaint_handling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会议审批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按会议级别分流：一般 / 重要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meeting_apply（排他网关）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出差 / 借款 / 用车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日常行政事务的串行审批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business_trip / loan_request / vehicle_use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通用单级</w:t>
            </w:r>
          </w:p>
        </w:tc>
        <w:tc>
          <w:tcPr>
            <w:tcW w:type="dxa" w:w="4535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提交后一人审批即可</w:t>
            </w:r>
          </w:p>
        </w:tc>
        <w:tc>
          <w:tcPr>
            <w:tcW w:type="dxa" w:w="277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simple_approval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模板是纯 JSON 文件，业务方可以自行增删，不需要改代码——这让系统具备横向复制到新行业的能力。</w:t>
      </w:r>
    </w:p>
    <w:p>
      <w:pPr>
        <w:pStyle w:val="Heading2"/>
      </w:pPr>
      <w:r>
        <w:t>4.1 已实现的扩展能力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在基础生成能力之上，补齐了真实审批场景最需要的四项：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能力</w:t>
            </w:r>
          </w:p>
        </w:tc>
        <w:tc>
          <w:tcPr>
            <w:tcW w:type="dxa" w:w="430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实现方式</w:t>
            </w:r>
          </w:p>
        </w:tc>
        <w:tc>
          <w:tcPr>
            <w:tcW w:type="dxa" w:w="255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验证方式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审批驳回 / 退回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回边：通过设为默认流，驳回走 approved == false 条件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 6 层含 3 条驳回路径断言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28 个审批模板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纯 JSON 模板库，每个模板都带真实分支（0 个纯串行）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每个模板都过六层校验 + 分支覆盖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交互式澄清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关键词得分不足或模型置信度低于 0.7 时，列出候选让人确认，不硬生成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接口返回 needClarify + candidates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超时催办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边界定时器（boundaryEvent + timerEventDefinition），超时自动转升级分支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L4 断言定时器作业确实注册到引擎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生成提示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阈值识别不出、档位超过模板能力时明确告知，不静默用默认值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单元测试断言提示内容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数值解析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支持中文数字与单位：五千 / 两万 / 一万五 / 10万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单元测试覆盖 8 种写法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命名与版本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processKey 可加前缀或整体覆盖（防导入撞车），flowable:versionTag 可指定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单元测试断言前缀/覆盖/版本都进入 XML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生成台账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每次生成追加一行 JSONL：时间、原话、模板、processKey、版本、节点数、XML 指纹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单元测试断言追加、字段完整、指纹与内容一致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角色组交接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审批人用 flowable:candidateGroups 字面量组名，附 org-roles.json 映射表（组名 → 建议引擎组 + 中文角色），说明书列出每个流程所需组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单元测试断言：角色组都在映射表里、没有未定义的处理人变量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配套产物</w:t>
            </w:r>
          </w:p>
        </w:tc>
        <w:tc>
          <w:tcPr>
            <w:tcW w:type="dxa" w:w="430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每次生成同时产出表单定义、流程说明书、分支覆盖用例</w:t>
            </w:r>
          </w:p>
        </w:tc>
        <w:tc>
          <w:tcPr>
            <w:tcW w:type="dxa" w:w="255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单元测试断言三类产物内容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9"/>
        </w:rPr>
        <w:t>驳回的工程量集中在三处：自动布局要为回边绕行（否则分层会发散）、修复器不能再删任务上的默认流、引擎要求条件变量必须存在（写成 approved == false 会抛异常，需用 execution.getVariable）。</w:t>
      </w:r>
    </w:p>
    <w:p>
      <w:pPr>
        <w:pStyle w:val="Heading2"/>
      </w:pPr>
      <w:r>
        <w:t>4.2 生成效果（真实输出）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下面两张图由 nl2bpmn 的实际产物渲染而来（直接读 BPMN 的 DI 坐标，不经过浏览器），不是示意图。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2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travel-rejec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2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1  金额分级审批流：三条金额分支 + 三条驳回回边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4018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multi-sig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40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图 2  多人会签：人数由 approvers 列表长度决定，流程本身不写死人数</w:t>
      </w:r>
    </w:p>
    <w:p>
      <w:pPr>
        <w:pStyle w:val="Heading1"/>
      </w:pPr>
      <w:r>
        <w:t>五、创新点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① 让模型“只说选哪个模板”，而不是“画流程”。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模型被约束成只输出一个极小的 JSON（templateId + slots + confidence，见 5.1 示例）；结构、连线、坐标、命名空间全部由确定性代码产生 —— “生成不出合法 XML”在物理上不可能发生。模型的自由度和系统可靠性之间的取舍，被明确放在语义层而不是语法层。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② 把“生成”降级为“选模板 + 填参数”。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纯自由生成的通过率不稳定、每次结果不同；模板化后稳定性来自模板本身，模型只承担它最擅长的小任务：理解一句话的意图、抽取阈值。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③ 引擎规则反哺静态检查（真实案例）。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接入 Flowable 官方校验器后发现自研图论检查漏了一条：“默认流不允许带条件”。这条 XSD 查不出、标准模型库也查不出，只有部署到引擎才报。已补进静态检查并加了确定性修复 —— 多层验证不是重复劳动，而是互相补位。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④ 把“环境零污染”做成可验证的工程原则。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政务与企业客户对交付环境的干净程度很敏感。本项目把它从口号变成 10 条可自动检查的原则，配套环境守卫工具给出基线与差异报告，实现“项目目录删掉即归零”。详见第七章。</w:t>
      </w:r>
    </w:p>
    <w:p>
      <w:pPr>
        <w:pStyle w:val="Heading1"/>
      </w:pPr>
      <w:r>
        <w:t>六、验证与证据</w:t>
      </w:r>
    </w:p>
    <w:p>
      <w:pPr>
        <w:spacing w:after="120"/>
      </w:pPr>
      <w:r>
        <w:rPr>
          <w:rFonts w:ascii="微软雅黑" w:hAnsi="微软雅黑" w:eastAsia="微软雅黑"/>
          <w:b/>
          <w:i w:val="0"/>
          <w:color w:val="1F2329"/>
          <w:sz w:val="21"/>
        </w:rPr>
        <w:t>下列结论都能在仓库内用一条命令复现：verify-all.cmd（CI 每次 push 也会在干净机器上重跑）。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9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验证项</w:t>
            </w:r>
          </w:p>
        </w:tc>
        <w:tc>
          <w:tcPr>
            <w:tcW w:type="dxa" w:w="4876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手段</w:t>
            </w:r>
          </w:p>
        </w:tc>
        <w:tc>
          <w:tcPr>
            <w:tcW w:type="dxa" w:w="198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结果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单元与回归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node test/run.js（正向 / 反向 / 可修复 / 自然语言 / 数值解析 / 帮助页 / 脚本卫生）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400 项断言通过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规范（L2）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OMG 官方 XSD + JDK 17 单文件校验器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 模型（L2b）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第三方 bpmn-moddle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引擎接受（L4-lite）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7.2.0 的 BpmnXMLConverter + ProcessValidator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65 / 65 文件通过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实例运行（L4）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Flowable + H2：部署 → 启动 → 自动完成 → 路径断言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113 条断言通过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分支覆盖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scripts/coverage-specs.js 按模板自动生成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104 条 / 28 个模板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大模型端到端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run-llm-tests.cmd（真实调用 8 条业务描述）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8 / 8 通过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确定性</w:t>
            </w:r>
          </w:p>
        </w:tc>
        <w:tc>
          <w:tcPr>
            <w:tcW w:type="dxa" w:w="4876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同一 IR 连续序列化两次逐字节比对</w:t>
            </w:r>
          </w:p>
        </w:tc>
        <w:tc>
          <w:tcPr>
            <w:tcW w:type="dxa" w:w="198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完全一致（产物无时间戳）</w:t>
            </w:r>
          </w:p>
        </w:tc>
      </w:tr>
    </w:tbl>
    <w:p>
      <w:pPr>
        <w:spacing w:after="40"/>
      </w:pPr>
    </w:p>
    <w:p>
      <w:pPr>
        <w:pStyle w:val="Heading2"/>
      </w:pPr>
      <w:r>
        <w:t>6.1 大模型实测（真实调用一次）</w:t>
      </w:r>
    </w:p>
    <w:p>
      <w:pPr>
        <w:spacing w:after="120"/>
      </w:pPr>
      <w:r>
        <w:rPr>
          <w:rFonts w:ascii="微软雅黑" w:hAnsi="微软雅黑" w:eastAsia="微软雅黑"/>
          <w:b w:val="0"/>
          <w:i/>
          <w:color w:val="6B7280"/>
          <w:sz w:val="19"/>
        </w:rPr>
        <w:t>输入：“我要做一个差旅报销审批流，金额小于 2000 主管批，超过 8000 财务批”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模型只回 JSON：templateId=amount_tiered、tier1=2000、tier2=8000，置信度 0.95。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理由：差旅报销按金额区间分级审批，2000 与 8000 为两个分级阈值。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产物：7 节点 / 8 连线，条件为 ${amount &lt;= 2000} 与 ${amount &gt; 2000 &amp;&amp; amount &lt;= 8000}，Flowable 校验通过。</w:t>
      </w:r>
    </w:p>
    <w:p>
      <w:pPr>
        <w:pStyle w:val="Heading2"/>
      </w:pPr>
      <w:r>
        <w:t>6.2 实例运行实测（同一文件、不同变量走不同分支）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  <w:tblHeader/>
        </w:trPr>
        <w:tc>
          <w:tcPr>
            <w:tcW w:type="dxa" w:w="1814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输入变量</w:t>
            </w:r>
          </w:p>
        </w:tc>
        <w:tc>
          <w:tcPr>
            <w:tcW w:type="dxa" w:w="5102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实际路径</w:t>
            </w:r>
          </w:p>
        </w:tc>
        <w:tc>
          <w:tcPr>
            <w:tcW w:type="dxa" w:w="1871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结论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800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主管审批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小额走主管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2500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总监审批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中额升级总监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amount = 6000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提交报销单 → 财务复核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大额走财务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overseas = true</w:t>
            </w:r>
          </w:p>
        </w:tc>
        <w:tc>
          <w:tcPr>
            <w:tcW w:type="dxa" w:w="5102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提交出差申请 → 行政审核 → 主管审批 → 行政备案</w:t>
            </w:r>
          </w:p>
        </w:tc>
        <w:tc>
          <w:tcPr>
            <w:tcW w:type="dxa" w:w="1871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是否类分支生效</w:t>
            </w:r>
          </w:p>
        </w:tc>
      </w:tr>
    </w:tbl>
    <w:p>
      <w:pPr>
        <w:spacing w:after="40"/>
      </w:pPr>
    </w:p>
    <w:p>
      <w:pPr>
        <w:pStyle w:val="Heading1"/>
      </w:pPr>
      <w:r>
        <w:t>七、工程原则：把“不污染本机”变成可验证的约束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1F2329"/>
          <w:sz w:val="21"/>
        </w:rPr>
        <w:t>开发机是 Windows 家庭版，无法用系统级沙盒，因此隔离只能做在用户态、并且必须落到可检查的地方。完整 10 条原则见仓库 PRINCIPLES.md，其中 9 条由代码自动检查，红灯即不得产出。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P-01 磁盘边界：产物不出工作区（用户流程 .data\out，验证产物 .data\verify）。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P-02/03/04 不碰系统层：核心零依赖、不装服务、不改 PATH / 注册表、不起常驻进程。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P-05 密钥不落地：只从环境变量或界面内存读取，不入库、不打印、不进日志。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P-07 模型不直接产出 XML：校验管线顺序固定，非 IR 输入直接拒绝。</w:t>
      </w:r>
    </w:p>
    <w:p>
      <w:pPr>
        <w:pStyle w:val="Heading1"/>
      </w:pPr>
      <w:r>
        <w:t>八、交付物与使用方式</w:t>
      </w:r>
    </w:p>
    <w:p>
      <w:pPr>
        <w:pStyle w:val="Heading2"/>
      </w:pPr>
      <w:r>
        <w:t>8.1 常用命令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  <w:tblHeader/>
        </w:trPr>
        <w:tc>
          <w:tcPr>
            <w:tcW w:type="dxa" w:w="3628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命令</w:t>
            </w:r>
          </w:p>
        </w:tc>
        <w:tc>
          <w:tcPr>
            <w:tcW w:type="dxa" w:w="5159"/>
            <w:shd w:fill="EEF1F6"/>
          </w:tcPr>
          <w:p>
            <w:r/>
            <w:r>
              <w:rPr>
                <w:rFonts w:ascii="微软雅黑" w:hAnsi="微软雅黑"/>
                <w:b/>
                <w:sz w:val="18"/>
              </w:rPr>
              <w:t>作用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离线模板匹配，一句话生成（不需要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ai2bpmn.cmd "..." -o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调用大模型生成（需要 Key）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nl2bpmn.cmd "..." -o out.bpmn --bundle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生成可交付的整个目录（bpmn/说明/表单/用例/角色组/部署说明/校验摘要）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bpmn2svg.cmd out.bpmn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把 BPMN 渲染成 SVG（不开浏览器）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verify-all.cmd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六层验证一次跑完（测试 / XSD / moddle / 引擎 / 实例 / 覆盖）</w:t>
            </w:r>
          </w:p>
        </w:tc>
      </w:tr>
      <w:tr>
        <w:trPr>
          <w:cantSplit/>
        </w:trPr>
        <w:tc>
          <w:tcPr>
            <w:tcW w:type="dxa" w:w="3628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创建桌面快捷方式.cmd</w:t>
            </w:r>
          </w:p>
        </w:tc>
        <w:tc>
          <w:tcPr>
            <w:tcW w:type="dxa" w:w="5159"/>
          </w:tcPr>
          <w:p>
            <w:pPr>
              <w:spacing w:after="40"/>
            </w:pPr>
            <w:r/>
            <w:r>
              <w:rPr>
                <w:rFonts w:ascii="微软雅黑" w:hAnsi="微软雅黑" w:eastAsia="微软雅黑"/>
                <w:sz w:val="18"/>
              </w:rPr>
              <w:t>生成桌面图标，之后双击即可用桌面应用版</w:t>
            </w:r>
          </w:p>
        </w:tc>
      </w:tr>
    </w:tbl>
    <w:p>
      <w:pPr>
        <w:spacing w:after="40"/>
      </w:pPr>
    </w:p>
    <w:p>
      <w:pPr>
        <w:pStyle w:val="Heading2"/>
      </w:pPr>
      <w:r>
        <w:t>8.2 开源合规声明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许可证：Apache License 2.0，仓库根目录附 LICENSE 与 NOTICE。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第三方组件：见 docs/THIRD-PARTY.md；核心链路运行时依赖为 0 个，桌面应用版仅依赖 bpmn-js（MIT）。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规范文件（OMG XSD）与 Flowable jar 按需下载至缓存目录，不随仓库分发。</w:t>
      </w:r>
    </w:p>
    <w:p>
      <w:pPr>
        <w:pStyle w:val="ListBullet"/>
        <w:spacing w:after="60" w:line="336" w:lineRule="auto"/>
      </w:pPr>
      <w:r>
        <w:rPr>
          <w:rFonts w:ascii="微软雅黑" w:hAnsi="微软雅黑" w:eastAsia="微软雅黑"/>
          <w:sz w:val="21"/>
        </w:rPr>
        <w:t>大模型密钥只从环境变量或界面内存读取，不入库、不打印、不写入日志。</w:t>
      </w:r>
    </w:p>
    <w:p>
      <w:pPr>
        <w:spacing w:after="120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完整目录结构与后续扩展方向见仓库 README.md。</w:t>
      </w:r>
    </w:p>
    <w:p>
      <w:pPr>
        <w:spacing w:after="120"/>
        <w:jc w:val="center"/>
      </w:pPr>
      <w:r>
        <w:rPr>
          <w:rFonts w:ascii="微软雅黑" w:hAnsi="微软雅黑" w:eastAsia="微软雅黑"/>
          <w:b w:val="0"/>
          <w:i w:val="0"/>
          <w:color w:val="6B7280"/>
          <w:sz w:val="18"/>
        </w:rPr>
        <w:t>—— 本文档所引数据均可通过仓库内 verify-all.cmd 复现 ——</w:t>
      </w:r>
    </w:p>
    <w:sectPr w:rsidR="00FC693F" w:rsidRPr="0006063C" w:rsidSect="00034616">
      <w:pgSz w:w="11906" w:h="16838"/>
      <w:pgMar w:top="1304" w:right="1417" w:bottom="119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微软雅黑" w:hAnsi="微软雅黑" w:eastAsia="微软雅黑" w:cs="微软雅黑"/>
      <w:b w:val="0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 w:line="300" w:lineRule="auto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1F232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