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32"/>
          <w:szCs w:val="32"/>
        </w:rPr>
        <w:t xml:space="preserve">Faculté des Sciences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 web</w:t>
      </w:r>
    </w:p>
    <w:p>
      <w:pPr>
        <w:spacing w:after="200" w:line="520" w:lineRule="atLeast"/>
        <w:jc w:val="center"/>
      </w:pPr>
      <w:r>
        <w:rPr>
          <w:rFonts w:ascii="Times New Roman" w:eastAsia="SimHei"/>
          <w:b/>
          <w:bCs/>
          <w:color w:val="000000"/>
          <w:sz w:val="36"/>
          <w:szCs w:val="36"/>
        </w:rPr>
        <w:t xml:space="preserve">basée sur l'Intelligence Artificielle</w:t>
      </w:r>
    </w:p>
    <w:p>
      <w:pPr>
        <w:spacing w:after="200" w:line="520" w:lineRule="atLeast"/>
        <w:jc w:val="center"/>
      </w:pPr>
      <w:r>
        <w:rPr>
          <w:rFonts w:ascii="Times New Roman" w:eastAsia="SimHei"/>
          <w:b/>
          <w:bCs/>
          <w:color w:val="000000"/>
          <w:sz w:val="32"/>
          <w:szCs w:val="32"/>
        </w:rPr>
        <w:t xml:space="preserve">pour la détection automatique du plagiat</w:t>
      </w:r>
    </w:p>
    <w:p>
      <w:pPr>
        <w:spacing w:after="600" w:line="520" w:lineRule="atLeast"/>
        <w:jc w:val="center"/>
      </w:pPr>
      <w:r>
        <w:rPr>
          <w:rFonts w:ascii="Times New Roman" w:eastAsia="SimHei"/>
          <w:b/>
          <w:bCs/>
          <w:color w:val="000000"/>
          <w:sz w:val="32"/>
          <w:szCs w:val="32"/>
        </w:rPr>
        <w:t xml:space="preserve">dans les travaux académiques</w:t>
      </w:r>
    </w:p>
    <w:p>
      <w:pPr>
        <w:spacing w:after="800" w:line="360" w:lineRule="atLeast"/>
        <w:jc w:val="center"/>
      </w:pPr>
      <w:r>
        <w:rPr>
          <w:rFonts w:ascii="Times New Roman" w:eastAsia="SimSun"/>
          <w:i/>
          <w:iCs/>
          <w:color w:val="333333"/>
          <w:sz w:val="24"/>
          <w:szCs w:val="24"/>
        </w:rPr>
        <w:t xml:space="preserve">Cas pilote : Faculté des Sciences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 KASORO MULENDA Nathanaël</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Cas pilote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Title"/>
            <w:tabs>
              <w:tab w:val="right" w:leader="dot" w:pos="9026"/>
            </w:tabs>
            <w:spacing w:before="120" w:after="60"/>
          </w:pPr>
          <w:r>
            <w:t>LISTE DES FIGURES</w:t>
          </w:r>
          <w:r>
            <w:tab/>
          </w:r>
          <w:r>
            <w:t>6</w:t>
          </w:r>
        </w:p>
        <w:p>
          <w:pPr>
            <w:pStyle w:val="Title"/>
            <w:tabs>
              <w:tab w:val="right" w:leader="dot" w:pos="9026"/>
            </w:tabs>
            <w:spacing w:before="120" w:after="60"/>
          </w:pPr>
          <w:r>
            <w:t>LISTE DES TABLEAUX</w:t>
          </w:r>
          <w:r>
            <w:tab/>
          </w:r>
          <w:r>
            <w:t>6</w:t>
          </w:r>
        </w:p>
        <w:p>
          <w:pPr>
            <w:pStyle w:val="Title"/>
            <w:tabs>
              <w:tab w:val="right" w:leader="dot" w:pos="9026"/>
            </w:tabs>
            <w:spacing w:before="120" w:after="60"/>
          </w:pPr>
          <w:r>
            <w:t>LISTE DES ABRÉVIATIONS</w:t>
          </w:r>
          <w:r>
            <w:tab/>
          </w:r>
          <w:r>
            <w:t>7</w:t>
          </w:r>
        </w:p>
        <w:p>
          <w:pPr>
            <w:pStyle w:val="Title"/>
            <w:tabs>
              <w:tab w:val="right" w:leader="dot" w:pos="9026"/>
            </w:tabs>
            <w:spacing w:before="120" w:after="60"/>
          </w:pPr>
          <w:r>
            <w:t>INTRODUCTION GÉNÉRALE</w:t>
          </w:r>
          <w:r>
            <w:tab/>
          </w:r>
          <w:r>
            <w:t>7</w:t>
          </w:r>
        </w:p>
        <w:p>
          <w:pPr>
            <w:pStyle w:val="Title"/>
            <w:ind w:left="360"/>
            <w:tabs>
              <w:tab w:val="right" w:leader="dot" w:pos="9026"/>
            </w:tabs>
            <w:spacing w:before="120" w:after="60"/>
          </w:pPr>
          <w:r>
            <w:t>I.1. Préambule</w:t>
          </w:r>
          <w:r>
            <w:tab/>
          </w:r>
          <w:r>
            <w:t>7</w:t>
          </w:r>
        </w:p>
        <w:p>
          <w:pPr>
            <w:pStyle w:val="Title"/>
            <w:ind w:left="360"/>
            <w:tabs>
              <w:tab w:val="right" w:leader="dot" w:pos="9026"/>
            </w:tabs>
            <w:spacing w:before="120" w:after="60"/>
          </w:pPr>
          <w:r>
            <w:t>I.2. Problématique</w:t>
          </w:r>
          <w:r>
            <w:tab/>
          </w:r>
          <w:r>
            <w:t>8</w:t>
          </w:r>
        </w:p>
        <w:p>
          <w:pPr>
            <w:pStyle w:val="Title"/>
            <w:ind w:left="360"/>
            <w:tabs>
              <w:tab w:val="right" w:leader="dot" w:pos="9026"/>
            </w:tabs>
            <w:spacing w:before="120" w:after="60"/>
          </w:pPr>
          <w:r>
            <w:t>I.3. Hypothèse du travail</w:t>
          </w:r>
          <w:r>
            <w:tab/>
          </w:r>
          <w:r>
            <w:t>9</w:t>
          </w:r>
        </w:p>
        <w:p>
          <w:pPr>
            <w:pStyle w:val="Title"/>
            <w:ind w:left="360"/>
            <w:tabs>
              <w:tab w:val="right" w:leader="dot" w:pos="9026"/>
            </w:tabs>
            <w:spacing w:before="120" w:after="60"/>
          </w:pPr>
          <w:r>
            <w:t>I.4. Choix et intérêt du sujet</w:t>
          </w:r>
          <w:r>
            <w:tab/>
          </w:r>
          <w:r>
            <w:t>9</w:t>
          </w:r>
        </w:p>
        <w:p>
          <w:pPr>
            <w:pStyle w:val="Title"/>
            <w:ind w:left="360"/>
            <w:tabs>
              <w:tab w:val="right" w:leader="dot" w:pos="9026"/>
            </w:tabs>
            <w:spacing w:before="120" w:after="60"/>
          </w:pPr>
          <w:r>
            <w:t>I.5. Délimitation du sujet</w:t>
          </w:r>
          <w:r>
            <w:tab/>
          </w:r>
          <w:r>
            <w:t>10</w:t>
          </w:r>
        </w:p>
        <w:p>
          <w:pPr>
            <w:pStyle w:val="Title"/>
            <w:ind w:left="720"/>
            <w:tabs>
              <w:tab w:val="right" w:leader="dot" w:pos="9026"/>
            </w:tabs>
            <w:spacing w:before="120" w:after="60"/>
          </w:pPr>
          <w:r>
            <w:t>I.5.1. Délimitation dans le temps</w:t>
          </w:r>
          <w:r>
            <w:tab/>
          </w:r>
          <w:r>
            <w:t>10</w:t>
          </w:r>
        </w:p>
        <w:p>
          <w:pPr>
            <w:pStyle w:val="Title"/>
            <w:ind w:left="720"/>
            <w:tabs>
              <w:tab w:val="right" w:leader="dot" w:pos="9026"/>
            </w:tabs>
            <w:spacing w:before="120" w:after="60"/>
          </w:pPr>
          <w:r>
            <w:t>I.5.2. Délimitation dans l'espace</w:t>
          </w:r>
          <w:r>
            <w:tab/>
          </w:r>
          <w:r>
            <w:t>10</w:t>
          </w:r>
        </w:p>
        <w:p>
          <w:pPr>
            <w:pStyle w:val="Title"/>
            <w:ind w:left="720"/>
            <w:tabs>
              <w:tab w:val="right" w:leader="dot" w:pos="9026"/>
            </w:tabs>
            <w:spacing w:before="120" w:after="60"/>
          </w:pPr>
          <w:r>
            <w:t>I.5.3. Délimitation du contenu</w:t>
          </w:r>
          <w:r>
            <w:tab/>
          </w:r>
          <w:r>
            <w:t>11</w:t>
          </w:r>
        </w:p>
        <w:p>
          <w:pPr>
            <w:pStyle w:val="Title"/>
            <w:ind w:left="360"/>
            <w:tabs>
              <w:tab w:val="right" w:leader="dot" w:pos="9026"/>
            </w:tabs>
            <w:spacing w:before="120" w:after="60"/>
          </w:pPr>
          <w:r>
            <w:t>I.6. Méthodes et techniques utilisées</w:t>
          </w:r>
          <w:r>
            <w:tab/>
          </w:r>
          <w:r>
            <w:t>11</w:t>
          </w:r>
        </w:p>
        <w:p>
          <w:pPr>
            <w:pStyle w:val="Title"/>
            <w:ind w:left="720"/>
            <w:tabs>
              <w:tab w:val="right" w:leader="dot" w:pos="9026"/>
            </w:tabs>
            <w:spacing w:before="120" w:after="60"/>
          </w:pPr>
          <w:r>
            <w:t>I.6.1. Méthodes d'analyse et de conception</w:t>
          </w:r>
          <w:r>
            <w:tab/>
          </w:r>
          <w:r>
            <w:t>11</w:t>
          </w:r>
        </w:p>
        <w:p>
          <w:pPr>
            <w:pStyle w:val="Title"/>
            <w:ind w:left="720"/>
            <w:tabs>
              <w:tab w:val="right" w:leader="dot" w:pos="9026"/>
            </w:tabs>
            <w:spacing w:before="120" w:after="60"/>
          </w:pPr>
          <w:r>
            <w:t>I.6.2. Méthodologie data science : CRISP-DM</w:t>
          </w:r>
          <w:r>
            <w:tab/>
          </w:r>
          <w:r>
            <w:t>11</w:t>
          </w:r>
        </w:p>
        <w:p>
          <w:pPr>
            <w:pStyle w:val="Title"/>
            <w:ind w:left="720"/>
            <w:tabs>
              <w:tab w:val="right" w:leader="dot" w:pos="9026"/>
            </w:tabs>
            <w:spacing w:before="120" w:after="60"/>
          </w:pPr>
          <w:r>
            <w:t>I.6.3. Techniques de collecte de données</w:t>
          </w:r>
          <w:r>
            <w:tab/>
          </w:r>
          <w:r>
            <w:t>12</w:t>
          </w:r>
        </w:p>
        <w:p>
          <w:pPr>
            <w:pStyle w:val="Title"/>
            <w:ind w:left="720"/>
            <w:tabs>
              <w:tab w:val="right" w:leader="dot" w:pos="9026"/>
            </w:tabs>
            <w:spacing w:before="120" w:after="60"/>
          </w:pPr>
          <w:r>
            <w:t>I.6.4. Techniques d'évaluation</w:t>
          </w:r>
          <w:r>
            <w:tab/>
          </w:r>
          <w:r>
            <w:t>12</w:t>
          </w:r>
        </w:p>
        <w:p>
          <w:pPr>
            <w:pStyle w:val="Title"/>
            <w:ind w:left="360"/>
            <w:tabs>
              <w:tab w:val="right" w:leader="dot" w:pos="9026"/>
            </w:tabs>
            <w:spacing w:before="120" w:after="60"/>
          </w:pPr>
          <w:r>
            <w:t>I.7. Subdivision du travail</w:t>
          </w:r>
          <w:r>
            <w:tab/>
          </w:r>
          <w:r>
            <w:t>13</w:t>
          </w:r>
        </w:p>
        <w:p>
          <w:pPr>
            <w:pStyle w:val="Title"/>
            <w:tabs>
              <w:tab w:val="right" w:leader="dot" w:pos="9026"/>
            </w:tabs>
            <w:spacing w:before="120" w:after="60"/>
          </w:pPr>
          <w:r>
            <w:t>CHAPITRE I — FONDEMENTS DE L'INTELLIGENCE ARTIFICIELLE APPLIQUÉE À LA DÉTECTION AUTOMATIQUE DU PLAGIAT</w:t>
          </w:r>
          <w:r>
            <w:tab/>
          </w:r>
          <w:r>
            <w:t>13</w:t>
          </w:r>
        </w:p>
        <w:p>
          <w:pPr>
            <w:pStyle w:val="Title"/>
            <w:ind w:left="360"/>
            <w:tabs>
              <w:tab w:val="right" w:leader="dot" w:pos="9026"/>
            </w:tabs>
            <w:spacing w:before="120" w:after="60"/>
          </w:pPr>
          <w:r>
            <w:t>I.1. Introduction</w:t>
          </w:r>
          <w:r>
            <w:tab/>
          </w:r>
          <w:r>
            <w:t>13</w:t>
          </w:r>
        </w:p>
        <w:p>
          <w:pPr>
            <w:pStyle w:val="Title"/>
            <w:ind w:left="360"/>
            <w:tabs>
              <w:tab w:val="right" w:leader="dot" w:pos="9026"/>
            </w:tabs>
            <w:spacing w:before="120" w:after="60"/>
          </w:pPr>
          <w:r>
            <w:t>I.2. Intelligence Artificielle : définition et évolution</w:t>
          </w:r>
          <w:r>
            <w:tab/>
          </w:r>
          <w:r>
            <w:t>14</w:t>
          </w:r>
        </w:p>
        <w:p>
          <w:pPr>
            <w:pStyle w:val="Title"/>
            <w:ind w:left="360"/>
            <w:tabs>
              <w:tab w:val="right" w:leader="dot" w:pos="9026"/>
            </w:tabs>
            <w:spacing w:before="120" w:after="60"/>
          </w:pPr>
          <w:r>
            <w:t>I.3. Machine Learning</w:t>
          </w:r>
          <w:r>
            <w:tab/>
          </w:r>
          <w:r>
            <w:t>14</w:t>
          </w:r>
        </w:p>
        <w:p>
          <w:pPr>
            <w:pStyle w:val="Title"/>
            <w:ind w:left="360"/>
            <w:tabs>
              <w:tab w:val="right" w:leader="dot" w:pos="9026"/>
            </w:tabs>
            <w:spacing w:before="120" w:after="60"/>
          </w:pPr>
          <w:r>
            <w:t>I.4. Deep Learning</w:t>
          </w:r>
          <w:r>
            <w:tab/>
          </w:r>
          <w:r>
            <w:t>15</w:t>
          </w:r>
        </w:p>
        <w:p>
          <w:pPr>
            <w:pStyle w:val="Title"/>
            <w:ind w:left="360"/>
            <w:tabs>
              <w:tab w:val="right" w:leader="dot" w:pos="9026"/>
            </w:tabs>
            <w:spacing w:before="120" w:after="60"/>
          </w:pPr>
          <w:r>
            <w:t>I.5. Traitement Automatique du Langage Naturel (NLP)</w:t>
          </w:r>
          <w:r>
            <w:tab/>
          </w:r>
          <w:r>
            <w:t>15</w:t>
          </w:r>
        </w:p>
        <w:p>
          <w:pPr>
            <w:pStyle w:val="Title"/>
            <w:ind w:left="360"/>
            <w:tabs>
              <w:tab w:val="right" w:leader="dot" w:pos="9026"/>
            </w:tabs>
            <w:spacing w:before="120" w:after="60"/>
          </w:pPr>
          <w:r>
            <w:t>I.6. Embeddings vectoriels</w:t>
          </w:r>
          <w:r>
            <w:tab/>
          </w:r>
          <w:r>
            <w:t>16</w:t>
          </w:r>
        </w:p>
        <w:p>
          <w:pPr>
            <w:pStyle w:val="Title"/>
            <w:ind w:left="360"/>
            <w:tabs>
              <w:tab w:val="right" w:leader="dot" w:pos="9026"/>
            </w:tabs>
            <w:spacing w:before="120" w:after="60"/>
          </w:pPr>
          <w:r>
            <w:t>I.7. Similarité cosinus et métriques de distance</w:t>
          </w:r>
          <w:r>
            <w:tab/>
          </w:r>
          <w:r>
            <w:t>17</w:t>
          </w:r>
        </w:p>
        <w:p>
          <w:pPr>
            <w:pStyle w:val="Title"/>
            <w:ind w:left="360"/>
            <w:tabs>
              <w:tab w:val="right" w:leader="dot" w:pos="9026"/>
            </w:tabs>
            <w:spacing w:before="120" w:after="60"/>
          </w:pPr>
          <w:r>
            <w:t>I.8. Recherche vectorielle</w:t>
          </w:r>
          <w:r>
            <w:tab/>
          </w:r>
          <w:r>
            <w:t>17</w:t>
          </w:r>
        </w:p>
        <w:p>
          <w:pPr>
            <w:pStyle w:val="Title"/>
            <w:ind w:left="360"/>
            <w:tabs>
              <w:tab w:val="right" w:leader="dot" w:pos="9026"/>
            </w:tabs>
            <w:spacing w:before="120" w:after="60"/>
          </w:pPr>
          <w:r>
            <w:t>I.9. IA générative et grands modèles de langage</w:t>
          </w:r>
          <w:r>
            <w:tab/>
          </w:r>
          <w:r>
            <w:t>18</w:t>
          </w:r>
        </w:p>
        <w:p>
          <w:pPr>
            <w:pStyle w:val="Title"/>
            <w:ind w:left="360"/>
            <w:tabs>
              <w:tab w:val="right" w:leader="dot" w:pos="9026"/>
            </w:tabs>
            <w:spacing w:before="120" w:after="60"/>
          </w:pPr>
          <w:r>
            <w:t>I.10. État de l'art de la détection automatique du plagiat par IA</w:t>
          </w:r>
          <w:r>
            <w:tab/>
          </w:r>
          <w:r>
            <w:t>18</w:t>
          </w:r>
        </w:p>
        <w:p>
          <w:pPr>
            <w:pStyle w:val="Title"/>
            <w:ind w:left="360"/>
            <w:tabs>
              <w:tab w:val="right" w:leader="dot" w:pos="9026"/>
            </w:tabs>
            <w:spacing w:before="120" w:after="60"/>
          </w:pPr>
          <w:r>
            <w:t>I.11. Conclusion</w:t>
          </w:r>
          <w:r>
            <w:tab/>
          </w:r>
          <w:r>
            <w:t>19</w:t>
          </w:r>
        </w:p>
        <w:p>
          <w:pPr>
            <w:pStyle w:val="Title"/>
            <w:tabs>
              <w:tab w:val="right" w:leader="dot" w:pos="9026"/>
            </w:tabs>
            <w:spacing w:before="120" w:after="60"/>
          </w:pPr>
          <w:r>
            <w:t>CHAPITRE II — ÉTAT DE L'ART DU PLAGIAT ACADÉMIQUE ET ANALYSE DES BESOINS</w:t>
          </w:r>
          <w:r>
            <w:tab/>
          </w:r>
          <w:r>
            <w:t>20</w:t>
          </w:r>
        </w:p>
        <w:p>
          <w:pPr>
            <w:pStyle w:val="Title"/>
            <w:ind w:left="360"/>
            <w:tabs>
              <w:tab w:val="right" w:leader="dot" w:pos="9026"/>
            </w:tabs>
            <w:spacing w:before="120" w:after="60"/>
          </w:pPr>
          <w:r>
            <w:t>II.1. Introduction</w:t>
          </w:r>
          <w:r>
            <w:tab/>
          </w:r>
          <w:r>
            <w:t>20</w:t>
          </w:r>
        </w:p>
        <w:p>
          <w:pPr>
            <w:pStyle w:val="Title"/>
            <w:ind w:left="360"/>
            <w:tabs>
              <w:tab w:val="right" w:leader="dot" w:pos="9026"/>
            </w:tabs>
            <w:spacing w:before="120" w:after="60"/>
          </w:pPr>
          <w:r>
            <w:t>II.2. Définition du plagiat</w:t>
          </w:r>
          <w:r>
            <w:tab/>
          </w:r>
          <w:r>
            <w:t>20</w:t>
          </w:r>
        </w:p>
        <w:p>
          <w:pPr>
            <w:pStyle w:val="Title"/>
            <w:ind w:left="360"/>
            <w:tabs>
              <w:tab w:val="right" w:leader="dot" w:pos="9026"/>
            </w:tabs>
            <w:spacing w:before="120" w:after="60"/>
          </w:pPr>
          <w:r>
            <w:t>II.3. Quelques domaines du plagiat</w:t>
          </w:r>
          <w:r>
            <w:tab/>
          </w:r>
          <w:r>
            <w:t>21</w:t>
          </w:r>
        </w:p>
        <w:p>
          <w:pPr>
            <w:pStyle w:val="Title"/>
            <w:ind w:left="720"/>
            <w:tabs>
              <w:tab w:val="right" w:leader="dot" w:pos="9026"/>
            </w:tabs>
            <w:spacing w:before="120" w:after="60"/>
          </w:pPr>
          <w:r>
            <w:t>II.3.1. Dans les sciences</w:t>
          </w:r>
          <w:r>
            <w:tab/>
          </w:r>
          <w:r>
            <w:t>21</w:t>
          </w:r>
        </w:p>
        <w:p>
          <w:pPr>
            <w:pStyle w:val="Title"/>
            <w:ind w:left="720"/>
            <w:tabs>
              <w:tab w:val="right" w:leader="dot" w:pos="9026"/>
            </w:tabs>
            <w:spacing w:before="120" w:after="60"/>
          </w:pPr>
          <w:r>
            <w:t>II.3.2. Dans le journalisme</w:t>
          </w:r>
          <w:r>
            <w:tab/>
          </w:r>
          <w:r>
            <w:t>21</w:t>
          </w:r>
        </w:p>
        <w:p>
          <w:pPr>
            <w:pStyle w:val="Title"/>
            <w:ind w:left="720"/>
            <w:tabs>
              <w:tab w:val="right" w:leader="dot" w:pos="9026"/>
            </w:tabs>
            <w:spacing w:before="120" w:after="60"/>
          </w:pPr>
          <w:r>
            <w:t>II.3.3. Dans la littérature et les arts</w:t>
          </w:r>
          <w:r>
            <w:tab/>
          </w:r>
          <w:r>
            <w:t>22</w:t>
          </w:r>
        </w:p>
        <w:p>
          <w:pPr>
            <w:pStyle w:val="Title"/>
            <w:ind w:left="720"/>
            <w:tabs>
              <w:tab w:val="right" w:leader="dot" w:pos="9026"/>
            </w:tabs>
            <w:spacing w:before="120" w:after="60"/>
          </w:pPr>
          <w:r>
            <w:t>II.3.4. Dans le monde académique</w:t>
          </w:r>
          <w:r>
            <w:tab/>
          </w:r>
          <w:r>
            <w:t>22</w:t>
          </w:r>
        </w:p>
        <w:p>
          <w:pPr>
            <w:pStyle w:val="Title"/>
            <w:ind w:left="360"/>
            <w:tabs>
              <w:tab w:val="right" w:leader="dot" w:pos="9026"/>
            </w:tabs>
            <w:spacing w:before="120" w:after="60"/>
          </w:pPr>
          <w:r>
            <w:t>II.4. Types de plagiat</w:t>
          </w:r>
          <w:r>
            <w:tab/>
          </w:r>
          <w:r>
            <w:t>22</w:t>
          </w:r>
        </w:p>
        <w:p>
          <w:pPr>
            <w:pStyle w:val="Title"/>
            <w:ind w:left="360"/>
            <w:tabs>
              <w:tab w:val="right" w:leader="dot" w:pos="9026"/>
            </w:tabs>
            <w:spacing w:before="120" w:after="60"/>
          </w:pPr>
          <w:r>
            <w:t>II.5. Détection automatique du plagiat</w:t>
          </w:r>
          <w:r>
            <w:tab/>
          </w:r>
          <w:r>
            <w:t>23</w:t>
          </w:r>
        </w:p>
        <w:p>
          <w:pPr>
            <w:pStyle w:val="Title"/>
            <w:ind w:left="360"/>
            <w:tabs>
              <w:tab w:val="right" w:leader="dot" w:pos="9026"/>
            </w:tabs>
            <w:spacing w:before="120" w:after="60"/>
          </w:pPr>
          <w:r>
            <w:t>II.6. Causes et facteurs du plagiat académique</w:t>
          </w:r>
          <w:r>
            <w:tab/>
          </w:r>
          <w:r>
            <w:t>24</w:t>
          </w:r>
        </w:p>
        <w:p>
          <w:pPr>
            <w:pStyle w:val="Title"/>
            <w:ind w:left="720"/>
            <w:tabs>
              <w:tab w:val="right" w:leader="dot" w:pos="9026"/>
            </w:tabs>
            <w:spacing w:before="120" w:after="60"/>
          </w:pPr>
          <w:r>
            <w:t>II.6.1. Facteurs individuels</w:t>
          </w:r>
          <w:r>
            <w:tab/>
          </w:r>
          <w:r>
            <w:t>24</w:t>
          </w:r>
        </w:p>
        <w:p>
          <w:pPr>
            <w:pStyle w:val="Title"/>
            <w:ind w:left="720"/>
            <w:tabs>
              <w:tab w:val="right" w:leader="dot" w:pos="9026"/>
            </w:tabs>
            <w:spacing w:before="120" w:after="60"/>
          </w:pPr>
          <w:r>
            <w:t>II.6.2. Facteurs institutionnels</w:t>
          </w:r>
          <w:r>
            <w:tab/>
          </w:r>
          <w:r>
            <w:t>24</w:t>
          </w:r>
        </w:p>
        <w:p>
          <w:pPr>
            <w:pStyle w:val="Title"/>
            <w:ind w:left="720"/>
            <w:tabs>
              <w:tab w:val="right" w:leader="dot" w:pos="9026"/>
            </w:tabs>
            <w:spacing w:before="120" w:after="60"/>
          </w:pPr>
          <w:r>
            <w:t>II.6.3. Facteurs technologiques</w:t>
          </w:r>
          <w:r>
            <w:tab/>
          </w:r>
          <w:r>
            <w:t>24</w:t>
          </w:r>
        </w:p>
        <w:p>
          <w:pPr>
            <w:pStyle w:val="Title"/>
            <w:ind w:left="360"/>
            <w:tabs>
              <w:tab w:val="right" w:leader="dot" w:pos="9026"/>
            </w:tabs>
            <w:spacing w:before="120" w:after="60"/>
          </w:pPr>
          <w:r>
            <w:t>II.7. Approches économiques et sociologiques du plagiat</w:t>
          </w:r>
          <w:r>
            <w:tab/>
          </w:r>
          <w:r>
            <w:t>25</w:t>
          </w:r>
        </w:p>
        <w:p>
          <w:pPr>
            <w:pStyle w:val="Title"/>
            <w:ind w:left="720"/>
            <w:tabs>
              <w:tab w:val="right" w:leader="dot" w:pos="9026"/>
            </w:tabs>
            <w:spacing w:before="120" w:after="60"/>
          </w:pPr>
          <w:r>
            <w:t>II.7.1. Approche économique : le choix rationnel</w:t>
          </w:r>
          <w:r>
            <w:tab/>
          </w:r>
          <w:r>
            <w:t>25</w:t>
          </w:r>
        </w:p>
        <w:p>
          <w:pPr>
            <w:pStyle w:val="Title"/>
            <w:ind w:left="720"/>
            <w:tabs>
              <w:tab w:val="right" w:leader="dot" w:pos="9026"/>
            </w:tabs>
            <w:spacing w:before="120" w:after="60"/>
          </w:pPr>
          <w:r>
            <w:t>II.7.2. Approche sociologique : la déviance</w:t>
          </w:r>
          <w:r>
            <w:tab/>
          </w:r>
          <w:r>
            <w:t>25</w:t>
          </w:r>
        </w:p>
        <w:p>
          <w:pPr>
            <w:pStyle w:val="Title"/>
            <w:ind w:left="360"/>
            <w:tabs>
              <w:tab w:val="right" w:leader="dot" w:pos="9026"/>
            </w:tabs>
            <w:spacing w:before="120" w:after="60"/>
          </w:pPr>
          <w:r>
            <w:t>II.8. Conceptions du plagiat chez les étudiants</w:t>
          </w:r>
          <w:r>
            <w:tab/>
          </w:r>
          <w:r>
            <w:t>26</w:t>
          </w:r>
        </w:p>
        <w:p>
          <w:pPr>
            <w:pStyle w:val="Title"/>
            <w:ind w:left="360"/>
            <w:tabs>
              <w:tab w:val="right" w:leader="dot" w:pos="9026"/>
            </w:tabs>
            <w:spacing w:before="120" w:after="60"/>
          </w:pPr>
          <w:r>
            <w:t>II.9. Conséquences du plagiat</w:t>
          </w:r>
          <w:r>
            <w:tab/>
          </w:r>
          <w:r>
            <w:t>26</w:t>
          </w:r>
        </w:p>
        <w:p>
          <w:pPr>
            <w:pStyle w:val="Title"/>
            <w:ind w:left="360"/>
            <w:tabs>
              <w:tab w:val="right" w:leader="dot" w:pos="9026"/>
            </w:tabs>
            <w:spacing w:before="120" w:after="60"/>
          </w:pPr>
          <w:r>
            <w:t>II.10. Mesures de lutte contre le plagiat</w:t>
          </w:r>
          <w:r>
            <w:tab/>
          </w:r>
          <w:r>
            <w:t>27</w:t>
          </w:r>
        </w:p>
        <w:p>
          <w:pPr>
            <w:pStyle w:val="Title"/>
            <w:ind w:left="720"/>
            <w:tabs>
              <w:tab w:val="right" w:leader="dot" w:pos="9026"/>
            </w:tabs>
            <w:spacing w:before="120" w:after="60"/>
          </w:pPr>
          <w:r>
            <w:t>II.10.1. Mesures pédagogiques</w:t>
          </w:r>
          <w:r>
            <w:tab/>
          </w:r>
          <w:r>
            <w:t>27</w:t>
          </w:r>
        </w:p>
        <w:p>
          <w:pPr>
            <w:pStyle w:val="Title"/>
            <w:ind w:left="720"/>
            <w:tabs>
              <w:tab w:val="right" w:leader="dot" w:pos="9026"/>
            </w:tabs>
            <w:spacing w:before="120" w:after="60"/>
          </w:pPr>
          <w:r>
            <w:t>II.10.2. Mesures institutionnelles</w:t>
          </w:r>
          <w:r>
            <w:tab/>
          </w:r>
          <w:r>
            <w:t>27</w:t>
          </w:r>
        </w:p>
        <w:p>
          <w:pPr>
            <w:pStyle w:val="Title"/>
            <w:ind w:left="720"/>
            <w:tabs>
              <w:tab w:val="right" w:leader="dot" w:pos="9026"/>
            </w:tabs>
            <w:spacing w:before="120" w:after="60"/>
          </w:pPr>
          <w:r>
            <w:t>II.10.3. Mesures techniques</w:t>
          </w:r>
          <w:r>
            <w:tab/>
          </w:r>
          <w:r>
            <w:t>28</w:t>
          </w:r>
        </w:p>
        <w:p>
          <w:pPr>
            <w:pStyle w:val="Title"/>
            <w:ind w:left="360"/>
            <w:tabs>
              <w:tab w:val="right" w:leader="dot" w:pos="9026"/>
            </w:tabs>
            <w:spacing w:before="120" w:after="60"/>
          </w:pPr>
          <w:r>
            <w:t>II.11. Plagiat assisté par IA générative</w:t>
          </w:r>
          <w:r>
            <w:tab/>
          </w:r>
          <w:r>
            <w:t>28</w:t>
          </w:r>
        </w:p>
        <w:p>
          <w:pPr>
            <w:pStyle w:val="Title"/>
            <w:ind w:left="360"/>
            <w:tabs>
              <w:tab w:val="right" w:leader="dot" w:pos="9026"/>
            </w:tabs>
            <w:spacing w:before="120" w:after="60"/>
          </w:pPr>
          <w:r>
            <w:t>II.12. Techniques modernes de paraphrase automatique</w:t>
          </w:r>
          <w:r>
            <w:tab/>
          </w:r>
          <w:r>
            <w:t>28</w:t>
          </w:r>
        </w:p>
        <w:p>
          <w:pPr>
            <w:pStyle w:val="Title"/>
            <w:ind w:left="360"/>
            <w:tabs>
              <w:tab w:val="right" w:leader="dot" w:pos="9026"/>
            </w:tabs>
            <w:spacing w:before="120" w:after="60"/>
          </w:pPr>
          <w:r>
            <w:t>II.13. Limites des logiciels classiques</w:t>
          </w:r>
          <w:r>
            <w:tab/>
          </w:r>
          <w:r>
            <w:t>29</w:t>
          </w:r>
        </w:p>
        <w:p>
          <w:pPr>
            <w:pStyle w:val="Title"/>
            <w:ind w:left="360"/>
            <w:tabs>
              <w:tab w:val="right" w:leader="dot" w:pos="9026"/>
            </w:tabs>
            <w:spacing w:before="120" w:after="60"/>
          </w:pPr>
          <w:r>
            <w:t>II.14. Comparaison avec les plateformes modernes</w:t>
          </w:r>
          <w:r>
            <w:tab/>
          </w:r>
          <w:r>
            <w:t>30</w:t>
          </w:r>
        </w:p>
        <w:p>
          <w:pPr>
            <w:pStyle w:val="Title"/>
            <w:ind w:left="360"/>
            <w:tabs>
              <w:tab w:val="right" w:leader="dot" w:pos="9026"/>
            </w:tabs>
            <w:spacing w:before="120" w:after="60"/>
          </w:pPr>
          <w:r>
            <w:t>II.15. Conclusion</w:t>
          </w:r>
          <w:r>
            <w:tab/>
          </w:r>
          <w:r>
            <w:t>30</w:t>
          </w:r>
        </w:p>
        <w:p>
          <w:pPr>
            <w:pStyle w:val="Title"/>
            <w:tabs>
              <w:tab w:val="right" w:leader="dot" w:pos="9026"/>
            </w:tabs>
            <w:spacing w:before="120" w:after="60"/>
          </w:pPr>
          <w:r>
            <w:t>CHAPITRE III — CONCEPTION D'UNE PLATEFORME WEB INTELLIGENTE BASÉE SUR L'IA</w:t>
          </w:r>
          <w:r>
            <w:tab/>
          </w:r>
          <w:r>
            <w:t>31</w:t>
          </w:r>
        </w:p>
        <w:p>
          <w:pPr>
            <w:pStyle w:val="Title"/>
            <w:ind w:left="360"/>
            <w:tabs>
              <w:tab w:val="right" w:leader="dot" w:pos="9026"/>
            </w:tabs>
            <w:spacing w:before="120" w:after="60"/>
          </w:pPr>
          <w:r>
            <w:t>III.1. Introduction</w:t>
          </w:r>
          <w:r>
            <w:tab/>
          </w:r>
          <w:r>
            <w:t>31</w:t>
          </w:r>
        </w:p>
        <w:p>
          <w:pPr>
            <w:pStyle w:val="Title"/>
            <w:ind w:left="360"/>
            <w:tabs>
              <w:tab w:val="right" w:leader="dot" w:pos="9026"/>
            </w:tabs>
            <w:spacing w:before="120" w:after="60"/>
          </w:pPr>
          <w:r>
            <w:t>III.2. Présentation du cadre pilote : la Faculté des Sciences</w:t>
          </w:r>
          <w:r>
            <w:tab/>
          </w:r>
          <w:r>
            <w:t>31</w:t>
          </w:r>
        </w:p>
        <w:p>
          <w:pPr>
            <w:pStyle w:val="Title"/>
            <w:ind w:left="360"/>
            <w:tabs>
              <w:tab w:val="right" w:leader="dot" w:pos="9026"/>
            </w:tabs>
            <w:spacing w:before="120" w:after="60"/>
          </w:pPr>
          <w:r>
            <w:t>III.3. Analyse des besoins fonctionnels</w:t>
          </w:r>
          <w:r>
            <w:tab/>
          </w:r>
          <w:r>
            <w:t>32</w:t>
          </w:r>
        </w:p>
        <w:p>
          <w:pPr>
            <w:pStyle w:val="Title"/>
            <w:ind w:left="720"/>
            <w:tabs>
              <w:tab w:val="right" w:leader="dot" w:pos="9026"/>
            </w:tabs>
            <w:spacing w:before="120" w:after="60"/>
          </w:pPr>
          <w:r>
            <w:t>III.3.1. Gestion des utilisateurs et authentification</w:t>
          </w:r>
          <w:r>
            <w:tab/>
          </w:r>
          <w:r>
            <w:t>32</w:t>
          </w:r>
        </w:p>
        <w:p>
          <w:pPr>
            <w:pStyle w:val="Title"/>
            <w:ind w:left="720"/>
            <w:tabs>
              <w:tab w:val="right" w:leader="dot" w:pos="9026"/>
            </w:tabs>
            <w:spacing w:before="120" w:after="60"/>
          </w:pPr>
          <w:r>
            <w:t>III.3.2. Gestion académique</w:t>
          </w:r>
          <w:r>
            <w:tab/>
          </w:r>
          <w:r>
            <w:t>32</w:t>
          </w:r>
        </w:p>
        <w:p>
          <w:pPr>
            <w:pStyle w:val="Title"/>
            <w:ind w:left="720"/>
            <w:tabs>
              <w:tab w:val="right" w:leader="dot" w:pos="9026"/>
            </w:tabs>
            <w:spacing w:before="120" w:after="60"/>
          </w:pPr>
          <w:r>
            <w:t>III.3.3. Dépôt et gestion des travaux</w:t>
          </w:r>
          <w:r>
            <w:tab/>
          </w:r>
          <w:r>
            <w:t>32</w:t>
          </w:r>
        </w:p>
        <w:p>
          <w:pPr>
            <w:pStyle w:val="Title"/>
            <w:ind w:left="720"/>
            <w:tabs>
              <w:tab w:val="right" w:leader="dot" w:pos="9026"/>
            </w:tabs>
            <w:spacing w:before="120" w:after="60"/>
          </w:pPr>
          <w:r>
            <w:t>III.3.4. Analyse IA et détection</w:t>
          </w:r>
          <w:r>
            <w:tab/>
          </w:r>
          <w:r>
            <w:t>33</w:t>
          </w:r>
        </w:p>
        <w:p>
          <w:pPr>
            <w:pStyle w:val="Title"/>
            <w:ind w:left="720"/>
            <w:tabs>
              <w:tab w:val="right" w:leader="dot" w:pos="9026"/>
            </w:tabs>
            <w:spacing w:before="120" w:after="60"/>
          </w:pPr>
          <w:r>
            <w:t>III.3.5. Rapports et tableau de bord</w:t>
          </w:r>
          <w:r>
            <w:tab/>
          </w:r>
          <w:r>
            <w:t>34</w:t>
          </w:r>
        </w:p>
        <w:p>
          <w:pPr>
            <w:pStyle w:val="Title"/>
            <w:ind w:left="720"/>
            <w:tabs>
              <w:tab w:val="right" w:leader="dot" w:pos="9026"/>
            </w:tabs>
            <w:spacing w:before="120" w:after="60"/>
          </w:pPr>
          <w:r>
            <w:t>III.3.6. Historique et traçabilité</w:t>
          </w:r>
          <w:r>
            <w:tab/>
          </w:r>
          <w:r>
            <w:t>34</w:t>
          </w:r>
        </w:p>
        <w:p>
          <w:pPr>
            <w:pStyle w:val="Title"/>
            <w:ind w:left="360"/>
            <w:tabs>
              <w:tab w:val="right" w:leader="dot" w:pos="9026"/>
            </w:tabs>
            <w:spacing w:before="120" w:after="60"/>
          </w:pPr>
          <w:r>
            <w:t>III.4. Analyse des besoins non fonctionnels</w:t>
          </w:r>
          <w:r>
            <w:tab/>
          </w:r>
          <w:r>
            <w:t>34</w:t>
          </w:r>
        </w:p>
        <w:p>
          <w:pPr>
            <w:pStyle w:val="Title"/>
            <w:ind w:left="360"/>
            <w:tabs>
              <w:tab w:val="right" w:leader="dot" w:pos="9026"/>
            </w:tabs>
            <w:spacing w:before="120" w:after="60"/>
          </w:pPr>
          <w:r>
            <w:t>III.5. Architecture générale de la plateforme</w:t>
          </w:r>
          <w:r>
            <w:tab/>
          </w:r>
          <w:r>
            <w:t>35</w:t>
          </w:r>
        </w:p>
        <w:p>
          <w:pPr>
            <w:pStyle w:val="Title"/>
            <w:ind w:left="720"/>
            <w:tabs>
              <w:tab w:val="right" w:leader="dot" w:pos="9026"/>
            </w:tabs>
            <w:spacing w:before="120" w:after="60"/>
          </w:pPr>
          <w:r>
            <w:t>III.5.1. Couche présentation (frontend)</w:t>
          </w:r>
          <w:r>
            <w:tab/>
          </w:r>
          <w:r>
            <w:t>35</w:t>
          </w:r>
        </w:p>
        <w:p>
          <w:pPr>
            <w:pStyle w:val="Title"/>
            <w:ind w:left="720"/>
            <w:tabs>
              <w:tab w:val="right" w:leader="dot" w:pos="9026"/>
            </w:tabs>
            <w:spacing w:before="120" w:after="60"/>
          </w:pPr>
          <w:r>
            <w:t>III.5.2. Couche application (backend)</w:t>
          </w:r>
          <w:r>
            <w:tab/>
          </w:r>
          <w:r>
            <w:t>35</w:t>
          </w:r>
        </w:p>
        <w:p>
          <w:pPr>
            <w:pStyle w:val="Title"/>
            <w:ind w:left="720"/>
            <w:tabs>
              <w:tab w:val="right" w:leader="dot" w:pos="9026"/>
            </w:tabs>
            <w:spacing w:before="120" w:after="60"/>
          </w:pPr>
          <w:r>
            <w:t>III.5.3. Couche services IA</w:t>
          </w:r>
          <w:r>
            <w:tab/>
          </w:r>
          <w:r>
            <w:t>35</w:t>
          </w:r>
        </w:p>
        <w:p>
          <w:pPr>
            <w:pStyle w:val="Title"/>
            <w:ind w:left="720"/>
            <w:tabs>
              <w:tab w:val="right" w:leader="dot" w:pos="9026"/>
            </w:tabs>
            <w:spacing w:before="120" w:after="60"/>
          </w:pPr>
          <w:r>
            <w:t>III.5.4. Couche données</w:t>
          </w:r>
          <w:r>
            <w:tab/>
          </w:r>
          <w:r>
            <w:t>36</w:t>
          </w:r>
        </w:p>
        <w:p>
          <w:pPr>
            <w:pStyle w:val="Title"/>
            <w:ind w:left="360"/>
            <w:tabs>
              <w:tab w:val="right" w:leader="dot" w:pos="9026"/>
            </w:tabs>
            <w:spacing w:before="120" w:after="60"/>
          </w:pPr>
          <w:r>
            <w:t>III.6. Architecture modulaire</w:t>
          </w:r>
          <w:r>
            <w:tab/>
          </w:r>
          <w:r>
            <w:t>36</w:t>
          </w:r>
        </w:p>
        <w:p>
          <w:pPr>
            <w:pStyle w:val="Title"/>
            <w:ind w:left="360"/>
            <w:tabs>
              <w:tab w:val="right" w:leader="dot" w:pos="9026"/>
            </w:tabs>
            <w:spacing w:before="120" w:after="60"/>
          </w:pPr>
          <w:r>
            <w:t>III.7. Architecture multicouche universitaire</w:t>
          </w:r>
          <w:r>
            <w:tab/>
          </w:r>
          <w:r>
            <w:t>37</w:t>
          </w:r>
        </w:p>
        <w:p>
          <w:pPr>
            <w:pStyle w:val="Title"/>
            <w:ind w:left="360"/>
            <w:tabs>
              <w:tab w:val="right" w:leader="dot" w:pos="9026"/>
            </w:tabs>
            <w:spacing w:before="120" w:after="60"/>
          </w:pPr>
          <w:r>
            <w:t>III.8. Pipeline de traitement IA</w:t>
          </w:r>
          <w:r>
            <w:tab/>
          </w:r>
          <w:r>
            <w:t>38</w:t>
          </w:r>
        </w:p>
        <w:p>
          <w:pPr>
            <w:pStyle w:val="Title"/>
            <w:ind w:left="720"/>
            <w:tabs>
              <w:tab w:val="right" w:leader="dot" w:pos="9026"/>
            </w:tabs>
            <w:spacing w:before="120" w:after="60"/>
          </w:pPr>
          <w:r>
            <w:t>III.8.1. Soumission du document</w:t>
          </w:r>
          <w:r>
            <w:tab/>
          </w:r>
          <w:r>
            <w:t>38</w:t>
          </w:r>
        </w:p>
        <w:p>
          <w:pPr>
            <w:pStyle w:val="Title"/>
            <w:ind w:left="720"/>
            <w:tabs>
              <w:tab w:val="right" w:leader="dot" w:pos="9026"/>
            </w:tabs>
            <w:spacing w:before="120" w:after="60"/>
          </w:pPr>
          <w:r>
            <w:t>III.8.2. Extraction du texte</w:t>
          </w:r>
          <w:r>
            <w:tab/>
          </w:r>
          <w:r>
            <w:t>38</w:t>
          </w:r>
        </w:p>
        <w:p>
          <w:pPr>
            <w:pStyle w:val="Title"/>
            <w:ind w:left="720"/>
            <w:tabs>
              <w:tab w:val="right" w:leader="dot" w:pos="9026"/>
            </w:tabs>
            <w:spacing w:before="120" w:after="60"/>
          </w:pPr>
          <w:r>
            <w:t>III.8.3. Prétraitement NLP</w:t>
          </w:r>
          <w:r>
            <w:tab/>
          </w:r>
          <w:r>
            <w:t>38</w:t>
          </w:r>
        </w:p>
        <w:p>
          <w:pPr>
            <w:pStyle w:val="Title"/>
            <w:ind w:left="720"/>
            <w:tabs>
              <w:tab w:val="right" w:leader="dot" w:pos="9026"/>
            </w:tabs>
            <w:spacing w:before="120" w:after="60"/>
          </w:pPr>
          <w:r>
            <w:t>III.8.4. Génération des embeddings</w:t>
          </w:r>
          <w:r>
            <w:tab/>
          </w:r>
          <w:r>
            <w:t>39</w:t>
          </w:r>
        </w:p>
        <w:p>
          <w:pPr>
            <w:pStyle w:val="Title"/>
            <w:ind w:left="720"/>
            <w:tabs>
              <w:tab w:val="right" w:leader="dot" w:pos="9026"/>
            </w:tabs>
            <w:spacing w:before="120" w:after="60"/>
          </w:pPr>
          <w:r>
            <w:t>III.8.5. Recherche vectorielle</w:t>
          </w:r>
          <w:r>
            <w:tab/>
          </w:r>
          <w:r>
            <w:t>39</w:t>
          </w:r>
        </w:p>
        <w:p>
          <w:pPr>
            <w:pStyle w:val="Title"/>
            <w:ind w:left="720"/>
            <w:tabs>
              <w:tab w:val="right" w:leader="dot" w:pos="9026"/>
            </w:tabs>
            <w:spacing w:before="120" w:after="60"/>
          </w:pPr>
          <w:r>
            <w:t>III.8.6. Calcul de similarité</w:t>
          </w:r>
          <w:r>
            <w:tab/>
          </w:r>
          <w:r>
            <w:t>39</w:t>
          </w:r>
        </w:p>
        <w:p>
          <w:pPr>
            <w:pStyle w:val="Title"/>
            <w:ind w:left="720"/>
            <w:tabs>
              <w:tab w:val="right" w:leader="dot" w:pos="9026"/>
            </w:tabs>
            <w:spacing w:before="120" w:after="60"/>
          </w:pPr>
          <w:r>
            <w:t>III.8.7. Détection et classification</w:t>
          </w:r>
          <w:r>
            <w:tab/>
          </w:r>
          <w:r>
            <w:t>39</w:t>
          </w:r>
        </w:p>
        <w:p>
          <w:pPr>
            <w:pStyle w:val="Title"/>
            <w:ind w:left="720"/>
            <w:tabs>
              <w:tab w:val="right" w:leader="dot" w:pos="9026"/>
            </w:tabs>
            <w:spacing w:before="120" w:after="60"/>
          </w:pPr>
          <w:r>
            <w:t>III.8.8. Génération du rapport</w:t>
          </w:r>
          <w:r>
            <w:tab/>
          </w:r>
          <w:r>
            <w:t>40</w:t>
          </w:r>
        </w:p>
        <w:p>
          <w:pPr>
            <w:pStyle w:val="Title"/>
            <w:ind w:left="360"/>
            <w:tabs>
              <w:tab w:val="right" w:leader="dot" w:pos="9026"/>
            </w:tabs>
            <w:spacing w:before="120" w:after="60"/>
          </w:pPr>
          <w:r>
            <w:t>III.9. Base documentaire relationnelle</w:t>
          </w:r>
          <w:r>
            <w:tab/>
          </w:r>
          <w:r>
            <w:t>40</w:t>
          </w:r>
        </w:p>
        <w:p>
          <w:pPr>
            <w:pStyle w:val="Title"/>
            <w:ind w:left="360"/>
            <w:tabs>
              <w:tab w:val="right" w:leader="dot" w:pos="9026"/>
            </w:tabs>
            <w:spacing w:before="120" w:after="60"/>
          </w:pPr>
          <w:r>
            <w:t>III.10. Base vectorielle</w:t>
          </w:r>
          <w:r>
            <w:tab/>
          </w:r>
          <w:r>
            <w:t>40</w:t>
          </w:r>
        </w:p>
        <w:p>
          <w:pPr>
            <w:pStyle w:val="Title"/>
            <w:ind w:left="360"/>
            <w:tabs>
              <w:tab w:val="right" w:leader="dot" w:pos="9026"/>
            </w:tabs>
            <w:spacing w:before="120" w:after="60"/>
          </w:pPr>
          <w:r>
            <w:t>III.11. Conception de l'API REST</w:t>
          </w:r>
          <w:r>
            <w:tab/>
          </w:r>
          <w:r>
            <w:t>41</w:t>
          </w:r>
        </w:p>
        <w:p>
          <w:pPr>
            <w:pStyle w:val="Title"/>
            <w:ind w:left="360"/>
            <w:tabs>
              <w:tab w:val="right" w:leader="dot" w:pos="9026"/>
            </w:tabs>
            <w:spacing w:before="120" w:after="60"/>
          </w:pPr>
          <w:r>
            <w:t>III.12. Modélisation UML</w:t>
          </w:r>
          <w:r>
            <w:tab/>
          </w:r>
          <w:r>
            <w:t>42</w:t>
          </w:r>
        </w:p>
        <w:p>
          <w:pPr>
            <w:pStyle w:val="Title"/>
            <w:ind w:left="720"/>
            <w:tabs>
              <w:tab w:val="right" w:leader="dot" w:pos="9026"/>
            </w:tabs>
            <w:spacing w:before="120" w:after="60"/>
          </w:pPr>
          <w:r>
            <w:t>III.12.1. Diagramme de cas d'utilisation</w:t>
          </w:r>
          <w:r>
            <w:tab/>
          </w:r>
          <w:r>
            <w:t>42</w:t>
          </w:r>
        </w:p>
        <w:p>
          <w:pPr>
            <w:pStyle w:val="Title"/>
            <w:ind w:left="720"/>
            <w:tabs>
              <w:tab w:val="right" w:leader="dot" w:pos="9026"/>
            </w:tabs>
            <w:spacing w:before="120" w:after="60"/>
          </w:pPr>
          <w:r>
            <w:t>III.12.2. Diagramme de classes</w:t>
          </w:r>
          <w:r>
            <w:tab/>
          </w:r>
          <w:r>
            <w:t>42</w:t>
          </w:r>
        </w:p>
        <w:p>
          <w:pPr>
            <w:pStyle w:val="Title"/>
            <w:ind w:left="720"/>
            <w:tabs>
              <w:tab w:val="right" w:leader="dot" w:pos="9026"/>
            </w:tabs>
            <w:spacing w:before="120" w:after="60"/>
          </w:pPr>
          <w:r>
            <w:t>III.12.3. Diagramme de séquences</w:t>
          </w:r>
          <w:r>
            <w:tab/>
          </w:r>
          <w:r>
            <w:t>42</w:t>
          </w:r>
        </w:p>
        <w:p>
          <w:pPr>
            <w:pStyle w:val="Title"/>
            <w:ind w:left="360"/>
            <w:tabs>
              <w:tab w:val="right" w:leader="dot" w:pos="9026"/>
            </w:tabs>
            <w:spacing w:before="120" w:after="60"/>
          </w:pPr>
          <w:r>
            <w:t>III.13. Diagrammes d'architecture logicielle</w:t>
          </w:r>
          <w:r>
            <w:tab/>
          </w:r>
          <w:r>
            <w:t>42</w:t>
          </w:r>
        </w:p>
        <w:p>
          <w:pPr>
            <w:pStyle w:val="Title"/>
            <w:ind w:left="360"/>
            <w:tabs>
              <w:tab w:val="right" w:leader="dot" w:pos="9026"/>
            </w:tabs>
            <w:spacing w:before="120" w:after="60"/>
          </w:pPr>
          <w:r>
            <w:t>III.14. Conclusion</w:t>
          </w:r>
          <w:r>
            <w:tab/>
          </w:r>
          <w:r>
            <w:t>43</w:t>
          </w:r>
        </w:p>
        <w:p>
          <w:pPr>
            <w:pStyle w:val="Title"/>
            <w:tabs>
              <w:tab w:val="right" w:leader="dot" w:pos="9026"/>
            </w:tabs>
            <w:spacing w:before="120" w:after="60"/>
          </w:pPr>
          <w:r>
            <w:t>CHAPITRE IV — IMPLÉMENTATION, EXPÉRIMENTATION ET ÉVALUATION</w:t>
          </w:r>
          <w:r>
            <w:tab/>
          </w:r>
          <w:r>
            <w:t>43</w:t>
          </w:r>
        </w:p>
        <w:p>
          <w:pPr>
            <w:pStyle w:val="Title"/>
            <w:ind w:left="360"/>
            <w:tabs>
              <w:tab w:val="right" w:leader="dot" w:pos="9026"/>
            </w:tabs>
            <w:spacing w:before="120" w:after="60"/>
          </w:pPr>
          <w:r>
            <w:t>IV.1. Introduction</w:t>
          </w:r>
          <w:r>
            <w:tab/>
          </w:r>
          <w:r>
            <w:t>43</w:t>
          </w:r>
        </w:p>
        <w:p>
          <w:pPr>
            <w:pStyle w:val="Title"/>
            <w:ind w:left="360"/>
            <w:tabs>
              <w:tab w:val="right" w:leader="dot" w:pos="9026"/>
            </w:tabs>
            <w:spacing w:before="120" w:after="60"/>
          </w:pPr>
          <w:r>
            <w:t>IV.2. Stack technique</w:t>
          </w:r>
          <w:r>
            <w:tab/>
          </w:r>
          <w:r>
            <w:t>44</w:t>
          </w:r>
        </w:p>
        <w:p>
          <w:pPr>
            <w:pStyle w:val="Title"/>
            <w:ind w:left="360"/>
            <w:tabs>
              <w:tab w:val="right" w:leader="dot" w:pos="9026"/>
            </w:tabs>
            <w:spacing w:before="120" w:after="60"/>
          </w:pPr>
          <w:r>
            <w:t>IV.3. Architecture logicielle implémentée</w:t>
          </w:r>
          <w:r>
            <w:tab/>
          </w:r>
          <w:r>
            <w:t>44</w:t>
          </w:r>
        </w:p>
        <w:p>
          <w:pPr>
            <w:pStyle w:val="Title"/>
            <w:ind w:left="720"/>
            <w:tabs>
              <w:tab w:val="right" w:leader="dot" w:pos="9026"/>
            </w:tabs>
            <w:spacing w:before="120" w:after="60"/>
          </w:pPr>
          <w:r>
            <w:t>IV.3.1. Structure du projet</w:t>
          </w:r>
          <w:r>
            <w:tab/>
          </w:r>
          <w:r>
            <w:t>45</w:t>
          </w:r>
        </w:p>
        <w:p>
          <w:pPr>
            <w:pStyle w:val="Title"/>
            <w:ind w:left="720"/>
            <w:tabs>
              <w:tab w:val="right" w:leader="dot" w:pos="9026"/>
            </w:tabs>
            <w:spacing w:before="120" w:after="60"/>
          </w:pPr>
          <w:r>
            <w:t>IV.3.2. Architecture en couches</w:t>
          </w:r>
          <w:r>
            <w:tab/>
          </w:r>
          <w:r>
            <w:t>49</w:t>
          </w:r>
        </w:p>
        <w:p>
          <w:pPr>
            <w:pStyle w:val="Title"/>
            <w:ind w:left="360"/>
            <w:tabs>
              <w:tab w:val="right" w:leader="dot" w:pos="9026"/>
            </w:tabs>
            <w:spacing w:before="120" w:after="60"/>
          </w:pPr>
          <w:r>
            <w:t>IV.4. Authentification et contrôle d'accès</w:t>
          </w:r>
          <w:r>
            <w:tab/>
          </w:r>
          <w:r>
            <w:t>49</w:t>
          </w:r>
        </w:p>
        <w:p>
          <w:pPr>
            <w:pStyle w:val="Title"/>
            <w:ind w:left="360"/>
            <w:tabs>
              <w:tab w:val="right" w:leader="dot" w:pos="9026"/>
            </w:tabs>
            <w:spacing w:before="120" w:after="60"/>
          </w:pPr>
          <w:r>
            <w:t>IV.5. Back-office administrateur</w:t>
          </w:r>
          <w:r>
            <w:tab/>
          </w:r>
          <w:r>
            <w:t>54</w:t>
          </w:r>
        </w:p>
        <w:p>
          <w:pPr>
            <w:pStyle w:val="Title"/>
            <w:ind w:left="720"/>
            <w:tabs>
              <w:tab w:val="right" w:leader="dot" w:pos="9026"/>
            </w:tabs>
            <w:spacing w:before="120" w:after="60"/>
          </w:pPr>
          <w:r>
            <w:t>IV.5.1. Tableau de bord principal</w:t>
          </w:r>
          <w:r>
            <w:tab/>
          </w:r>
          <w:r>
            <w:t>54</w:t>
          </w:r>
        </w:p>
        <w:p>
          <w:pPr>
            <w:pStyle w:val="Title"/>
            <w:ind w:left="720"/>
            <w:tabs>
              <w:tab w:val="right" w:leader="dot" w:pos="9026"/>
            </w:tabs>
            <w:spacing w:before="120" w:after="60"/>
          </w:pPr>
          <w:r>
            <w:t>IV.5.2. Gestion des facultés</w:t>
          </w:r>
          <w:r>
            <w:tab/>
          </w:r>
          <w:r>
            <w:t>55</w:t>
          </w:r>
        </w:p>
        <w:p>
          <w:pPr>
            <w:pStyle w:val="Title"/>
            <w:ind w:left="720"/>
            <w:tabs>
              <w:tab w:val="right" w:leader="dot" w:pos="9026"/>
            </w:tabs>
            <w:spacing w:before="120" w:after="60"/>
          </w:pPr>
          <w:r>
            <w:t>IV.5.3. Gestion des utilisateurs</w:t>
          </w:r>
          <w:r>
            <w:tab/>
          </w:r>
          <w:r>
            <w:t>55</w:t>
          </w:r>
        </w:p>
        <w:p>
          <w:pPr>
            <w:pStyle w:val="Title"/>
            <w:ind w:left="720"/>
            <w:tabs>
              <w:tab w:val="right" w:leader="dot" w:pos="9026"/>
            </w:tabs>
            <w:spacing w:before="120" w:after="60"/>
          </w:pPr>
          <w:r>
            <w:t>IV.5.4. Gestion des documents</w:t>
          </w:r>
          <w:r>
            <w:tab/>
          </w:r>
          <w:r>
            <w:t>56</w:t>
          </w:r>
        </w:p>
        <w:p>
          <w:pPr>
            <w:pStyle w:val="Title"/>
            <w:ind w:left="360"/>
            <w:tabs>
              <w:tab w:val="right" w:leader="dot" w:pos="9026"/>
            </w:tabs>
            <w:spacing w:before="120" w:after="60"/>
          </w:pPr>
          <w:r>
            <w:t>IV.6. Moteur IA de détection du plagiat</w:t>
          </w:r>
          <w:r>
            <w:tab/>
          </w:r>
          <w:r>
            <w:t>56</w:t>
          </w:r>
        </w:p>
        <w:p>
          <w:pPr>
            <w:pStyle w:val="Title"/>
            <w:ind w:left="720"/>
            <w:tabs>
              <w:tab w:val="right" w:leader="dot" w:pos="9026"/>
            </w:tabs>
            <w:spacing w:before="120" w:after="60"/>
          </w:pPr>
          <w:r>
            <w:t>IV.6.1. Architecture du moteur</w:t>
          </w:r>
          <w:r>
            <w:tab/>
          </w:r>
          <w:r>
            <w:t>56</w:t>
          </w:r>
        </w:p>
        <w:p>
          <w:pPr>
            <w:pStyle w:val="Title"/>
            <w:ind w:left="720"/>
            <w:tabs>
              <w:tab w:val="right" w:leader="dot" w:pos="9026"/>
            </w:tabs>
            <w:spacing w:before="120" w:after="60"/>
          </w:pPr>
          <w:r>
            <w:t>IV.6.2. Prétraitement NLP</w:t>
          </w:r>
          <w:r>
            <w:tab/>
          </w:r>
          <w:r>
            <w:t>57</w:t>
          </w:r>
        </w:p>
        <w:p>
          <w:pPr>
            <w:pStyle w:val="Title"/>
            <w:ind w:left="720"/>
            <w:tabs>
              <w:tab w:val="right" w:leader="dot" w:pos="9026"/>
            </w:tabs>
            <w:spacing w:before="120" w:after="60"/>
          </w:pPr>
          <w:r>
            <w:t>IV.6.3. Vectorisation TF-IDF</w:t>
          </w:r>
          <w:r>
            <w:tab/>
          </w:r>
          <w:r>
            <w:t>59</w:t>
          </w:r>
        </w:p>
        <w:p>
          <w:pPr>
            <w:pStyle w:val="Title"/>
            <w:ind w:left="720"/>
            <w:tabs>
              <w:tab w:val="right" w:leader="dot" w:pos="9026"/>
            </w:tabs>
            <w:spacing w:before="120" w:after="60"/>
          </w:pPr>
          <w:r>
            <w:t>IV.6.4. Similarité et classification</w:t>
          </w:r>
          <w:r>
            <w:tab/>
          </w:r>
          <w:r>
            <w:t>62</w:t>
          </w:r>
        </w:p>
        <w:p>
          <w:pPr>
            <w:pStyle w:val="Title"/>
            <w:ind w:left="720"/>
            <w:tabs>
              <w:tab w:val="right" w:leader="dot" w:pos="9026"/>
            </w:tabs>
            <w:spacing w:before="120" w:after="60"/>
          </w:pPr>
          <w:r>
            <w:t>IV.6.5. Page supervision des analyses</w:t>
          </w:r>
          <w:r>
            <w:tab/>
          </w:r>
          <w:r>
            <w:t>62</w:t>
          </w:r>
        </w:p>
        <w:p>
          <w:pPr>
            <w:pStyle w:val="Title"/>
            <w:ind w:left="360"/>
            <w:tabs>
              <w:tab w:val="right" w:leader="dot" w:pos="9026"/>
            </w:tabs>
            <w:spacing w:before="120" w:after="60"/>
          </w:pPr>
          <w:r>
            <w:t>IV.7. Visualisation des résultats d'analyse</w:t>
          </w:r>
          <w:r>
            <w:tab/>
          </w:r>
          <w:r>
            <w:t>63</w:t>
          </w:r>
        </w:p>
        <w:p>
          <w:pPr>
            <w:pStyle w:val="Title"/>
            <w:ind w:left="360"/>
            <w:tabs>
              <w:tab w:val="right" w:leader="dot" w:pos="9026"/>
            </w:tabs>
            <w:spacing w:before="120" w:after="60"/>
          </w:pPr>
          <w:r>
            <w:t>IV.8. Génération automatique de rapports PDF</w:t>
          </w:r>
          <w:r>
            <w:tab/>
          </w:r>
          <w:r>
            <w:t>63</w:t>
          </w:r>
        </w:p>
        <w:p>
          <w:pPr>
            <w:pStyle w:val="Title"/>
            <w:ind w:left="360"/>
            <w:tabs>
              <w:tab w:val="right" w:leader="dot" w:pos="9026"/>
            </w:tabs>
            <w:spacing w:before="120" w:after="60"/>
          </w:pPr>
          <w:r>
            <w:t>IV.9. Journal d'audit et paramètres système</w:t>
          </w:r>
          <w:r>
            <w:tab/>
          </w:r>
          <w:r>
            <w:t>64</w:t>
          </w:r>
        </w:p>
        <w:p>
          <w:pPr>
            <w:pStyle w:val="Title"/>
            <w:ind w:left="360"/>
            <w:tabs>
              <w:tab w:val="right" w:leader="dot" w:pos="9026"/>
            </w:tabs>
            <w:spacing w:before="120" w:after="60"/>
          </w:pPr>
          <w:r>
            <w:t>IV.10. Expérimentation sur corpus pilote</w:t>
          </w:r>
          <w:r>
            <w:tab/>
          </w:r>
          <w:r>
            <w:t>65</w:t>
          </w:r>
        </w:p>
        <w:p>
          <w:pPr>
            <w:pStyle w:val="Title"/>
            <w:ind w:left="720"/>
            <w:tabs>
              <w:tab w:val="right" w:leader="dot" w:pos="9026"/>
            </w:tabs>
            <w:spacing w:before="120" w:after="60"/>
          </w:pPr>
          <w:r>
            <w:t>IV.10.1. Constitution du corpus pilote</w:t>
          </w:r>
          <w:r>
            <w:tab/>
          </w:r>
          <w:r>
            <w:t>65</w:t>
          </w:r>
        </w:p>
        <w:p>
          <w:pPr>
            <w:pStyle w:val="Title"/>
            <w:ind w:left="720"/>
            <w:tabs>
              <w:tab w:val="right" w:leader="dot" w:pos="9026"/>
            </w:tabs>
            <w:spacing w:before="120" w:after="60"/>
          </w:pPr>
          <w:r>
            <w:t>IV.10.2. Protocole d'évaluation</w:t>
          </w:r>
          <w:r>
            <w:tab/>
          </w:r>
          <w:r>
            <w:t>65</w:t>
          </w:r>
        </w:p>
        <w:p>
          <w:pPr>
            <w:pStyle w:val="Title"/>
            <w:ind w:left="720"/>
            <w:tabs>
              <w:tab w:val="right" w:leader="dot" w:pos="9026"/>
            </w:tabs>
            <w:spacing w:before="120" w:after="60"/>
          </w:pPr>
          <w:r>
            <w:t>IV.10.3. Résultats quantitatifs</w:t>
          </w:r>
          <w:r>
            <w:tab/>
          </w:r>
          <w:r>
            <w:t>66</w:t>
          </w:r>
        </w:p>
        <w:p>
          <w:pPr>
            <w:pStyle w:val="Title"/>
            <w:ind w:left="720"/>
            <w:tabs>
              <w:tab w:val="right" w:leader="dot" w:pos="9026"/>
            </w:tabs>
            <w:spacing w:before="120" w:after="60"/>
          </w:pPr>
          <w:r>
            <w:t>IV.10.4. Analyse détaillée par document</w:t>
          </w:r>
          <w:r>
            <w:tab/>
          </w:r>
          <w:r>
            <w:t>67</w:t>
          </w:r>
        </w:p>
        <w:p>
          <w:pPr>
            <w:pStyle w:val="Title"/>
            <w:ind w:left="720"/>
            <w:tabs>
              <w:tab w:val="right" w:leader="dot" w:pos="9026"/>
            </w:tabs>
            <w:spacing w:before="120" w:after="60"/>
          </w:pPr>
          <w:r>
            <w:t>IV.10.5. Analyse des correspondances détectées</w:t>
          </w:r>
          <w:r>
            <w:tab/>
          </w:r>
          <w:r>
            <w:t>67</w:t>
          </w:r>
        </w:p>
        <w:p>
          <w:pPr>
            <w:pStyle w:val="Title"/>
            <w:ind w:left="360"/>
            <w:tabs>
              <w:tab w:val="right" w:leader="dot" w:pos="9026"/>
            </w:tabs>
            <w:spacing w:before="120" w:after="60"/>
          </w:pPr>
          <w:r>
            <w:t>IV.11. Performances et scalabilité</w:t>
          </w:r>
          <w:r>
            <w:tab/>
          </w:r>
          <w:r>
            <w:t>68</w:t>
          </w:r>
        </w:p>
        <w:p>
          <w:pPr>
            <w:pStyle w:val="Title"/>
            <w:ind w:left="360"/>
            <w:tabs>
              <w:tab w:val="right" w:leader="dot" w:pos="9026"/>
            </w:tabs>
            <w:spacing w:before="120" w:after="60"/>
          </w:pPr>
          <w:r>
            <w:t>IV.12. Limites observées</w:t>
          </w:r>
          <w:r>
            <w:tab/>
          </w:r>
          <w:r>
            <w:t>69</w:t>
          </w:r>
        </w:p>
        <w:p>
          <w:pPr>
            <w:pStyle w:val="Title"/>
            <w:ind w:left="360"/>
            <w:tabs>
              <w:tab w:val="right" w:leader="dot" w:pos="9026"/>
            </w:tabs>
            <w:spacing w:before="120" w:after="60"/>
          </w:pPr>
          <w:r>
            <w:t>IV.13. Conclusion</w:t>
          </w:r>
          <w:r>
            <w:tab/>
          </w:r>
          <w:r>
            <w:t>69</w:t>
          </w:r>
        </w:p>
        <w:p>
          <w:pPr>
            <w:pStyle w:val="Title"/>
            <w:tabs>
              <w:tab w:val="right" w:leader="dot" w:pos="9026"/>
            </w:tabs>
            <w:spacing w:before="120" w:after="60"/>
          </w:pPr>
          <w:r>
            <w:t>CONCLUSION GÉNÉRALE</w:t>
          </w:r>
          <w:r>
            <w:tab/>
          </w:r>
          <w:r>
            <w:t>70</w:t>
          </w:r>
        </w:p>
        <w:p>
          <w:pPr>
            <w:pStyle w:val="Title"/>
            <w:ind w:left="360"/>
            <w:tabs>
              <w:tab w:val="right" w:leader="dot" w:pos="9026"/>
            </w:tabs>
            <w:spacing w:before="120" w:after="60"/>
          </w:pPr>
          <w:r>
            <w:t>Résultats obtenus</w:t>
          </w:r>
          <w:r>
            <w:tab/>
          </w:r>
          <w:r>
            <w:t>70</w:t>
          </w:r>
        </w:p>
        <w:p>
          <w:pPr>
            <w:pStyle w:val="Title"/>
            <w:ind w:left="360"/>
            <w:tabs>
              <w:tab w:val="right" w:leader="dot" w:pos="9026"/>
            </w:tabs>
            <w:spacing w:before="120" w:after="60"/>
          </w:pPr>
          <w:r>
            <w:t>Limites du travail</w:t>
          </w:r>
          <w:r>
            <w:tab/>
          </w:r>
          <w:r>
            <w:t>71</w:t>
          </w:r>
        </w:p>
        <w:p>
          <w:pPr>
            <w:pStyle w:val="Title"/>
            <w:ind w:left="360"/>
            <w:tabs>
              <w:tab w:val="right" w:leader="dot" w:pos="9026"/>
            </w:tabs>
            <w:spacing w:before="120" w:after="60"/>
          </w:pPr>
          <w:r>
            <w:t>Perspectives</w:t>
          </w:r>
          <w:r>
            <w:tab/>
          </w:r>
          <w:r>
            <w:t>72</w:t>
          </w:r>
        </w:p>
        <w:p>
          <w:pPr>
            <w:pStyle w:val="Title"/>
            <w:ind w:left="720"/>
            <w:tabs>
              <w:tab w:val="right" w:leader="dot" w:pos="9026"/>
            </w:tabs>
            <w:spacing w:before="120" w:after="60"/>
          </w:pPr>
          <w:r>
            <w:t>Extension à l'échelle nationale</w:t>
          </w:r>
          <w:r>
            <w:tab/>
          </w:r>
          <w:r>
            <w:t>72</w:t>
          </w:r>
        </w:p>
        <w:p>
          <w:pPr>
            <w:pStyle w:val="Title"/>
            <w:ind w:left="720"/>
            <w:tabs>
              <w:tab w:val="right" w:leader="dot" w:pos="9026"/>
            </w:tabs>
            <w:spacing w:before="120" w:after="60"/>
          </w:pPr>
          <w:r>
            <w:t>Amélioration de la détection</w:t>
          </w:r>
          <w:r>
            <w:tab/>
          </w:r>
          <w:r>
            <w:t>72</w:t>
          </w:r>
        </w:p>
        <w:p>
          <w:pPr>
            <w:pStyle w:val="Title"/>
            <w:ind w:left="720"/>
            <w:tabs>
              <w:tab w:val="right" w:leader="dot" w:pos="9026"/>
            </w:tabs>
            <w:spacing w:before="120" w:after="60"/>
          </w:pPr>
          <w:r>
            <w:t>Enrichissement fonctionnel de la plateforme</w:t>
          </w:r>
          <w:r>
            <w:tab/>
          </w:r>
          <w:r>
            <w:t>73</w:t>
          </w:r>
        </w:p>
        <w:p>
          <w:pPr>
            <w:pStyle w:val="Title"/>
            <w:ind w:left="720"/>
            <w:tabs>
              <w:tab w:val="right" w:leader="dot" w:pos="9026"/>
            </w:tabs>
            <w:spacing w:before="120" w:after="60"/>
          </w:pPr>
          <w:r>
            <w:t>Recherche et publication</w:t>
          </w:r>
          <w:r>
            <w:tab/>
          </w:r>
          <w:r>
            <w:t>73</w:t>
          </w:r>
        </w:p>
        <w:p>
          <w:pPr>
            <w:pStyle w:val="Title"/>
            <w:ind w:left="360"/>
            <w:tabs>
              <w:tab w:val="right" w:leader="dot" w:pos="9026"/>
            </w:tabs>
            <w:spacing w:before="120" w:after="60"/>
          </w:pPr>
          <w:r>
            <w:t>Perspectives IA : vers un écosystème universitaire intelligent</w:t>
          </w:r>
          <w:r>
            <w:tab/>
          </w:r>
          <w:r>
            <w:t>73</w:t>
          </w:r>
        </w:p>
        <w:p>
          <w:pPr>
            <w:pStyle w:val="Title"/>
            <w:ind w:left="720"/>
            <w:tabs>
              <w:tab w:val="right" w:leader="dot" w:pos="9026"/>
            </w:tabs>
            <w:spacing w:before="120" w:after="60"/>
          </w:pPr>
          <w:r>
            <w:t>Détection du plagiat par IA générative</w:t>
          </w:r>
          <w:r>
            <w:tab/>
          </w:r>
          <w:r>
            <w:t>73</w:t>
          </w:r>
        </w:p>
        <w:p>
          <w:pPr>
            <w:pStyle w:val="Title"/>
            <w:ind w:left="720"/>
            <w:tabs>
              <w:tab w:val="right" w:leader="dot" w:pos="9026"/>
            </w:tabs>
            <w:spacing w:before="120" w:after="60"/>
          </w:pPr>
          <w:r>
            <w:t>Correction automatique des citations</w:t>
          </w:r>
          <w:r>
            <w:tab/>
          </w:r>
          <w:r>
            <w:t>74</w:t>
          </w:r>
        </w:p>
        <w:p>
          <w:pPr>
            <w:pStyle w:val="Title"/>
            <w:ind w:left="720"/>
            <w:tabs>
              <w:tab w:val="right" w:leader="dot" w:pos="9026"/>
            </w:tabs>
            <w:spacing w:before="120" w:after="60"/>
          </w:pPr>
          <w:r>
            <w:t>Suggestion de reformulation</w:t>
          </w:r>
          <w:r>
            <w:tab/>
          </w:r>
          <w:r>
            <w:t>74</w:t>
          </w:r>
        </w:p>
        <w:p>
          <w:pPr>
            <w:pStyle w:val="Title"/>
            <w:ind w:left="720"/>
            <w:tabs>
              <w:tab w:val="right" w:leader="dot" w:pos="9026"/>
            </w:tabs>
            <w:spacing w:before="120" w:after="60"/>
          </w:pPr>
          <w:r>
            <w:t>Assistant de rédaction scientifique</w:t>
          </w:r>
          <w:r>
            <w:tab/>
          </w:r>
          <w:r>
            <w:t>74</w:t>
          </w:r>
        </w:p>
        <w:p>
          <w:pPr>
            <w:pStyle w:val="Title"/>
            <w:ind w:left="720"/>
            <w:tabs>
              <w:tab w:val="right" w:leader="dot" w:pos="9026"/>
            </w:tabs>
            <w:spacing w:before="120" w:after="60"/>
          </w:pPr>
          <w:r>
            <w:t>Index national des mémoires</w:t>
          </w:r>
          <w:r>
            <w:tab/>
          </w:r>
          <w:r>
            <w:t>74</w:t>
          </w:r>
        </w:p>
        <w:p>
          <w:pPr>
            <w:pStyle w:val="Title"/>
            <w:ind w:left="720"/>
            <w:tabs>
              <w:tab w:val="right" w:leader="dot" w:pos="9026"/>
            </w:tabs>
            <w:spacing w:before="120" w:after="60"/>
          </w:pPr>
          <w:r>
            <w:t>Détection interuniversitaire du plagiat</w:t>
          </w:r>
          <w:r>
            <w:tab/>
          </w:r>
          <w:r>
            <w:t>75</w:t>
          </w:r>
        </w:p>
        <w:p>
          <w:pPr>
            <w:pStyle w:val="Title"/>
            <w:tabs>
              <w:tab w:val="right" w:leader="dot" w:pos="9026"/>
            </w:tabs>
            <w:spacing w:before="120" w:after="60"/>
          </w:pPr>
          <w:r>
            <w:t>BIBLIOGRAPHIE</w:t>
          </w:r>
          <w:r>
            <w:tab/>
          </w:r>
          <w:r>
            <w:t>75</w:t>
          </w:r>
        </w:p>
        <w:p>
          <w:pPr>
            <w:pStyle w:val="Title"/>
            <w:ind w:left="360"/>
            <w:tabs>
              <w:tab w:val="right" w:leader="dot" w:pos="9026"/>
            </w:tabs>
            <w:spacing w:before="120" w:after="60"/>
          </w:pPr>
          <w:r>
            <w:t>Ouvrages et manuels</w:t>
          </w:r>
          <w:r>
            <w:tab/>
          </w:r>
          <w:r>
            <w:t>75</w:t>
          </w:r>
        </w:p>
        <w:p>
          <w:pPr>
            <w:pStyle w:val="Title"/>
            <w:ind w:left="360"/>
            <w:tabs>
              <w:tab w:val="right" w:leader="dot" w:pos="9026"/>
            </w:tabs>
            <w:spacing w:before="120" w:after="60"/>
          </w:pPr>
          <w:r>
            <w:t>Articles et publications scientifiques</w:t>
          </w:r>
          <w:r>
            <w:tab/>
          </w:r>
          <w:r>
            <w:t>76</w:t>
          </w:r>
        </w:p>
        <w:p>
          <w:pPr>
            <w:pStyle w:val="Title"/>
            <w:ind w:left="360"/>
            <w:tabs>
              <w:tab w:val="right" w:leader="dot" w:pos="9026"/>
            </w:tabs>
            <w:spacing w:before="120" w:after="60"/>
          </w:pPr>
          <w:r>
            <w:t>Documentation technique</w:t>
          </w:r>
          <w:r>
            <w:tab/>
          </w:r>
          <w:r>
            <w:t>80</w:t>
          </w:r>
        </w:p>
        <w:p>
          <w:pPr>
            <w:pStyle w:val="Title"/>
            <w:ind w:left="360"/>
            <w:tabs>
              <w:tab w:val="right" w:leader="dot" w:pos="9026"/>
            </w:tabs>
            <w:spacing w:before="120" w:after="60"/>
          </w:pPr>
          <w:r>
            <w:t>Sources académiques et institutionnelles</w:t>
          </w:r>
          <w:r>
            <w:tab/>
          </w:r>
          <w:r>
            <w:t>81</w:t>
          </w:r>
        </w:p>
        <w:p>
          <w:pPr>
            <w:pStyle w:val="Title"/>
            <w:ind w:left="360"/>
            <w:tabs>
              <w:tab w:val="right" w:leader="dot" w:pos="9026"/>
            </w:tabs>
            <w:spacing w:before="120" w:after="60"/>
          </w:pPr>
          <w:r>
            <w:t>Ressources en ligne</w:t>
          </w:r>
          <w:r>
            <w:tab/>
          </w:r>
          <w:r>
            <w:t>82</w:t>
          </w:r>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spacing w:after="600" w:before="3600" w:line="480"/>
        <w:jc w:val="center"/>
      </w:pPr>
      <w:r>
        <w:rPr>
          <w:rFonts w:ascii="Times New Roman" w:eastAsia="SimHei"/>
          <w:b/>
          <w:bCs/>
          <w:color w:val="000000"/>
          <w:sz w:val="36"/>
          <w:szCs w:val="36"/>
        </w:rPr>
        <w:t xml:space="preserve">ÉPIGRAPHE</w:t>
      </w:r>
    </w:p>
    <w:p>
      <w:pPr>
        <w:spacing w:after="800"/>
      </w:pPr>
    </w:p>
    <w:p>
      <w:pPr>
        <w:spacing w:after="400" w:line="400"/>
        <w:jc w:val="center"/>
      </w:pPr>
      <w:r>
        <w:rPr>
          <w:rFonts w:ascii="Times New Roman" w:eastAsia="SimSun"/>
          <w:i/>
          <w:iCs/>
          <w:color w:val="333333"/>
          <w:sz w:val="28"/>
          <w:szCs w:val="28"/>
        </w:rPr>
        <w:t xml:space="preserve">« Il n'y a pas de raccourci pour atteindre le sommet,</w:t>
      </w:r>
    </w:p>
    <w:p>
      <w:pPr>
        <w:spacing w:after="400" w:line="400"/>
        <w:jc w:val="center"/>
      </w:pPr>
      <w:r>
        <w:rPr>
          <w:rFonts w:ascii="Times New Roman" w:eastAsia="SimSun"/>
          <w:i/>
          <w:iCs/>
          <w:color w:val="333333"/>
          <w:sz w:val="28"/>
          <w:szCs w:val="28"/>
        </w:rPr>
        <w:t xml:space="preserve">mais il y a qu'un ressort qui est le sacrifice ».</w:t>
      </w:r>
    </w:p>
    <w:p>
      <w:pPr>
        <w:spacing w:after="200" w:before="600" w:line="360"/>
        <w:jc w:val="center"/>
      </w:pPr>
      <w:r>
        <w:rPr>
          <w:rFonts w:ascii="Times New Roman" w:eastAsia="SimSun"/>
          <w:color w:val="666666"/>
          <w:sz w:val="24"/>
          <w:szCs w:val="24"/>
        </w:rPr>
        <w:t xml:space="preserve">— Westlepenseur</w:t>
      </w:r>
    </w:p>
    <w:p>
      <w:r>
        <w:br w:type="page"/>
      </w:r>
    </w:p>
    <w:p>
      <w:pPr>
        <w:spacing w:after="800" w:before="2400" w:line="480"/>
        <w:jc w:val="center"/>
      </w:pPr>
      <w:r>
        <w:rPr>
          <w:rFonts w:ascii="Times New Roman" w:eastAsia="SimHei"/>
          <w:b/>
          <w:bCs/>
          <w:color w:val="000000"/>
          <w:sz w:val="36"/>
          <w:szCs w:val="36"/>
        </w:rPr>
        <w:t xml:space="preserve">DÉDICACE</w:t>
      </w:r>
    </w:p>
    <w:p>
      <w:pPr>
        <w:spacing w:after="0" w:line="360"/>
        <w:ind w:firstLine="480"/>
        <w:jc w:val="both"/>
      </w:pPr>
      <w:r>
        <w:rPr>
          <w:rFonts w:ascii="Times New Roman" w:eastAsia="SimSun"/>
          <w:color w:val="000000"/>
          <w:sz w:val="24"/>
          <w:szCs w:val="24"/>
        </w:rPr>
        <w:t xml:space="preserve">À Dieu tout puissant, pour le souffle de vie, l'intelligence et la sagesse, vos précieux dons que je ne cesserai d'implorer de me gratifier,</w:t>
      </w:r>
    </w:p>
    <w:p>
      <w:pPr>
        <w:spacing w:after="0" w:line="360"/>
        <w:ind w:firstLine="480"/>
        <w:jc w:val="both"/>
      </w:pPr>
      <w:r>
        <w:rPr>
          <w:rFonts w:ascii="Times New Roman" w:eastAsia="SimSun"/>
          <w:color w:val="000000"/>
          <w:sz w:val="24"/>
          <w:szCs w:val="24"/>
        </w:rPr>
        <w:t xml:space="preserve">À mon père chéri Damien TSHIBANGU TSHA SHIBAY et à ma très chère mère Thérèse NGOMBA MWAMBA, qui se sont donnés beaucoup de peines, en me soutenant totalement,</w:t>
      </w:r>
    </w:p>
    <w:p>
      <w:pPr>
        <w:spacing w:after="0" w:line="360"/>
        <w:ind w:firstLine="480"/>
        <w:jc w:val="both"/>
      </w:pPr>
      <w:r>
        <w:rPr>
          <w:rFonts w:ascii="Times New Roman" w:eastAsia="SimSun"/>
          <w:color w:val="000000"/>
          <w:sz w:val="24"/>
          <w:szCs w:val="24"/>
        </w:rPr>
        <w:t xml:space="preserve">À mes frères et sœurs,</w:t>
      </w:r>
    </w:p>
    <w:p>
      <w:pPr>
        <w:spacing w:after="0" w:line="360"/>
        <w:ind w:firstLine="480"/>
        <w:jc w:val="both"/>
      </w:pPr>
      <w:r>
        <w:rPr>
          <w:rFonts w:ascii="Times New Roman" w:eastAsia="SimSun"/>
          <w:color w:val="000000"/>
          <w:sz w:val="24"/>
          <w:szCs w:val="24"/>
        </w:rPr>
        <w:t xml:space="preserve">À mes oncles et tantes,</w:t>
      </w:r>
    </w:p>
    <w:p>
      <w:pPr>
        <w:spacing w:after="0" w:line="360"/>
        <w:ind w:firstLine="480"/>
        <w:jc w:val="both"/>
      </w:pPr>
      <w:r>
        <w:rPr>
          <w:rFonts w:ascii="Times New Roman" w:eastAsia="SimSun"/>
          <w:color w:val="000000"/>
          <w:sz w:val="24"/>
          <w:szCs w:val="24"/>
        </w:rPr>
        <w:t xml:space="preserve">À mes cousins et cousines,</w:t>
      </w:r>
    </w:p>
    <w:p>
      <w:pPr>
        <w:spacing w:after="0" w:line="360"/>
        <w:ind w:firstLine="480"/>
        <w:jc w:val="both"/>
      </w:pPr>
      <w:r>
        <w:rPr>
          <w:rFonts w:ascii="Times New Roman" w:eastAsia="SimSun"/>
          <w:color w:val="000000"/>
          <w:sz w:val="24"/>
          <w:szCs w:val="24"/>
        </w:rPr>
        <w:t xml:space="preserve">À tous ceux de près ou de loin m'ont aidé.</w:t>
      </w:r>
    </w:p>
    <w:p>
      <w:pPr>
        <w:spacing w:after="0" w:line="360"/>
        <w:ind w:firstLine="480"/>
        <w:jc w:val="both"/>
      </w:pPr>
      <w:r>
        <w:rPr>
          <w:rFonts w:ascii="Times New Roman" w:eastAsia="SimSun"/>
          <w:color w:val="000000"/>
          <w:sz w:val="24"/>
          <w:szCs w:val="24"/>
        </w:rPr>
        <w:t xml:space="preserve">Je vous dédie ce travail en particulier à ma très chère mère qui ne sait pas fatiguer de m'encourager.</w:t>
      </w:r>
    </w:p>
    <w:p>
      <w:r>
        <w:br w:type="page"/>
      </w:r>
    </w:p>
    <w:p>
      <w:pPr>
        <w:spacing w:after="600" w:before="1200" w:line="480"/>
        <w:jc w:val="center"/>
      </w:pPr>
      <w:r>
        <w:rPr>
          <w:rFonts w:ascii="Times New Roman" w:eastAsia="SimHei"/>
          <w:b/>
          <w:bCs/>
          <w:color w:val="000000"/>
          <w:sz w:val="36"/>
          <w:szCs w:val="36"/>
        </w:rPr>
        <w:t xml:space="preserve">AVANT-PROPOS</w:t>
      </w:r>
    </w:p>
    <w:p>
      <w:pPr>
        <w:spacing w:after="0" w:line="360"/>
        <w:ind w:firstLine="480"/>
        <w:jc w:val="both"/>
      </w:pPr>
      <w:r>
        <w:rPr>
          <w:rFonts w:ascii="Times New Roman" w:eastAsia="SimSun"/>
          <w:color w:val="000000"/>
          <w:sz w:val="24"/>
          <w:szCs w:val="24"/>
        </w:rPr>
        <w:t xml:space="preserve">Ce travail sanctionne la fin du deuxième cycle à l'Université de Kinshasa, plus particulièrement à la Faculté des Sciences au Département de Mathématiques et Informatique. De ce fait, qu'il nous soit permis d'exprimer notre gratitude à tous ceux qui de loin ou de près nous ont assistés tant moralement que matériellement dans l'élaboration de ce travail.</w:t>
      </w:r>
    </w:p>
    <w:p>
      <w:pPr>
        <w:spacing w:after="0" w:line="360"/>
        <w:ind w:firstLine="480"/>
        <w:jc w:val="both"/>
      </w:pPr>
      <w:r>
        <w:rPr>
          <w:rFonts w:ascii="Times New Roman" w:eastAsia="SimSun"/>
          <w:color w:val="000000"/>
          <w:sz w:val="24"/>
          <w:szCs w:val="24"/>
        </w:rPr>
        <w:t xml:space="preserve">Nos plus grands remerciements vont à l'endroit du Professeur KASORO MULENDA Nathanaël qui a accepté de diriger ce travail depuis l'imagination de l'auteur jusqu'à la réalisation de cette œuvre avec un maximum d'attention, et cela malgré ses nombreuses occupations.</w:t>
      </w:r>
    </w:p>
    <w:p>
      <w:pPr>
        <w:spacing w:after="0" w:line="360"/>
        <w:ind w:firstLine="480"/>
        <w:jc w:val="both"/>
      </w:pPr>
      <w:r>
        <w:rPr>
          <w:rFonts w:ascii="Times New Roman" w:eastAsia="SimSun"/>
          <w:color w:val="000000"/>
          <w:sz w:val="24"/>
          <w:szCs w:val="24"/>
        </w:rPr>
        <w:t xml:space="preserve">Nos remerciements s'adressent également à tous les professeurs de la Faculté des Sciences, en particuliers du Département de Mathématiques et Informatique, pour leurs enseignements de qualité dont nous sommes bénéficiaires aujourd'hui.</w:t>
      </w:r>
    </w:p>
    <w:p>
      <w:pPr>
        <w:spacing w:after="0" w:line="360"/>
        <w:ind w:firstLine="480"/>
        <w:jc w:val="both"/>
      </w:pPr>
      <w:r>
        <w:rPr>
          <w:rFonts w:ascii="Times New Roman" w:eastAsia="SimSun"/>
          <w:color w:val="000000"/>
          <w:sz w:val="24"/>
          <w:szCs w:val="24"/>
        </w:rPr>
        <w:t xml:space="preserve">Nous nous souvenons de tous nos compagnons de lutte et collègues : JOEL KISASA WINAS, NATHAN LUSANGA, SERGE NGANGU KAHUSU, DJODJO LUYINDULA MAVAMBU, ERIC MOKE ZONO, JEAN DE DIEU NSIMBA, qui ont partagé la même vivacité que moi.</w:t>
      </w:r>
    </w:p>
    <w:p>
      <w:pPr>
        <w:spacing w:after="0" w:line="360"/>
        <w:ind w:firstLine="480"/>
        <w:jc w:val="both"/>
      </w:pPr>
      <w:r>
        <w:rPr>
          <w:rFonts w:ascii="Times New Roman" w:eastAsia="SimSun"/>
          <w:color w:val="000000"/>
          <w:sz w:val="24"/>
          <w:szCs w:val="24"/>
        </w:rPr>
        <w:t xml:space="preserve">Nos remerciements s'adressent aussi à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Notre père Damien TSHIBANGU SHA-TSHIBAY et à notre mère Thérèse NGOMBA MWAMBA pour m'avoir inculqué cette vérité que dans les études il y a un trésor caché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frères EMMANUEL KAZADI TSIBANGU, AARON MWAMBA TSHIBANGU, JOSEPH MUSASA TSHIBANGU, ELIE TSHIBANGU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cousins et cousines Olivier Ilunga, Nathan Ilunga Kazadi, Glody Ilunga Kazadi, Manace, Kerene Musasa, Nicklette Kabeya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oncles et tante : oncle Elie Tshibanda, oncle Samba, oncle Laurent, oncle Patrick, tantine Yvonne Musasa, tantine Angèle, tantine Julie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Les amis et connaissances : Jérôme Samine, Alphonse Kabasele, Jean Jacques Lukusa, Christian Batiya Di Umba, Ben Tshikoji, Cedrick Nkonde.</w:t>
      </w:r>
    </w:p>
    <w:p>
      <w:r>
        <w:br w:type="page"/>
      </w:r>
    </w:p>
    <w:p>
      <w:pPr>
        <w:pStyle w:val="Heading1"/>
        <w:spacing w:after="360" w:before="480" w:line="360"/>
        <w:jc w:val="center"/>
      </w:pPr>
      <w:bookmarkStart w:id="100000" w:name="_Toc100000"/>
      <w:r>
        <w:rPr>
          <w:rFonts w:ascii="Times New Roman" w:eastAsia="SimHei"/>
          <w:b/>
          <w:bCs/>
          <w:color w:val="000000"/>
          <w:sz w:val="32"/>
          <w:szCs w:val="32"/>
        </w:rPr>
        <w:t xml:space="preserve">LISTE DES FIGURES</w:t>
      </w:r>
      <w:bookmarkEnd w:id="100000"/>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Figure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multicouche universitaire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connexion de la plateforme PlagiatIA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 administrateur principal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facultés (CRUD complet)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des travaux académiques déposés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supervision des analyses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détail d'un document avec résultats d'analyse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 PDF imprimable généré automatiquement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des métriques de performance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Matrices de confusion des deux approches</w:t>
            </w:r>
          </w:p>
        </w:tc>
      </w:tr>
    </w:tbl>
    <w:p>
      <w:pPr>
        <w:spacing w:line="360"/>
      </w:pPr>
    </w:p>
    <w:p>
      <w:r>
        <w:br w:type="page"/>
      </w:r>
    </w:p>
    <w:p>
      <w:pPr>
        <w:pStyle w:val="Heading1"/>
        <w:spacing w:after="360" w:before="480" w:line="360"/>
        <w:jc w:val="center"/>
      </w:pPr>
      <w:bookmarkStart w:id="100001" w:name="_Toc100001"/>
      <w:r>
        <w:rPr>
          <w:rFonts w:ascii="Times New Roman" w:eastAsia="SimHei"/>
          <w:b/>
          <w:bCs/>
          <w:color w:val="000000"/>
          <w:sz w:val="32"/>
          <w:szCs w:val="32"/>
        </w:rPr>
        <w:t xml:space="preserve">LISTE DES TABLEAUX</w:t>
      </w:r>
      <w:bookmarkEnd w:id="100001"/>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Tableau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modèles d'embeddings vectoriels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Évolution des approches de détection automatique du plagiat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Typologie des principaux types de plagiat académique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entre plateformes anti-plagiat existantes et solution proposée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Exigences non fonctionnelles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Modules fonctionnels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Responsabilités par couche de l'architecture multicouche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endpoints de l'API REST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Stack technique effectivement mise en œuvre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Composition du corpus pilote étendu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de l'évaluation quantitative (13 documents)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détaillés par document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Détail des correspondances détectées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Performances mesurées sur l'environnement de démonstration</w:t>
            </w:r>
          </w:p>
        </w:tc>
      </w:tr>
    </w:tbl>
    <w:p>
      <w:pPr>
        <w:spacing w:line="360"/>
      </w:pPr>
    </w:p>
    <w:p>
      <w:r>
        <w:br w:type="page"/>
      </w:r>
    </w:p>
    <w:p>
      <w:pPr>
        <w:pStyle w:val="Heading1"/>
        <w:spacing w:after="360" w:before="480" w:line="360"/>
        <w:jc w:val="center"/>
      </w:pPr>
      <w:bookmarkStart w:id="100002" w:name="_Toc100002"/>
      <w:r>
        <w:rPr>
          <w:rFonts w:ascii="Times New Roman" w:eastAsia="SimHei"/>
          <w:b/>
          <w:bCs/>
          <w:color w:val="000000"/>
          <w:sz w:val="32"/>
          <w:szCs w:val="32"/>
        </w:rPr>
        <w:t xml:space="preserve">LISTE DES ABRÉVIATIONS</w:t>
      </w:r>
      <w:bookmarkEnd w:id="100002"/>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Abréviation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AI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Artificial Intelligence / Intelligence Artificielle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Application Programming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Area Under the Curve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Bidirectional Encoder Representations from Transformers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CRISP-DM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Cross-Industry Standard Process for Data Mining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Deep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Web Token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Machine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Logique des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 TALN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Natural Language Processing / Traitement Automatique du Langage Naturel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Optical Character Recognition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Role-Based Access Control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Representational State Transfer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Term Frequency - Inverse Document Frequency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de Cycle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d'Études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TTR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Type-Token Ratio</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Unified Modeling Language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UNIKIN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 de Kinshasa</w:t>
            </w:r>
          </w:p>
        </w:tc>
      </w:tr>
    </w:tbl>
    <w:p>
      <w:pPr>
        <w:spacing w:line="360"/>
      </w:pPr>
    </w:p>
    <w:p>
      <w:r>
        <w:br w:type="page"/>
      </w:r>
    </w:p>
    <w:p>
      <w:pPr>
        <w:pStyle w:val="Heading1"/>
        <w:spacing w:after="360" w:before="480" w:line="360"/>
        <w:jc w:val="center"/>
      </w:pPr>
      <w:bookmarkStart w:id="100003" w:name="_Toc100003"/>
      <w:r>
        <w:rPr>
          <w:rFonts w:ascii="Times New Roman" w:eastAsia="SimHei"/>
          <w:b/>
          <w:bCs/>
          <w:color w:val="000000"/>
          <w:sz w:val="32"/>
          <w:szCs w:val="32"/>
        </w:rPr>
        <w:t xml:space="preserve">INTRODUCTION GÉNÉRALE</w:t>
      </w:r>
      <w:bookmarkEnd w:id="100003"/>
    </w:p>
    <w:p>
      <w:pPr>
        <w:pStyle w:val="Heading2"/>
        <w:spacing w:after="240" w:before="360" w:line="360"/>
      </w:pPr>
      <w:bookmarkStart w:id="100004" w:name="_Toc100004"/>
      <w:r>
        <w:rPr>
          <w:rFonts w:ascii="Times New Roman" w:eastAsia="SimHei"/>
          <w:b/>
          <w:bCs/>
          <w:color w:val="000000"/>
          <w:sz w:val="30"/>
          <w:szCs w:val="30"/>
        </w:rPr>
        <w:t xml:space="preserve">I.1. Préambule</w:t>
      </w:r>
      <w:bookmarkEnd w:id="100004"/>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web basée sur l'Intelligence Artificielle pour la détection automatique du plagiat dans les travaux académiques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de l'Université de Kinshasa servira de cadre pilote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comme l'un de ses services.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5" w:name="_Toc100005"/>
      <w:r>
        <w:rPr>
          <w:rFonts w:ascii="Times New Roman" w:eastAsia="SimHei"/>
          <w:b/>
          <w:bCs/>
          <w:color w:val="000000"/>
          <w:sz w:val="30"/>
          <w:szCs w:val="30"/>
        </w:rPr>
        <w:t xml:space="preserve">I.2. Problématique</w:t>
      </w:r>
      <w:bookmarkEnd w:id="100005"/>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web basée sur les techniques modernes d'Intelligence Artificielle, notamment les embeddings vectoriels et la similarité sémantique, permettrait-il d'améliorer significativement la détection automatique du plagiat dans les travaux académiques à la Faculté des Sciences de l'Université de Kinshasa, tout en posant les bases d'une solution extensible à l'ensemble du système universitaire national ?</w:t>
      </w:r>
    </w:p>
    <w:p>
      <w:pPr>
        <w:pStyle w:val="Heading2"/>
        <w:spacing w:after="240" w:before="360" w:line="360"/>
      </w:pPr>
      <w:bookmarkStart w:id="100006" w:name="_Toc100006"/>
      <w:r>
        <w:rPr>
          <w:rFonts w:ascii="Times New Roman" w:eastAsia="SimHei"/>
          <w:b/>
          <w:bCs/>
          <w:color w:val="000000"/>
          <w:sz w:val="30"/>
          <w:szCs w:val="30"/>
        </w:rPr>
        <w:t xml:space="preserve">I.3. Hypothèse du travail</w:t>
      </w:r>
      <w:bookmarkEnd w:id="100006"/>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7" w:name="_Toc100007"/>
      <w:r>
        <w:rPr>
          <w:rFonts w:ascii="Times New Roman" w:eastAsia="SimHei"/>
          <w:b/>
          <w:bCs/>
          <w:color w:val="000000"/>
          <w:sz w:val="30"/>
          <w:szCs w:val="30"/>
        </w:rPr>
        <w:t xml:space="preserve">I.4. Choix et intérêt du sujet</w:t>
      </w:r>
      <w:bookmarkEnd w:id="100007"/>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8" w:name="_Toc100008"/>
      <w:r>
        <w:rPr>
          <w:rFonts w:ascii="Times New Roman" w:eastAsia="SimHei"/>
          <w:b/>
          <w:bCs/>
          <w:color w:val="000000"/>
          <w:sz w:val="30"/>
          <w:szCs w:val="30"/>
        </w:rPr>
        <w:t xml:space="preserve">I.5. Délimitation du sujet</w:t>
      </w:r>
      <w:bookmarkEnd w:id="100008"/>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9" w:name="_Toc100009"/>
      <w:r>
        <w:rPr>
          <w:rFonts w:ascii="Times New Roman" w:eastAsia="SimHei"/>
          <w:b/>
          <w:bCs/>
          <w:color w:val="000000"/>
          <w:sz w:val="28"/>
          <w:szCs w:val="28"/>
        </w:rPr>
        <w:t xml:space="preserve">I.5.1. Délimitation dans le temps</w:t>
      </w:r>
      <w:bookmarkEnd w:id="100009"/>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au cours des cinq dernières années académiques, afin de disposer d'un volume suffisant pour évaluer les performances du système dans des conditions réelles.</w:t>
      </w:r>
    </w:p>
    <w:p>
      <w:pPr>
        <w:pStyle w:val="Heading3"/>
        <w:spacing w:after="120" w:before="240" w:line="360"/>
      </w:pPr>
      <w:bookmarkStart w:id="100010" w:name="_Toc100010"/>
      <w:r>
        <w:rPr>
          <w:rFonts w:ascii="Times New Roman" w:eastAsia="SimHei"/>
          <w:b/>
          <w:bCs/>
          <w:color w:val="000000"/>
          <w:sz w:val="28"/>
          <w:szCs w:val="28"/>
        </w:rPr>
        <w:t xml:space="preserve">I.5.2. Délimitation dans l'espace</w:t>
      </w:r>
      <w:bookmarkEnd w:id="100010"/>
    </w:p>
    <w:p>
      <w:pPr>
        <w:spacing w:after="0" w:line="360"/>
        <w:ind w:firstLine="480"/>
        <w:jc w:val="both"/>
      </w:pPr>
      <w:r>
        <w:rPr>
          <w:rFonts w:ascii="Times New Roman" w:eastAsia="SimSun"/>
          <w:color w:val="000000"/>
          <w:sz w:val="24"/>
          <w:szCs w:val="24"/>
        </w:rPr>
        <w:t xml:space="preserve">Sur le plan spatial, le travail prend la Faculté des Sciences de l'Université de Kinshasa comme cadre pilote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11" w:name="_Toc100011"/>
      <w:r>
        <w:rPr>
          <w:rFonts w:ascii="Times New Roman" w:eastAsia="SimHei"/>
          <w:b/>
          <w:bCs/>
          <w:color w:val="000000"/>
          <w:sz w:val="28"/>
          <w:szCs w:val="28"/>
        </w:rPr>
        <w:t xml:space="preserve">I.5.3. Délimitation du contenu</w:t>
      </w:r>
      <w:bookmarkEnd w:id="100011"/>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12" w:name="_Toc100012"/>
      <w:r>
        <w:rPr>
          <w:rFonts w:ascii="Times New Roman" w:eastAsia="SimHei"/>
          <w:b/>
          <w:bCs/>
          <w:color w:val="000000"/>
          <w:sz w:val="30"/>
          <w:szCs w:val="30"/>
        </w:rPr>
        <w:t xml:space="preserve">I.6. Méthodes et techniques utilisées</w:t>
      </w:r>
      <w:bookmarkEnd w:id="100012"/>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3" w:name="_Toc100013"/>
      <w:r>
        <w:rPr>
          <w:rFonts w:ascii="Times New Roman" w:eastAsia="SimHei"/>
          <w:b/>
          <w:bCs/>
          <w:color w:val="000000"/>
          <w:sz w:val="28"/>
          <w:szCs w:val="28"/>
        </w:rPr>
        <w:t xml:space="preserve">I.6.1. Méthodes d'analyse et de conception</w:t>
      </w:r>
      <w:bookmarkEnd w:id="100013"/>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4" w:name="_Toc100014"/>
      <w:r>
        <w:rPr>
          <w:rFonts w:ascii="Times New Roman" w:eastAsia="SimHei"/>
          <w:b/>
          <w:bCs/>
          <w:color w:val="000000"/>
          <w:sz w:val="28"/>
          <w:szCs w:val="28"/>
        </w:rPr>
        <w:t xml:space="preserve">I.6.2. Méthodologie data science : CRISP-DM</w:t>
      </w:r>
      <w:bookmarkEnd w:id="100014"/>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5" w:name="_Toc100015"/>
      <w:r>
        <w:rPr>
          <w:rFonts w:ascii="Times New Roman" w:eastAsia="SimHei"/>
          <w:b/>
          <w:bCs/>
          <w:color w:val="000000"/>
          <w:sz w:val="28"/>
          <w:szCs w:val="28"/>
        </w:rPr>
        <w:t xml:space="preserve">I.6.3. Techniques de collecte de données</w:t>
      </w:r>
      <w:bookmarkEnd w:id="100015"/>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6" w:name="_Toc100016"/>
      <w:r>
        <w:rPr>
          <w:rFonts w:ascii="Times New Roman" w:eastAsia="SimHei"/>
          <w:b/>
          <w:bCs/>
          <w:color w:val="000000"/>
          <w:sz w:val="28"/>
          <w:szCs w:val="28"/>
        </w:rPr>
        <w:t xml:space="preserve">I.6.4. Techniques d'évaluation</w:t>
      </w:r>
      <w:bookmarkEnd w:id="100016"/>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7" w:name="_Toc100017"/>
      <w:r>
        <w:rPr>
          <w:rFonts w:ascii="Times New Roman" w:eastAsia="SimHei"/>
          <w:b/>
          <w:bCs/>
          <w:color w:val="000000"/>
          <w:sz w:val="30"/>
          <w:szCs w:val="30"/>
        </w:rPr>
        <w:t xml:space="preserve">I.7. Subdivision du travail</w:t>
      </w:r>
      <w:bookmarkEnd w:id="100017"/>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w:t>
      </w:r>
    </w:p>
    <w:p>
      <w:r>
        <w:br w:type="page"/>
      </w:r>
    </w:p>
    <w:p>
      <w:pPr>
        <w:pStyle w:val="Heading1"/>
        <w:spacing w:after="360" w:before="480" w:line="360"/>
        <w:jc w:val="center"/>
      </w:pPr>
      <w:bookmarkStart w:id="100018" w:name="_Toc100018"/>
      <w:r>
        <w:rPr>
          <w:rFonts w:ascii="Times New Roman" w:eastAsia="SimHei"/>
          <w:b/>
          <w:bCs/>
          <w:color w:val="000000"/>
          <w:sz w:val="32"/>
          <w:szCs w:val="32"/>
        </w:rPr>
        <w:t xml:space="preserve">CHAPITRE I — FONDEMENTS DE L'INTELLIGENCE ARTIFICIELLE APPLIQUÉE À LA DÉTECTION AUTOMATIQUE DU PLAGIAT</w:t>
      </w:r>
      <w:bookmarkEnd w:id="100018"/>
    </w:p>
    <w:p>
      <w:pPr>
        <w:pStyle w:val="Heading2"/>
        <w:spacing w:after="240" w:before="360" w:line="360"/>
      </w:pPr>
      <w:bookmarkStart w:id="100019" w:name="_Toc100019"/>
      <w:r>
        <w:rPr>
          <w:rFonts w:ascii="Times New Roman" w:eastAsia="SimHei"/>
          <w:b/>
          <w:bCs/>
          <w:color w:val="000000"/>
          <w:sz w:val="30"/>
          <w:szCs w:val="30"/>
        </w:rPr>
        <w:t xml:space="preserve">I.1. Introduction</w:t>
      </w:r>
      <w:bookmarkEnd w:id="100019"/>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20" w:name="_Toc100020"/>
      <w:r>
        <w:rPr>
          <w:rFonts w:ascii="Times New Roman" w:eastAsia="SimHei"/>
          <w:b/>
          <w:bCs/>
          <w:color w:val="000000"/>
          <w:sz w:val="30"/>
          <w:szCs w:val="30"/>
        </w:rPr>
        <w:t xml:space="preserve">I.2. Intelligence Artificielle : définition et évolution</w:t>
      </w:r>
      <w:bookmarkEnd w:id="100020"/>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21" w:name="_Toc100021"/>
      <w:r>
        <w:rPr>
          <w:rFonts w:ascii="Times New Roman" w:eastAsia="SimHei"/>
          <w:b/>
          <w:bCs/>
          <w:color w:val="000000"/>
          <w:sz w:val="30"/>
          <w:szCs w:val="30"/>
        </w:rPr>
        <w:t xml:space="preserve">I.3. Machine Learning</w:t>
      </w:r>
      <w:bookmarkEnd w:id="100021"/>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22" w:name="_Toc100022"/>
      <w:r>
        <w:rPr>
          <w:rFonts w:ascii="Times New Roman" w:eastAsia="SimHei"/>
          <w:b/>
          <w:bCs/>
          <w:color w:val="000000"/>
          <w:sz w:val="30"/>
          <w:szCs w:val="30"/>
        </w:rPr>
        <w:t xml:space="preserve">I.4. Deep Learning</w:t>
      </w:r>
      <w:bookmarkEnd w:id="100022"/>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3" w:name="_Toc100023"/>
      <w:r>
        <w:rPr>
          <w:rFonts w:ascii="Times New Roman" w:eastAsia="SimHei"/>
          <w:b/>
          <w:bCs/>
          <w:color w:val="000000"/>
          <w:sz w:val="30"/>
          <w:szCs w:val="30"/>
        </w:rPr>
        <w:t xml:space="preserve">I.5. Traitement Automatique du Langage Naturel (NLP)</w:t>
      </w:r>
      <w:bookmarkEnd w:id="100023"/>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4" w:name="_Toc100024"/>
      <w:r>
        <w:rPr>
          <w:rFonts w:ascii="Times New Roman" w:eastAsia="SimHei"/>
          <w:b/>
          <w:bCs/>
          <w:color w:val="000000"/>
          <w:sz w:val="30"/>
          <w:szCs w:val="30"/>
        </w:rPr>
        <w:t xml:space="preserve">I.6. Embeddings vectoriels</w:t>
      </w:r>
      <w:bookmarkEnd w:id="100024"/>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5" w:name="_Toc100025"/>
      <w:r>
        <w:rPr>
          <w:rFonts w:ascii="Times New Roman" w:eastAsia="SimHei"/>
          <w:b/>
          <w:bCs/>
          <w:color w:val="000000"/>
          <w:sz w:val="30"/>
          <w:szCs w:val="30"/>
        </w:rPr>
        <w:t xml:space="preserve">I.7. Similarité cosinus et métriques de distance</w:t>
      </w:r>
      <w:bookmarkEnd w:id="100025"/>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6" w:name="_Toc100026"/>
      <w:r>
        <w:rPr>
          <w:rFonts w:ascii="Times New Roman" w:eastAsia="SimHei"/>
          <w:b/>
          <w:bCs/>
          <w:color w:val="000000"/>
          <w:sz w:val="30"/>
          <w:szCs w:val="30"/>
        </w:rPr>
        <w:t xml:space="preserve">I.8. Recherche vectorielle</w:t>
      </w:r>
      <w:bookmarkEnd w:id="100026"/>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7" w:name="_Toc100027"/>
      <w:r>
        <w:rPr>
          <w:rFonts w:ascii="Times New Roman" w:eastAsia="SimHei"/>
          <w:b/>
          <w:bCs/>
          <w:color w:val="000000"/>
          <w:sz w:val="30"/>
          <w:szCs w:val="30"/>
        </w:rPr>
        <w:t xml:space="preserve">I.9. IA générative et grands modèles de langage</w:t>
      </w:r>
      <w:bookmarkEnd w:id="100027"/>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8" w:name="_Toc100028"/>
      <w:r>
        <w:rPr>
          <w:rFonts w:ascii="Times New Roman" w:eastAsia="SimHei"/>
          <w:b/>
          <w:bCs/>
          <w:color w:val="000000"/>
          <w:sz w:val="30"/>
          <w:szCs w:val="30"/>
        </w:rPr>
        <w:t xml:space="preserve">I.10. État de l'art de la détection automatique du plagiat par IA</w:t>
      </w:r>
      <w:bookmarkEnd w:id="100028"/>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9" w:name="_Toc100029"/>
      <w:r>
        <w:rPr>
          <w:rFonts w:ascii="Times New Roman" w:eastAsia="SimHei"/>
          <w:b/>
          <w:bCs/>
          <w:color w:val="000000"/>
          <w:sz w:val="30"/>
          <w:szCs w:val="30"/>
        </w:rPr>
        <w:t xml:space="preserve">I.11. Conclusion</w:t>
      </w:r>
      <w:bookmarkEnd w:id="100029"/>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30" w:name="_Toc100030"/>
      <w:r>
        <w:rPr>
          <w:rFonts w:ascii="Times New Roman" w:eastAsia="SimHei"/>
          <w:b/>
          <w:bCs/>
          <w:color w:val="000000"/>
          <w:sz w:val="32"/>
          <w:szCs w:val="32"/>
        </w:rPr>
        <w:t xml:space="preserve">CHAPITRE II — ÉTAT DE L'ART DU PLAGIAT ACADÉMIQUE ET ANALYSE DES BESOINS</w:t>
      </w:r>
      <w:bookmarkEnd w:id="100030"/>
    </w:p>
    <w:p>
      <w:pPr>
        <w:pStyle w:val="Heading2"/>
        <w:spacing w:after="240" w:before="360" w:line="360"/>
      </w:pPr>
      <w:bookmarkStart w:id="100031" w:name="_Toc100031"/>
      <w:r>
        <w:rPr>
          <w:rFonts w:ascii="Times New Roman" w:eastAsia="SimHei"/>
          <w:b/>
          <w:bCs/>
          <w:color w:val="000000"/>
          <w:sz w:val="30"/>
          <w:szCs w:val="30"/>
        </w:rPr>
        <w:t xml:space="preserve">II.1. Introduction</w:t>
      </w:r>
      <w:bookmarkEnd w:id="100031"/>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32" w:name="_Toc100032"/>
      <w:r>
        <w:rPr>
          <w:rFonts w:ascii="Times New Roman" w:eastAsia="SimHei"/>
          <w:b/>
          <w:bCs/>
          <w:color w:val="000000"/>
          <w:sz w:val="30"/>
          <w:szCs w:val="30"/>
        </w:rPr>
        <w:t xml:space="preserve">II.2. Définition du plagiat</w:t>
      </w:r>
      <w:bookmarkEnd w:id="100032"/>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3" w:name="_Toc100033"/>
      <w:r>
        <w:rPr>
          <w:rFonts w:ascii="Times New Roman" w:eastAsia="SimHei"/>
          <w:b/>
          <w:bCs/>
          <w:color w:val="000000"/>
          <w:sz w:val="30"/>
          <w:szCs w:val="30"/>
        </w:rPr>
        <w:t xml:space="preserve">II.3. Quelques domaines du plagiat</w:t>
      </w:r>
      <w:bookmarkEnd w:id="100033"/>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4" w:name="_Toc100034"/>
      <w:r>
        <w:rPr>
          <w:rFonts w:ascii="Times New Roman" w:eastAsia="SimHei"/>
          <w:b/>
          <w:bCs/>
          <w:color w:val="000000"/>
          <w:sz w:val="28"/>
          <w:szCs w:val="28"/>
        </w:rPr>
        <w:t xml:space="preserve">II.3.1. Dans les sciences</w:t>
      </w:r>
      <w:bookmarkEnd w:id="100034"/>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5" w:name="_Toc100035"/>
      <w:r>
        <w:rPr>
          <w:rFonts w:ascii="Times New Roman" w:eastAsia="SimHei"/>
          <w:b/>
          <w:bCs/>
          <w:color w:val="000000"/>
          <w:sz w:val="28"/>
          <w:szCs w:val="28"/>
        </w:rPr>
        <w:t xml:space="preserve">II.3.2. Dans le journalisme</w:t>
      </w:r>
      <w:bookmarkEnd w:id="100035"/>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6" w:name="_Toc100036"/>
      <w:r>
        <w:rPr>
          <w:rFonts w:ascii="Times New Roman" w:eastAsia="SimHei"/>
          <w:b/>
          <w:bCs/>
          <w:color w:val="000000"/>
          <w:sz w:val="28"/>
          <w:szCs w:val="28"/>
        </w:rPr>
        <w:t xml:space="preserve">II.3.3. Dans la littérature et les arts</w:t>
      </w:r>
      <w:bookmarkEnd w:id="100036"/>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7" w:name="_Toc100037"/>
      <w:r>
        <w:rPr>
          <w:rFonts w:ascii="Times New Roman" w:eastAsia="SimHei"/>
          <w:b/>
          <w:bCs/>
          <w:color w:val="000000"/>
          <w:sz w:val="28"/>
          <w:szCs w:val="28"/>
        </w:rPr>
        <w:t xml:space="preserve">II.3.4. Dans le monde académique</w:t>
      </w:r>
      <w:bookmarkEnd w:id="100037"/>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8" w:name="_Toc100038"/>
      <w:r>
        <w:rPr>
          <w:rFonts w:ascii="Times New Roman" w:eastAsia="SimHei"/>
          <w:b/>
          <w:bCs/>
          <w:color w:val="000000"/>
          <w:sz w:val="30"/>
          <w:szCs w:val="30"/>
        </w:rPr>
        <w:t xml:space="preserve">II.4. Types de plagiat</w:t>
      </w:r>
      <w:bookmarkEnd w:id="100038"/>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9" w:name="_Toc100039"/>
      <w:r>
        <w:rPr>
          <w:rFonts w:ascii="Times New Roman" w:eastAsia="SimHei"/>
          <w:b/>
          <w:bCs/>
          <w:color w:val="000000"/>
          <w:sz w:val="30"/>
          <w:szCs w:val="30"/>
        </w:rPr>
        <w:t xml:space="preserve">II.5. Détection automatique du plagiat</w:t>
      </w:r>
      <w:bookmarkEnd w:id="100039"/>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40" w:name="_Toc100040"/>
      <w:r>
        <w:rPr>
          <w:rFonts w:ascii="Times New Roman" w:eastAsia="SimHei"/>
          <w:b/>
          <w:bCs/>
          <w:color w:val="000000"/>
          <w:sz w:val="30"/>
          <w:szCs w:val="30"/>
        </w:rPr>
        <w:t xml:space="preserve">II.6. Causes et facteurs du plagiat académique</w:t>
      </w:r>
      <w:bookmarkEnd w:id="100040"/>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41" w:name="_Toc100041"/>
      <w:r>
        <w:rPr>
          <w:rFonts w:ascii="Times New Roman" w:eastAsia="SimHei"/>
          <w:b/>
          <w:bCs/>
          <w:color w:val="000000"/>
          <w:sz w:val="28"/>
          <w:szCs w:val="28"/>
        </w:rPr>
        <w:t xml:space="preserve">II.6.1. Facteurs individuels</w:t>
      </w:r>
      <w:bookmarkEnd w:id="100041"/>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42" w:name="_Toc100042"/>
      <w:r>
        <w:rPr>
          <w:rFonts w:ascii="Times New Roman" w:eastAsia="SimHei"/>
          <w:b/>
          <w:bCs/>
          <w:color w:val="000000"/>
          <w:sz w:val="28"/>
          <w:szCs w:val="28"/>
        </w:rPr>
        <w:t xml:space="preserve">II.6.2. Facteurs institutionnels</w:t>
      </w:r>
      <w:bookmarkEnd w:id="100042"/>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3" w:name="_Toc100043"/>
      <w:r>
        <w:rPr>
          <w:rFonts w:ascii="Times New Roman" w:eastAsia="SimHei"/>
          <w:b/>
          <w:bCs/>
          <w:color w:val="000000"/>
          <w:sz w:val="28"/>
          <w:szCs w:val="28"/>
        </w:rPr>
        <w:t xml:space="preserve">II.6.3. Facteurs technologiques</w:t>
      </w:r>
      <w:bookmarkEnd w:id="100043"/>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4" w:name="_Toc100044"/>
      <w:r>
        <w:rPr>
          <w:rFonts w:ascii="Times New Roman" w:eastAsia="SimHei"/>
          <w:b/>
          <w:bCs/>
          <w:color w:val="000000"/>
          <w:sz w:val="30"/>
          <w:szCs w:val="30"/>
        </w:rPr>
        <w:t xml:space="preserve">II.7. Approches économiques et sociologiques du plagiat</w:t>
      </w:r>
      <w:bookmarkEnd w:id="100044"/>
    </w:p>
    <w:p>
      <w:pPr>
        <w:spacing w:after="0" w:line="360"/>
        <w:ind w:firstLine="480"/>
        <w:jc w:val="both"/>
      </w:pPr>
      <w:r>
        <w:rPr>
          <w:rFonts w:ascii="Times New Roman" w:eastAsia="SimSun"/>
          <w:color w:val="000000"/>
          <w:sz w:val="24"/>
          <w:szCs w:val="24"/>
        </w:rPr>
        <w:t xml:space="preserve">Au-delà des facteurs individuels et technologiques, le plagiat académique peut être analysé à travers le prisme des sciences économiques et sociales. Plusieurs cadres théoriques éclairent ce phénomène sous un angle complémentaire, en mettant en lumière les mécanismes rationnels et sociaux qui sous-tendent les comportements plagiaires.</w:t>
      </w:r>
    </w:p>
    <w:p>
      <w:pPr>
        <w:pStyle w:val="Heading3"/>
        <w:spacing w:after="120" w:before="240" w:line="360"/>
      </w:pPr>
      <w:bookmarkStart w:id="100045" w:name="_Toc100045"/>
      <w:r>
        <w:rPr>
          <w:rFonts w:ascii="Times New Roman" w:eastAsia="SimHei"/>
          <w:b/>
          <w:bCs/>
          <w:color w:val="000000"/>
          <w:sz w:val="28"/>
          <w:szCs w:val="28"/>
        </w:rPr>
        <w:t xml:space="preserve">II.7.1. Approche économique : le choix rationnel</w:t>
      </w:r>
      <w:bookmarkEnd w:id="100045"/>
    </w:p>
    <w:p>
      <w:pPr>
        <w:spacing w:after="0" w:line="360"/>
        <w:ind w:firstLine="480"/>
        <w:jc w:val="both"/>
      </w:pPr>
      <w:r>
        <w:rPr>
          <w:rFonts w:ascii="Times New Roman" w:eastAsia="SimSun"/>
          <w:color w:val="000000"/>
          <w:sz w:val="24"/>
          <w:szCs w:val="24"/>
        </w:rPr>
        <w:t xml:space="preserve">Dans une approche économique néoclassique (Becker, 1968), le plagiat peut être considéré comme un crime d'individus en quête d'une maximisation de l'utilité de cette activité. Dans ce cadre, le passage à l'acte dépend de l'espérance pour le décideur d'obtenir une satisfaction en fonction des ressources et du temps dont il dispose, mais aussi de la probabilité de sanction. L'activité criminelle est supposée varier en raison inverse de la répression : l'intensité du délit diminue au fur et à mesure que le risque et la gravité des sanctions augmentent.</w:t>
      </w:r>
    </w:p>
    <w:p>
      <w:pPr>
        <w:spacing w:after="0" w:line="360"/>
        <w:ind w:firstLine="480"/>
        <w:jc w:val="both"/>
      </w:pPr>
      <w:r>
        <w:rPr>
          <w:rFonts w:ascii="Times New Roman" w:eastAsia="SimSun"/>
          <w:color w:val="000000"/>
          <w:sz w:val="24"/>
          <w:szCs w:val="24"/>
        </w:rPr>
        <w:t xml:space="preserve">La décision de plagier ou non résulte ainsi d'un choix rationnel des étudiants selon une estimation de type coût-avantage. Les plagiaires doivent arbitrer entre les avantages du plagiat (meilleure note, validation de tout ou partie du diplôme) et le risque afférent (un zéro, invalidation du diplôme ou de l'année d'étude, passage devant une commission disciplinaire). La minimisation du risque nécessite l'emploi de formes de plagiat difficilement détectables mais coûteuses, telles que l'emploi d'un tiers pour réaliser le travail. Les théories de la dissuasion (Paternoster, 1987) considèrent que les sanctions devraient s'accentuer avec la diffusion des pratiques délictueuses : dès lors que l'accès aux travaux universitaires est plus aisi, notamment par l'intermédiaire d'Internet, les institutions devraient renforcer leurs moyens de détection.</w:t>
      </w:r>
    </w:p>
    <w:p>
      <w:pPr>
        <w:spacing w:after="0" w:line="360"/>
        <w:ind w:firstLine="480"/>
        <w:jc w:val="both"/>
      </w:pPr>
      <w:r>
        <w:rPr>
          <w:rFonts w:ascii="Times New Roman" w:eastAsia="SimSun"/>
          <w:color w:val="000000"/>
          <w:sz w:val="24"/>
          <w:szCs w:val="24"/>
        </w:rPr>
        <w:t xml:space="preserve">Cependant, les résultats empiriques montrent que la théorie du choix rationnel est peu efficiente pour expliquer le plagiat étudiant. Si les plagiaires minimisent le temps consacré aux études, ils maîtrisent mal les avantages à tirer du plagiat et méconnaissent le risque de sanctions : environ 81% des étudiants n'ont jamais lu de compte rendu de conseil de discipline et seuls 16% d'entre eux connaissent la sanction encourue. Ce sont davantage les formes de socialisation antérieures, le rapport aux études et l'incompréhension des règles universitaires qui expliquent ce phénomène.</w:t>
      </w:r>
    </w:p>
    <w:p>
      <w:pPr>
        <w:pStyle w:val="Heading3"/>
        <w:spacing w:after="120" w:before="240" w:line="360"/>
      </w:pPr>
      <w:bookmarkStart w:id="100046" w:name="_Toc100046"/>
      <w:r>
        <w:rPr>
          <w:rFonts w:ascii="Times New Roman" w:eastAsia="SimHei"/>
          <w:b/>
          <w:bCs/>
          <w:color w:val="000000"/>
          <w:sz w:val="28"/>
          <w:szCs w:val="28"/>
        </w:rPr>
        <w:t xml:space="preserve">II.7.2. Approche sociologique : la déviance</w:t>
      </w:r>
      <w:bookmarkEnd w:id="100046"/>
    </w:p>
    <w:p>
      <w:pPr>
        <w:spacing w:after="0" w:line="360"/>
        <w:ind w:firstLine="480"/>
        <w:jc w:val="both"/>
      </w:pPr>
      <w:r>
        <w:rPr>
          <w:rFonts w:ascii="Times New Roman" w:eastAsia="SimSun"/>
          <w:color w:val="000000"/>
          <w:sz w:val="24"/>
          <w:szCs w:val="24"/>
        </w:rPr>
        <w:t xml:space="preserve">L'approche sociologique du plagiat se situe principalement dans le champ de la déviance. La sociologie nord-américaine fournit les principales références théoriques. La déviance est construite sur des normes sociales et juridiques dont les sociologues ont montré qu'elles sont fluctuantes. Pour les interactionnistes (Lemert, Becker, Goffman), la déviance est un processus construit par des réactions sociales qui transforment un agissement en infraction. Pour Becker (1963), le déviant est un acteur qui progressivement et de manière rationnelle fait carrière : il développe des compétences et les fait valoir comme dans toute activité sociale.</w:t>
      </w:r>
    </w:p>
    <w:p>
      <w:pPr>
        <w:spacing w:after="0" w:line="360"/>
        <w:ind w:firstLine="480"/>
        <w:jc w:val="both"/>
      </w:pPr>
      <w:r>
        <w:rPr>
          <w:rFonts w:ascii="Times New Roman" w:eastAsia="SimSun"/>
          <w:color w:val="000000"/>
          <w:sz w:val="24"/>
          <w:szCs w:val="24"/>
        </w:rPr>
        <w:t xml:space="preserve">L'apprentissage pratique des techniques de la tricherie et celui de la rationalisation des attitudes favorables à la déviance (Sutherland &amp; Cressey, 1966) se font avant l'entrée à l'université. D'autres explications accordent plus d'importance à l'incompréhension des attentes universitaires (Coulon, 1987) : le plagiat résulterait alors d'un malentendu entre les attentes de l'institution pas toujours explicites et celles d'étudiants qui considèrent la charge de travail trop pesante. Ce malentendu peut conduire certains à tricher sans avoir le sentiment de le faire.</w:t>
      </w:r>
    </w:p>
    <w:p>
      <w:pPr>
        <w:pStyle w:val="Heading2"/>
        <w:spacing w:after="240" w:before="360" w:line="360"/>
      </w:pPr>
      <w:bookmarkStart w:id="100047" w:name="_Toc100047"/>
      <w:r>
        <w:rPr>
          <w:rFonts w:ascii="Times New Roman" w:eastAsia="SimHei"/>
          <w:b/>
          <w:bCs/>
          <w:color w:val="000000"/>
          <w:sz w:val="30"/>
          <w:szCs w:val="30"/>
        </w:rPr>
        <w:t xml:space="preserve">II.8. Conceptions du plagiat chez les étudiants</w:t>
      </w:r>
      <w:bookmarkEnd w:id="100047"/>
    </w:p>
    <w:p>
      <w:pPr>
        <w:spacing w:after="0" w:line="360"/>
        <w:ind w:firstLine="480"/>
        <w:jc w:val="both"/>
      </w:pPr>
      <w:r>
        <w:rPr>
          <w:rFonts w:ascii="Times New Roman" w:eastAsia="SimSun"/>
          <w:color w:val="000000"/>
          <w:sz w:val="24"/>
          <w:szCs w:val="24"/>
        </w:rPr>
        <w:t xml:space="preserve">L'efficacité toute relative des solutions mises en place par les institutions a motivé certains chercheurs à adopter une autre perspective dans la recherche sur le plagiat. Ashworth et al. (2003) dénoncent les réponses du monde académique face au phénomène plagiaire, en ce qu'elles présupposent chez les étudiants la présence d'un ensemble de conceptions uniforme relatif au processus de création du savoir. En recueillant les conceptions des étudiants par le biais d'entretiens phénoménologiques, ils assurent que les réponses ne sont pas influencées par les cadres éthiques déjà en vigueur.</w:t>
      </w:r>
    </w:p>
    <w:p>
      <w:pPr>
        <w:spacing w:after="0" w:line="360"/>
        <w:ind w:firstLine="480"/>
        <w:jc w:val="both"/>
      </w:pPr>
      <w:r>
        <w:rPr>
          <w:rFonts w:ascii="Times New Roman" w:eastAsia="SimSun"/>
          <w:color w:val="000000"/>
          <w:sz w:val="24"/>
          <w:szCs w:val="24"/>
        </w:rPr>
        <w:t xml:space="preserve">Il ressort de ces travaux que les conceptions du plagiat chez les étudiants interrogés varient considérablement. Tout d'abord, les conceptions ne sont jamais alignées avec les valeurs académiques « officielles ». Les étudiants ne les perçoivent pas comme universelles, mais plutôt propres à certaines facultés ou certains établissements. La façon de les décrire dénote un manque de familiarité avec les contextes et principes qui rendent pertinente la définition de ces valeurs. Enfin, les étudiants sont sensibles à la dimension sociale de leur travail : proposer à un collègue dans le besoin de plagier son propre travail apparaît comme acceptable, tandis que la crainte d'être publiquement exposé suite à un acte plagiaire constitue une des barrières principales à ce comportement.</w:t>
      </w:r>
    </w:p>
    <w:p>
      <w:pPr>
        <w:spacing w:after="0" w:line="360"/>
        <w:ind w:firstLine="480"/>
        <w:jc w:val="both"/>
      </w:pPr>
      <w:r>
        <w:rPr>
          <w:rFonts w:ascii="Times New Roman" w:eastAsia="SimSun"/>
          <w:color w:val="000000"/>
          <w:sz w:val="24"/>
          <w:szCs w:val="24"/>
        </w:rPr>
        <w:t xml:space="preserve">Gullifer et Tyson (2010), dans une recherche par focus groupes, ont également montré que les conceptions des étudiants à propos du plagiat restent vagues, indépendamment de leur âge, niveau d'étude ou champ disciplinaire. Un consensus important émerge toutefois à propos de l'existence du plagiat inconscient (ou involontaire) : celui-ci est jugé comme étant courant chez les étudiants, en raison d'un manque de connaissances-clefs sur le cadre académique et de compétences pour pouvoir s'y adapter. Une partie de la responsabilité est ici renvoyée au corps institutionnel, rappelant l'importance de la mise en place de chartes éthiques claires et accessibles (Park, 2003).</w:t>
      </w:r>
    </w:p>
    <w:p>
      <w:pPr>
        <w:spacing w:after="0" w:line="360"/>
        <w:ind w:firstLine="480"/>
        <w:jc w:val="both"/>
      </w:pPr>
      <w:r>
        <w:rPr>
          <w:rFonts w:ascii="Times New Roman" w:eastAsia="SimSun"/>
          <w:color w:val="000000"/>
          <w:sz w:val="24"/>
          <w:szCs w:val="24"/>
        </w:rPr>
        <w:t xml:space="preserve">Sutton et al. (2014) ont développé un questionnaire destiné à déterminer quels types d'actes les étudiants regroupent sous le label du plagiat, et quels degrés de gravité leur sont attribués. Des résultats de l'étude, administrée auprès d'environ 2500 étudiants, se dégagent trois facteurs principaux : les comportements dits « malhonnêtes » (vol du travail d'autrui, achat d'un travail en ligne), jugés comme les plus graves ; le travail en groupe non officiel, considéré comme la catégorie la moins sévère ; et le référencement insuffisant, d'une sévérité intermédiaire. Le manque de consensus sur le concept de plagiat entre étudiants et corps enseignant constitue un problème critique que les institutions doivent adresser pour construire une politique efficace de promotion de l'intégrité académique.</w:t>
      </w:r>
    </w:p>
    <w:p>
      <w:pPr>
        <w:pStyle w:val="Heading2"/>
        <w:spacing w:after="240" w:before="360" w:line="360"/>
      </w:pPr>
      <w:bookmarkStart w:id="100048" w:name="_Toc100048"/>
      <w:r>
        <w:rPr>
          <w:rFonts w:ascii="Times New Roman" w:eastAsia="SimHei"/>
          <w:b/>
          <w:bCs/>
          <w:color w:val="000000"/>
          <w:sz w:val="30"/>
          <w:szCs w:val="30"/>
        </w:rPr>
        <w:t xml:space="preserve">II.9. Conséquences du plagiat</w:t>
      </w:r>
      <w:bookmarkEnd w:id="100048"/>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9" w:name="_Toc100049"/>
      <w:r>
        <w:rPr>
          <w:rFonts w:ascii="Times New Roman" w:eastAsia="SimHei"/>
          <w:b/>
          <w:bCs/>
          <w:color w:val="000000"/>
          <w:sz w:val="30"/>
          <w:szCs w:val="30"/>
        </w:rPr>
        <w:t xml:space="preserve">II.10. Mesures de lutte contre le plagiat</w:t>
      </w:r>
      <w:bookmarkEnd w:id="100049"/>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50" w:name="_Toc100050"/>
      <w:r>
        <w:rPr>
          <w:rFonts w:ascii="Times New Roman" w:eastAsia="SimHei"/>
          <w:b/>
          <w:bCs/>
          <w:color w:val="000000"/>
          <w:sz w:val="28"/>
          <w:szCs w:val="28"/>
        </w:rPr>
        <w:t xml:space="preserve">II.10.1. Mesures pédagogiques</w:t>
      </w:r>
      <w:bookmarkEnd w:id="100050"/>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51" w:name="_Toc100051"/>
      <w:r>
        <w:rPr>
          <w:rFonts w:ascii="Times New Roman" w:eastAsia="SimHei"/>
          <w:b/>
          <w:bCs/>
          <w:color w:val="000000"/>
          <w:sz w:val="28"/>
          <w:szCs w:val="28"/>
        </w:rPr>
        <w:t xml:space="preserve">II.10.2. Mesures institutionnelles</w:t>
      </w:r>
      <w:bookmarkEnd w:id="100051"/>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52" w:name="_Toc100052"/>
      <w:r>
        <w:rPr>
          <w:rFonts w:ascii="Times New Roman" w:eastAsia="SimHei"/>
          <w:b/>
          <w:bCs/>
          <w:color w:val="000000"/>
          <w:sz w:val="28"/>
          <w:szCs w:val="28"/>
        </w:rPr>
        <w:t xml:space="preserve">II.10.3. Mesures techniques</w:t>
      </w:r>
      <w:bookmarkEnd w:id="100052"/>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53" w:name="_Toc100053"/>
      <w:r>
        <w:rPr>
          <w:rFonts w:ascii="Times New Roman" w:eastAsia="SimHei"/>
          <w:b/>
          <w:bCs/>
          <w:color w:val="000000"/>
          <w:sz w:val="30"/>
          <w:szCs w:val="30"/>
        </w:rPr>
        <w:t xml:space="preserve">II.11. Plagiat assisté par IA générative</w:t>
      </w:r>
      <w:bookmarkEnd w:id="100053"/>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54" w:name="_Toc100054"/>
      <w:r>
        <w:rPr>
          <w:rFonts w:ascii="Times New Roman" w:eastAsia="SimHei"/>
          <w:b/>
          <w:bCs/>
          <w:color w:val="000000"/>
          <w:sz w:val="30"/>
          <w:szCs w:val="30"/>
        </w:rPr>
        <w:t xml:space="preserve">II.12. Techniques modernes de paraphrase automatique</w:t>
      </w:r>
      <w:bookmarkEnd w:id="100054"/>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55" w:name="_Toc100055"/>
      <w:r>
        <w:rPr>
          <w:rFonts w:ascii="Times New Roman" w:eastAsia="SimHei"/>
          <w:b/>
          <w:bCs/>
          <w:color w:val="000000"/>
          <w:sz w:val="30"/>
          <w:szCs w:val="30"/>
        </w:rPr>
        <w:t xml:space="preserve">II.13. Limites des logiciels classiques</w:t>
      </w:r>
      <w:bookmarkEnd w:id="100055"/>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56" w:name="_Toc100056"/>
      <w:r>
        <w:rPr>
          <w:rFonts w:ascii="Times New Roman" w:eastAsia="SimHei"/>
          <w:b/>
          <w:bCs/>
          <w:color w:val="000000"/>
          <w:sz w:val="30"/>
          <w:szCs w:val="30"/>
        </w:rPr>
        <w:t xml:space="preserve">II.14. Comparaison avec les plateformes modernes</w:t>
      </w:r>
      <w:bookmarkEnd w:id="100056"/>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7" w:name="_Toc100057"/>
      <w:r>
        <w:rPr>
          <w:rFonts w:ascii="Times New Roman" w:eastAsia="SimHei"/>
          <w:b/>
          <w:bCs/>
          <w:color w:val="000000"/>
          <w:sz w:val="30"/>
          <w:szCs w:val="30"/>
        </w:rPr>
        <w:t xml:space="preserve">II.15. Conclusion</w:t>
      </w:r>
      <w:bookmarkEnd w:id="100057"/>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8" w:name="_Toc100058"/>
      <w:r>
        <w:rPr>
          <w:rFonts w:ascii="Times New Roman" w:eastAsia="SimHei"/>
          <w:b/>
          <w:bCs/>
          <w:color w:val="000000"/>
          <w:sz w:val="32"/>
          <w:szCs w:val="32"/>
        </w:rPr>
        <w:t xml:space="preserve">CHAPITRE III — CONCEPTION D'UNE PLATEFORME WEB INTELLIGENTE BASÉE SUR L'IA</w:t>
      </w:r>
      <w:bookmarkEnd w:id="100058"/>
    </w:p>
    <w:p>
      <w:pPr>
        <w:pStyle w:val="Heading2"/>
        <w:spacing w:after="240" w:before="360" w:line="360"/>
      </w:pPr>
      <w:bookmarkStart w:id="100059" w:name="_Toc100059"/>
      <w:r>
        <w:rPr>
          <w:rFonts w:ascii="Times New Roman" w:eastAsia="SimHei"/>
          <w:b/>
          <w:bCs/>
          <w:color w:val="000000"/>
          <w:sz w:val="30"/>
          <w:szCs w:val="30"/>
        </w:rPr>
        <w:t xml:space="preserve">III.1. Introduction</w:t>
      </w:r>
      <w:bookmarkEnd w:id="100059"/>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60" w:name="_Toc100060"/>
      <w:r>
        <w:rPr>
          <w:rFonts w:ascii="Times New Roman" w:eastAsia="SimHei"/>
          <w:b/>
          <w:bCs/>
          <w:color w:val="000000"/>
          <w:sz w:val="30"/>
          <w:szCs w:val="30"/>
        </w:rPr>
        <w:t xml:space="preserve">III.2. Présentation du cadre pilote : la Faculté des Sciences</w:t>
      </w:r>
      <w:bookmarkEnd w:id="100060"/>
    </w:p>
    <w:p>
      <w:pPr>
        <w:spacing w:after="0" w:line="360"/>
        <w:ind w:firstLine="480"/>
        <w:jc w:val="both"/>
      </w:pPr>
      <w:r>
        <w:rPr>
          <w:rFonts w:ascii="Times New Roman" w:eastAsia="SimSun"/>
          <w:color w:val="000000"/>
          <w:sz w:val="24"/>
          <w:szCs w:val="24"/>
        </w:rPr>
        <w:t xml:space="preserve">La Faculté des Sciences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61" w:name="_Toc100061"/>
      <w:r>
        <w:rPr>
          <w:rFonts w:ascii="Times New Roman" w:eastAsia="SimHei"/>
          <w:b/>
          <w:bCs/>
          <w:color w:val="000000"/>
          <w:sz w:val="30"/>
          <w:szCs w:val="30"/>
        </w:rPr>
        <w:t xml:space="preserve">III.3. Analyse des besoins fonctionnels</w:t>
      </w:r>
      <w:bookmarkEnd w:id="100061"/>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62" w:name="_Toc100062"/>
      <w:r>
        <w:rPr>
          <w:rFonts w:ascii="Times New Roman" w:eastAsia="SimHei"/>
          <w:b/>
          <w:bCs/>
          <w:color w:val="000000"/>
          <w:sz w:val="28"/>
          <w:szCs w:val="28"/>
        </w:rPr>
        <w:t xml:space="preserve">III.3.1. Gestion des utilisateurs et authentification</w:t>
      </w:r>
      <w:bookmarkEnd w:id="100062"/>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63" w:name="_Toc100063"/>
      <w:r>
        <w:rPr>
          <w:rFonts w:ascii="Times New Roman" w:eastAsia="SimHei"/>
          <w:b/>
          <w:bCs/>
          <w:color w:val="000000"/>
          <w:sz w:val="28"/>
          <w:szCs w:val="28"/>
        </w:rPr>
        <w:t xml:space="preserve">III.3.2. Gestion académique</w:t>
      </w:r>
      <w:bookmarkEnd w:id="100063"/>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64" w:name="_Toc100064"/>
      <w:r>
        <w:rPr>
          <w:rFonts w:ascii="Times New Roman" w:eastAsia="SimHei"/>
          <w:b/>
          <w:bCs/>
          <w:color w:val="000000"/>
          <w:sz w:val="28"/>
          <w:szCs w:val="28"/>
        </w:rPr>
        <w:t xml:space="preserve">III.3.3. Dépôt et gestion des travaux</w:t>
      </w:r>
      <w:bookmarkEnd w:id="100064"/>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65" w:name="_Toc100065"/>
      <w:r>
        <w:rPr>
          <w:rFonts w:ascii="Times New Roman" w:eastAsia="SimHei"/>
          <w:b/>
          <w:bCs/>
          <w:color w:val="000000"/>
          <w:sz w:val="28"/>
          <w:szCs w:val="28"/>
        </w:rPr>
        <w:t xml:space="preserve">III.3.4. Analyse IA et détection</w:t>
      </w:r>
      <w:bookmarkEnd w:id="100065"/>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66" w:name="_Toc100066"/>
      <w:r>
        <w:rPr>
          <w:rFonts w:ascii="Times New Roman" w:eastAsia="SimHei"/>
          <w:b/>
          <w:bCs/>
          <w:color w:val="000000"/>
          <w:sz w:val="28"/>
          <w:szCs w:val="28"/>
        </w:rPr>
        <w:t xml:space="preserve">III.3.5. Rapports et tableau de bord</w:t>
      </w:r>
      <w:bookmarkEnd w:id="100066"/>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7" w:name="_Toc100067"/>
      <w:r>
        <w:rPr>
          <w:rFonts w:ascii="Times New Roman" w:eastAsia="SimHei"/>
          <w:b/>
          <w:bCs/>
          <w:color w:val="000000"/>
          <w:sz w:val="28"/>
          <w:szCs w:val="28"/>
        </w:rPr>
        <w:t xml:space="preserve">III.3.6. Historique et traçabilité</w:t>
      </w:r>
      <w:bookmarkEnd w:id="100067"/>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8" w:name="_Toc100068"/>
      <w:r>
        <w:rPr>
          <w:rFonts w:ascii="Times New Roman" w:eastAsia="SimHei"/>
          <w:b/>
          <w:bCs/>
          <w:color w:val="000000"/>
          <w:sz w:val="30"/>
          <w:szCs w:val="30"/>
        </w:rPr>
        <w:t xml:space="preserve">III.4. Analyse des besoins non fonctionnels</w:t>
      </w:r>
      <w:bookmarkEnd w:id="100068"/>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III.5. Architecture générale de la plateforme</w:t>
      </w:r>
      <w:bookmarkEnd w:id="100069"/>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70" w:name="_Toc100070"/>
      <w:r>
        <w:rPr>
          <w:rFonts w:ascii="Times New Roman" w:eastAsia="SimHei"/>
          <w:b/>
          <w:bCs/>
          <w:color w:val="000000"/>
          <w:sz w:val="28"/>
          <w:szCs w:val="28"/>
        </w:rPr>
        <w:t xml:space="preserve">III.5.1. Couche présentation (frontend)</w:t>
      </w:r>
      <w:bookmarkEnd w:id="100070"/>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71" w:name="_Toc100071"/>
      <w:r>
        <w:rPr>
          <w:rFonts w:ascii="Times New Roman" w:eastAsia="SimHei"/>
          <w:b/>
          <w:bCs/>
          <w:color w:val="000000"/>
          <w:sz w:val="28"/>
          <w:szCs w:val="28"/>
        </w:rPr>
        <w:t xml:space="preserve">III.5.2. Couche application (backend)</w:t>
      </w:r>
      <w:bookmarkEnd w:id="100071"/>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72" w:name="_Toc100072"/>
      <w:r>
        <w:rPr>
          <w:rFonts w:ascii="Times New Roman" w:eastAsia="SimHei"/>
          <w:b/>
          <w:bCs/>
          <w:color w:val="000000"/>
          <w:sz w:val="28"/>
          <w:szCs w:val="28"/>
        </w:rPr>
        <w:t xml:space="preserve">III.5.3. Couche services IA</w:t>
      </w:r>
      <w:bookmarkEnd w:id="100072"/>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73" w:name="_Toc100073"/>
      <w:r>
        <w:rPr>
          <w:rFonts w:ascii="Times New Roman" w:eastAsia="SimHei"/>
          <w:b/>
          <w:bCs/>
          <w:color w:val="000000"/>
          <w:sz w:val="28"/>
          <w:szCs w:val="28"/>
        </w:rPr>
        <w:t xml:space="preserve">III.5.4. Couche données</w:t>
      </w:r>
      <w:bookmarkEnd w:id="100073"/>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74" w:name="_Toc100074"/>
      <w:r>
        <w:rPr>
          <w:rFonts w:ascii="Times New Roman" w:eastAsia="SimHei"/>
          <w:b/>
          <w:bCs/>
          <w:color w:val="000000"/>
          <w:sz w:val="30"/>
          <w:szCs w:val="30"/>
        </w:rPr>
        <w:t xml:space="preserve">III.6. Architecture modulaire</w:t>
      </w:r>
      <w:bookmarkEnd w:id="100074"/>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75" w:name="_Toc100075"/>
      <w:r>
        <w:rPr>
          <w:rFonts w:ascii="Times New Roman" w:eastAsia="SimHei"/>
          <w:b/>
          <w:bCs/>
          <w:color w:val="000000"/>
          <w:sz w:val="30"/>
          <w:szCs w:val="30"/>
        </w:rPr>
        <w:t xml:space="preserve">III.7. Architecture multicouche universitaire</w:t>
      </w:r>
      <w:bookmarkEnd w:id="100075"/>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76" w:name="_Toc100076"/>
      <w:r>
        <w:rPr>
          <w:rFonts w:ascii="Times New Roman" w:eastAsia="SimHei"/>
          <w:b/>
          <w:bCs/>
          <w:color w:val="000000"/>
          <w:sz w:val="30"/>
          <w:szCs w:val="30"/>
        </w:rPr>
        <w:t xml:space="preserve">III.8. Pipeline de traitement IA</w:t>
      </w:r>
      <w:bookmarkEnd w:id="100076"/>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7" w:name="_Toc100077"/>
      <w:r>
        <w:rPr>
          <w:rFonts w:ascii="Times New Roman" w:eastAsia="SimHei"/>
          <w:b/>
          <w:bCs/>
          <w:color w:val="000000"/>
          <w:sz w:val="28"/>
          <w:szCs w:val="28"/>
        </w:rPr>
        <w:t xml:space="preserve">III.8.1. Soumission du document</w:t>
      </w:r>
      <w:bookmarkEnd w:id="100077"/>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8" w:name="_Toc100078"/>
      <w:r>
        <w:rPr>
          <w:rFonts w:ascii="Times New Roman" w:eastAsia="SimHei"/>
          <w:b/>
          <w:bCs/>
          <w:color w:val="000000"/>
          <w:sz w:val="28"/>
          <w:szCs w:val="28"/>
        </w:rPr>
        <w:t xml:space="preserve">III.8.2. Extraction du texte</w:t>
      </w:r>
      <w:bookmarkEnd w:id="100078"/>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9" w:name="_Toc100079"/>
      <w:r>
        <w:rPr>
          <w:rFonts w:ascii="Times New Roman" w:eastAsia="SimHei"/>
          <w:b/>
          <w:bCs/>
          <w:color w:val="000000"/>
          <w:sz w:val="28"/>
          <w:szCs w:val="28"/>
        </w:rPr>
        <w:t xml:space="preserve">III.8.3. Prétraitement NLP</w:t>
      </w:r>
      <w:bookmarkEnd w:id="100079"/>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80" w:name="_Toc100080"/>
      <w:r>
        <w:rPr>
          <w:rFonts w:ascii="Times New Roman" w:eastAsia="SimHei"/>
          <w:b/>
          <w:bCs/>
          <w:color w:val="000000"/>
          <w:sz w:val="28"/>
          <w:szCs w:val="28"/>
        </w:rPr>
        <w:t xml:space="preserve">III.8.4. Génération des embeddings</w:t>
      </w:r>
      <w:bookmarkEnd w:id="100080"/>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81" w:name="_Toc100081"/>
      <w:r>
        <w:rPr>
          <w:rFonts w:ascii="Times New Roman" w:eastAsia="SimHei"/>
          <w:b/>
          <w:bCs/>
          <w:color w:val="000000"/>
          <w:sz w:val="28"/>
          <w:szCs w:val="28"/>
        </w:rPr>
        <w:t xml:space="preserve">III.8.5. Recherche vectorielle</w:t>
      </w:r>
      <w:bookmarkEnd w:id="100081"/>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82" w:name="_Toc100082"/>
      <w:r>
        <w:rPr>
          <w:rFonts w:ascii="Times New Roman" w:eastAsia="SimHei"/>
          <w:b/>
          <w:bCs/>
          <w:color w:val="000000"/>
          <w:sz w:val="28"/>
          <w:szCs w:val="28"/>
        </w:rPr>
        <w:t xml:space="preserve">III.8.6. Calcul de similarité</w:t>
      </w:r>
      <w:bookmarkEnd w:id="100082"/>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83" w:name="_Toc100083"/>
      <w:r>
        <w:rPr>
          <w:rFonts w:ascii="Times New Roman" w:eastAsia="SimHei"/>
          <w:b/>
          <w:bCs/>
          <w:color w:val="000000"/>
          <w:sz w:val="28"/>
          <w:szCs w:val="28"/>
        </w:rPr>
        <w:t xml:space="preserve">III.8.7. Détection et classification</w:t>
      </w:r>
      <w:bookmarkEnd w:id="100083"/>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84" w:name="_Toc100084"/>
      <w:r>
        <w:rPr>
          <w:rFonts w:ascii="Times New Roman" w:eastAsia="SimHei"/>
          <w:b/>
          <w:bCs/>
          <w:color w:val="000000"/>
          <w:sz w:val="28"/>
          <w:szCs w:val="28"/>
        </w:rPr>
        <w:t xml:space="preserve">III.8.8. Génération du rapport</w:t>
      </w:r>
      <w:bookmarkEnd w:id="100084"/>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85" w:name="_Toc100085"/>
      <w:r>
        <w:rPr>
          <w:rFonts w:ascii="Times New Roman" w:eastAsia="SimHei"/>
          <w:b/>
          <w:bCs/>
          <w:color w:val="000000"/>
          <w:sz w:val="30"/>
          <w:szCs w:val="30"/>
        </w:rPr>
        <w:t xml:space="preserve">III.9. Base documentaire relationnelle</w:t>
      </w:r>
      <w:bookmarkEnd w:id="100085"/>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86" w:name="_Toc100086"/>
      <w:r>
        <w:rPr>
          <w:rFonts w:ascii="Times New Roman" w:eastAsia="SimHei"/>
          <w:b/>
          <w:bCs/>
          <w:color w:val="000000"/>
          <w:sz w:val="30"/>
          <w:szCs w:val="30"/>
        </w:rPr>
        <w:t xml:space="preserve">III.10. Base vectorielle</w:t>
      </w:r>
      <w:bookmarkEnd w:id="100086"/>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7" w:name="_Toc100087"/>
      <w:r>
        <w:rPr>
          <w:rFonts w:ascii="Times New Roman" w:eastAsia="SimHei"/>
          <w:b/>
          <w:bCs/>
          <w:color w:val="000000"/>
          <w:sz w:val="30"/>
          <w:szCs w:val="30"/>
        </w:rPr>
        <w:t xml:space="preserve">III.11. Conception de l'API REST</w:t>
      </w:r>
      <w:bookmarkEnd w:id="100087"/>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8" w:name="_Toc100088"/>
      <w:r>
        <w:rPr>
          <w:rFonts w:ascii="Times New Roman" w:eastAsia="SimHei"/>
          <w:b/>
          <w:bCs/>
          <w:color w:val="000000"/>
          <w:sz w:val="30"/>
          <w:szCs w:val="30"/>
        </w:rPr>
        <w:t xml:space="preserve">III.12. Modélisation UML</w:t>
      </w:r>
      <w:bookmarkEnd w:id="100088"/>
    </w:p>
    <w:p>
      <w:pPr>
        <w:pStyle w:val="Heading3"/>
        <w:spacing w:after="120" w:before="240" w:line="360"/>
      </w:pPr>
      <w:bookmarkStart w:id="100089" w:name="_Toc100089"/>
      <w:r>
        <w:rPr>
          <w:rFonts w:ascii="Times New Roman" w:eastAsia="SimHei"/>
          <w:b/>
          <w:bCs/>
          <w:color w:val="000000"/>
          <w:sz w:val="28"/>
          <w:szCs w:val="28"/>
        </w:rPr>
        <w:t xml:space="preserve">III.12.1. Diagramme de cas d'utilisation</w:t>
      </w:r>
      <w:bookmarkEnd w:id="100089"/>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90" w:name="_Toc100090"/>
      <w:r>
        <w:rPr>
          <w:rFonts w:ascii="Times New Roman" w:eastAsia="SimHei"/>
          <w:b/>
          <w:bCs/>
          <w:color w:val="000000"/>
          <w:sz w:val="28"/>
          <w:szCs w:val="28"/>
        </w:rPr>
        <w:t xml:space="preserve">III.12.2. Diagramme de classes</w:t>
      </w:r>
      <w:bookmarkEnd w:id="100090"/>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91" w:name="_Toc100091"/>
      <w:r>
        <w:rPr>
          <w:rFonts w:ascii="Times New Roman" w:eastAsia="SimHei"/>
          <w:b/>
          <w:bCs/>
          <w:color w:val="000000"/>
          <w:sz w:val="28"/>
          <w:szCs w:val="28"/>
        </w:rPr>
        <w:t xml:space="preserve">III.12.3. Diagramme de séquences</w:t>
      </w:r>
      <w:bookmarkEnd w:id="100091"/>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92" w:name="_Toc100092"/>
      <w:r>
        <w:rPr>
          <w:rFonts w:ascii="Times New Roman" w:eastAsia="SimHei"/>
          <w:b/>
          <w:bCs/>
          <w:color w:val="000000"/>
          <w:sz w:val="30"/>
          <w:szCs w:val="30"/>
        </w:rPr>
        <w:t xml:space="preserve">III.13. Diagrammes d'architecture logicielle</w:t>
      </w:r>
      <w:bookmarkEnd w:id="100092"/>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93" w:name="_Toc100093"/>
      <w:r>
        <w:rPr>
          <w:rFonts w:ascii="Times New Roman" w:eastAsia="SimHei"/>
          <w:b/>
          <w:bCs/>
          <w:color w:val="000000"/>
          <w:sz w:val="30"/>
          <w:szCs w:val="30"/>
        </w:rPr>
        <w:t xml:space="preserve">III.14. Conclusion</w:t>
      </w:r>
      <w:bookmarkEnd w:id="100093"/>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à l'évaluation quantitative de ses performances. Il présentera la stack technique effectivement mise en œuvre, les extraits de code clés du pipeline, les captures d'écran de l'interface de la plateforme, et l'analyse des résultats d'évaluation. Ce quatrième chapitre sera intégré au présent mémoire à l'issue de la phase de développement effective de la plateforme.</w:t>
      </w:r>
    </w:p>
    <w:p>
      <w:r>
        <w:br w:type="page"/>
      </w:r>
    </w:p>
    <w:p>
      <w:pPr>
        <w:pStyle w:val="Heading1"/>
        <w:spacing w:after="360" w:before="480" w:line="360"/>
        <w:jc w:val="center"/>
      </w:pPr>
      <w:bookmarkStart w:id="100094" w:name="_Toc100094"/>
      <w:r>
        <w:rPr>
          <w:rFonts w:ascii="Times New Roman" w:eastAsia="SimHei"/>
          <w:b/>
          <w:bCs/>
          <w:color w:val="000000"/>
          <w:sz w:val="32"/>
          <w:szCs w:val="32"/>
        </w:rPr>
        <w:t xml:space="preserve">CHAPITRE IV — IMPLÉMENTATION, EXPÉRIMENTATION ET ÉVALUATION</w:t>
      </w:r>
      <w:bookmarkEnd w:id="100094"/>
    </w:p>
    <w:p>
      <w:pPr>
        <w:pStyle w:val="Heading2"/>
        <w:spacing w:after="240" w:before="360" w:line="360"/>
      </w:pPr>
      <w:bookmarkStart w:id="100095" w:name="_Toc100095"/>
      <w:r>
        <w:rPr>
          <w:rFonts w:ascii="Times New Roman" w:eastAsia="SimHei"/>
          <w:b/>
          <w:bCs/>
          <w:color w:val="000000"/>
          <w:sz w:val="30"/>
          <w:szCs w:val="30"/>
        </w:rPr>
        <w:t xml:space="preserve">IV.1. Introduction</w:t>
      </w:r>
      <w:bookmarkEnd w:id="100095"/>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96" w:name="_Toc100096"/>
      <w:r>
        <w:rPr>
          <w:rFonts w:ascii="Times New Roman" w:eastAsia="SimHei"/>
          <w:b/>
          <w:bCs/>
          <w:color w:val="000000"/>
          <w:sz w:val="30"/>
          <w:szCs w:val="30"/>
        </w:rPr>
        <w:t xml:space="preserve">IV.2. Stack technique</w:t>
      </w:r>
      <w:bookmarkEnd w:id="100096"/>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7" w:name="_Toc100097"/>
      <w:r>
        <w:rPr>
          <w:rFonts w:ascii="Times New Roman" w:eastAsia="SimHei"/>
          <w:b/>
          <w:bCs/>
          <w:color w:val="000000"/>
          <w:sz w:val="30"/>
          <w:szCs w:val="30"/>
        </w:rPr>
        <w:t xml:space="preserve">IV.3. Architecture logicielle implémentée</w:t>
      </w:r>
      <w:bookmarkEnd w:id="100097"/>
    </w:p>
    <w:p>
      <w:pPr>
        <w:pStyle w:val="Heading3"/>
        <w:spacing w:after="120" w:before="240" w:line="360"/>
      </w:pPr>
      <w:bookmarkStart w:id="100098" w:name="_Toc100098"/>
      <w:r>
        <w:rPr>
          <w:rFonts w:ascii="Times New Roman" w:eastAsia="SimHei"/>
          <w:b/>
          <w:bCs/>
          <w:color w:val="000000"/>
          <w:sz w:val="28"/>
          <w:szCs w:val="28"/>
        </w:rPr>
        <w:t xml:space="preserve">IV.3.1. Structure du projet</w:t>
      </w:r>
      <w:bookmarkEnd w:id="100098"/>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099" w:name="_Toc100099"/>
      <w:r>
        <w:rPr>
          <w:rFonts w:ascii="Times New Roman" w:eastAsia="SimHei"/>
          <w:b/>
          <w:bCs/>
          <w:color w:val="000000"/>
          <w:sz w:val="28"/>
          <w:szCs w:val="28"/>
        </w:rPr>
        <w:t xml:space="preserve">IV.3.2. Architecture en couches</w:t>
      </w:r>
      <w:bookmarkEnd w:id="100099"/>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100" w:name="_Toc100100"/>
      <w:r>
        <w:rPr>
          <w:rFonts w:ascii="Times New Roman" w:eastAsia="SimHei"/>
          <w:b/>
          <w:bCs/>
          <w:color w:val="000000"/>
          <w:sz w:val="30"/>
          <w:szCs w:val="30"/>
        </w:rPr>
        <w:t xml:space="preserve">IV.4. Authentification et contrôle d'accès</w:t>
      </w:r>
      <w:bookmarkEnd w:id="100100"/>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101" w:name="_Toc100101"/>
      <w:r>
        <w:rPr>
          <w:rFonts w:ascii="Times New Roman" w:eastAsia="SimHei"/>
          <w:b/>
          <w:bCs/>
          <w:color w:val="000000"/>
          <w:sz w:val="30"/>
          <w:szCs w:val="30"/>
        </w:rPr>
        <w:t xml:space="preserve">IV.5. Back-office administrateur</w:t>
      </w:r>
      <w:bookmarkEnd w:id="100101"/>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102" w:name="_Toc100102"/>
      <w:r>
        <w:rPr>
          <w:rFonts w:ascii="Times New Roman" w:eastAsia="SimHei"/>
          <w:b/>
          <w:bCs/>
          <w:color w:val="000000"/>
          <w:sz w:val="28"/>
          <w:szCs w:val="28"/>
        </w:rPr>
        <w:t xml:space="preserve">IV.5.1. Tableau de bord principal</w:t>
      </w:r>
      <w:bookmarkEnd w:id="100102"/>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103" w:name="_Toc100103"/>
      <w:r>
        <w:rPr>
          <w:rFonts w:ascii="Times New Roman" w:eastAsia="SimHei"/>
          <w:b/>
          <w:bCs/>
          <w:color w:val="000000"/>
          <w:sz w:val="28"/>
          <w:szCs w:val="28"/>
        </w:rPr>
        <w:t xml:space="preserve">IV.5.2. Gestion des facultés</w:t>
      </w:r>
      <w:bookmarkEnd w:id="100103"/>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FSC pour Faculté des Sciences)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104" w:name="_Toc100104"/>
      <w:r>
        <w:rPr>
          <w:rFonts w:ascii="Times New Roman" w:eastAsia="SimHei"/>
          <w:b/>
          <w:bCs/>
          <w:color w:val="000000"/>
          <w:sz w:val="28"/>
          <w:szCs w:val="28"/>
        </w:rPr>
        <w:t xml:space="preserve">IV.5.3. Gestion des utilisateurs</w:t>
      </w:r>
      <w:bookmarkEnd w:id="100104"/>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105" w:name="_Toc100105"/>
      <w:r>
        <w:rPr>
          <w:rFonts w:ascii="Times New Roman" w:eastAsia="SimHei"/>
          <w:b/>
          <w:bCs/>
          <w:color w:val="000000"/>
          <w:sz w:val="28"/>
          <w:szCs w:val="28"/>
        </w:rPr>
        <w:t xml:space="preserve">IV.5.4. Gestion des documents</w:t>
      </w:r>
      <w:bookmarkEnd w:id="100105"/>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106" w:name="_Toc100106"/>
      <w:r>
        <w:rPr>
          <w:rFonts w:ascii="Times New Roman" w:eastAsia="SimHei"/>
          <w:b/>
          <w:bCs/>
          <w:color w:val="000000"/>
          <w:sz w:val="30"/>
          <w:szCs w:val="30"/>
        </w:rPr>
        <w:t xml:space="preserve">IV.6. Moteur IA de détection du plagiat</w:t>
      </w:r>
      <w:bookmarkEnd w:id="100106"/>
    </w:p>
    <w:p>
      <w:pPr>
        <w:pStyle w:val="Heading3"/>
        <w:spacing w:after="120" w:before="240" w:line="360"/>
      </w:pPr>
      <w:bookmarkStart w:id="100107" w:name="_Toc100107"/>
      <w:r>
        <w:rPr>
          <w:rFonts w:ascii="Times New Roman" w:eastAsia="SimHei"/>
          <w:b/>
          <w:bCs/>
          <w:color w:val="000000"/>
          <w:sz w:val="28"/>
          <w:szCs w:val="28"/>
        </w:rPr>
        <w:t xml:space="preserve">IV.6.1. Architecture du moteur</w:t>
      </w:r>
      <w:bookmarkEnd w:id="100107"/>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8" w:name="_Toc100108"/>
      <w:r>
        <w:rPr>
          <w:rFonts w:ascii="Times New Roman" w:eastAsia="SimHei"/>
          <w:b/>
          <w:bCs/>
          <w:color w:val="000000"/>
          <w:sz w:val="28"/>
          <w:szCs w:val="28"/>
        </w:rPr>
        <w:t xml:space="preserve">IV.6.2. Prétraitement NLP</w:t>
      </w:r>
      <w:bookmarkEnd w:id="100108"/>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09" w:name="_Toc100109"/>
      <w:r>
        <w:rPr>
          <w:rFonts w:ascii="Times New Roman" w:eastAsia="SimHei"/>
          <w:b/>
          <w:bCs/>
          <w:color w:val="000000"/>
          <w:sz w:val="28"/>
          <w:szCs w:val="28"/>
        </w:rPr>
        <w:t xml:space="preserve">IV.6.3. Vectorisation TF-IDF</w:t>
      </w:r>
      <w:bookmarkEnd w:id="100109"/>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0" w:name="_Toc100110"/>
      <w:r>
        <w:rPr>
          <w:rFonts w:ascii="Times New Roman" w:eastAsia="SimHei"/>
          <w:b/>
          <w:bCs/>
          <w:color w:val="000000"/>
          <w:sz w:val="28"/>
          <w:szCs w:val="28"/>
        </w:rPr>
        <w:t xml:space="preserve">IV.6.4. Similarité et classification</w:t>
      </w:r>
      <w:bookmarkEnd w:id="100110"/>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11" w:name="_Toc100111"/>
      <w:r>
        <w:rPr>
          <w:rFonts w:ascii="Times New Roman" w:eastAsia="SimHei"/>
          <w:b/>
          <w:bCs/>
          <w:color w:val="000000"/>
          <w:sz w:val="28"/>
          <w:szCs w:val="28"/>
        </w:rPr>
        <w:t xml:space="preserve">IV.6.5. Page supervision des analyses</w:t>
      </w:r>
      <w:bookmarkEnd w:id="100111"/>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12" w:name="_Toc100112"/>
      <w:r>
        <w:rPr>
          <w:rFonts w:ascii="Times New Roman" w:eastAsia="SimHei"/>
          <w:b/>
          <w:bCs/>
          <w:color w:val="000000"/>
          <w:sz w:val="30"/>
          <w:szCs w:val="30"/>
        </w:rPr>
        <w:t xml:space="preserve">IV.7. Visualisation des résultats d'analyse</w:t>
      </w:r>
      <w:bookmarkEnd w:id="100112"/>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13" w:name="_Toc100113"/>
      <w:r>
        <w:rPr>
          <w:rFonts w:ascii="Times New Roman" w:eastAsia="SimHei"/>
          <w:b/>
          <w:bCs/>
          <w:color w:val="000000"/>
          <w:sz w:val="30"/>
          <w:szCs w:val="30"/>
        </w:rPr>
        <w:t xml:space="preserve">IV.8. Génération automatique de rapports PDF</w:t>
      </w:r>
      <w:bookmarkEnd w:id="100113"/>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14" w:name="_Toc100114"/>
      <w:r>
        <w:rPr>
          <w:rFonts w:ascii="Times New Roman" w:eastAsia="SimHei"/>
          <w:b/>
          <w:bCs/>
          <w:color w:val="000000"/>
          <w:sz w:val="30"/>
          <w:szCs w:val="30"/>
        </w:rPr>
        <w:t xml:space="preserve">IV.9. Journal d'audit et paramètres système</w:t>
      </w:r>
      <w:bookmarkEnd w:id="100114"/>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15" w:name="_Toc100115"/>
      <w:r>
        <w:rPr>
          <w:rFonts w:ascii="Times New Roman" w:eastAsia="SimHei"/>
          <w:b/>
          <w:bCs/>
          <w:color w:val="000000"/>
          <w:sz w:val="30"/>
          <w:szCs w:val="30"/>
        </w:rPr>
        <w:t xml:space="preserve">IV.10. Expérimentation sur corpus pilote</w:t>
      </w:r>
      <w:bookmarkEnd w:id="100115"/>
    </w:p>
    <w:p>
      <w:pPr>
        <w:pStyle w:val="Heading3"/>
        <w:spacing w:after="120" w:before="240" w:line="360"/>
      </w:pPr>
      <w:bookmarkStart w:id="100116" w:name="_Toc100116"/>
      <w:r>
        <w:rPr>
          <w:rFonts w:ascii="Times New Roman" w:eastAsia="SimHei"/>
          <w:b/>
          <w:bCs/>
          <w:color w:val="000000"/>
          <w:sz w:val="28"/>
          <w:szCs w:val="28"/>
        </w:rPr>
        <w:t xml:space="preserve">IV.10.1. Constitution du corpus pilote</w:t>
      </w:r>
      <w:bookmarkEnd w:id="100116"/>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treize documents académiques fictifs mais réalistes, organisés en quatre catégories : documents originaux sans aucune relation avec d'autres travaux (6 documents), documents source ayant fait l'objet d'un plagiat par un autre document du corpus (4 documents), paraphrases reformulant systématiquement un document source (2 documents), et copier-coller strict d'un document source (1 document). Cette composition permet de tester à la fois la capacité de détection du plagiat (vrais positifs) et l'absence de faux positifs (les documents originaux ne doivent pas être signalés), ainsi que la distinction entre les différents types de plagiat (copier-coller, paraphrase, réciprocité source-plagia).</w:t>
      </w:r>
    </w:p>
    <w:p>
      <w:pPr>
        <w:keepNext/>
        <w:spacing w:after="60" w:before="120" w:line="280"/>
        <w:jc w:val="center"/>
      </w:pPr>
      <w:r>
        <w:rPr>
          <w:rFonts w:ascii="Times New Roman" w:eastAsia="SimSun"/>
          <w:i/>
          <w:iCs/>
          <w:color w:val="333333"/>
          <w:sz w:val="21"/>
          <w:szCs w:val="21"/>
        </w:rPr>
        <w:t xml:space="preserve">Tableau IV.2 — Composition du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Nombre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Comportement attendu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unique, sans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Non détecté (TN)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 (plagiée)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original dont une version plagia existe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(réciprocité)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lexicale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stricte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Total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r>
    </w:tbl>
    <w:p>
      <w:pPr>
        <w:spacing w:line="360"/>
      </w:pPr>
    </w:p>
    <w:p>
      <w:pPr>
        <w:spacing w:after="0" w:line="360"/>
        <w:ind w:firstLine="480"/>
        <w:jc w:val="both"/>
      </w:pPr>
      <w:r>
        <w:rPr>
          <w:rFonts w:ascii="Times New Roman" w:eastAsia="SimSun"/>
          <w:color w:val="000000"/>
          <w:sz w:val="24"/>
          <w:szCs w:val="24"/>
        </w:rPr>
        <w:t xml:space="preserve">Les sujets abordés couvrent un spectre varié pour tester la robustesse du moteur : impact de l'IA sur l'éducation, économie informelle en Afrique, changement climatique et agriculture, histoire de l'enseignement supérieur congolais, musique congolaise, minerais de conflit, télémédecine. Cette diversité thématique permet de vérifier que la plateforme ne génère pas de faux positifs sur des documents traitant de sujets réellement différents, même lorsqu'ils partagent un vocabulaire académique commun.</w:t>
      </w:r>
    </w:p>
    <w:p>
      <w:pPr>
        <w:pStyle w:val="Heading3"/>
        <w:spacing w:after="120" w:before="240" w:line="360"/>
      </w:pPr>
      <w:bookmarkStart w:id="100117" w:name="_Toc100117"/>
      <w:r>
        <w:rPr>
          <w:rFonts w:ascii="Times New Roman" w:eastAsia="SimHei"/>
          <w:b/>
          <w:bCs/>
          <w:color w:val="000000"/>
          <w:sz w:val="28"/>
          <w:szCs w:val="28"/>
        </w:rPr>
        <w:t xml:space="preserve">IV.10.2. Protocole d'évaluation</w:t>
      </w:r>
      <w:bookmarkEnd w:id="100117"/>
    </w:p>
    <w:p>
      <w:pPr>
        <w:spacing w:after="0" w:line="360"/>
        <w:ind w:firstLine="480"/>
        <w:jc w:val="both"/>
      </w:pPr>
      <w:r>
        <w:rPr>
          <w:rFonts w:ascii="Times New Roman" w:eastAsia="SimSun"/>
          <w:color w:val="000000"/>
          <w:sz w:val="24"/>
          <w:szCs w:val="24"/>
        </w:rPr>
        <w:t xml:space="preserve">Le protocole d'évaluation consiste à analyser chacun des treize documents en utilisant les douze autres comme corpus de comparaison, avec un seuil de similarité fixé à 0.15 pour la détection des correspondances et un seuil de décision global à 0.30. Deux approches sont comparées : le moteur sémantique (TF-IDF + similarité cosinus + classification multi-types) et une baseline lexicale (similarité de Jaccard sur ensembles de tokens). Pour chaque document, on mesure : le score global de similarité, le nombre de segments matchés, et la décision binaire (plagiat détecté / non détecté). Les métriques standard de classification binaire sont ensuite calculées : précision, rappel, F1-score, exactitude, spécificité.</w:t>
      </w:r>
    </w:p>
    <w:p>
      <w:pPr>
        <w:pStyle w:val="Heading3"/>
        <w:spacing w:after="120" w:before="240" w:line="360"/>
      </w:pPr>
      <w:bookmarkStart w:id="100118" w:name="_Toc100118"/>
      <w:r>
        <w:rPr>
          <w:rFonts w:ascii="Times New Roman" w:eastAsia="SimHei"/>
          <w:b/>
          <w:bCs/>
          <w:color w:val="000000"/>
          <w:sz w:val="28"/>
          <w:szCs w:val="28"/>
        </w:rPr>
        <w:t xml:space="preserve">IV.10.3. Résultats quantitatifs</w:t>
      </w:r>
      <w:bookmarkEnd w:id="100118"/>
    </w:p>
    <w:p>
      <w:pPr>
        <w:spacing w:after="0" w:line="360"/>
        <w:ind w:firstLine="480"/>
        <w:jc w:val="both"/>
      </w:pPr>
      <w:r>
        <w:rPr>
          <w:rFonts w:ascii="Times New Roman" w:eastAsia="SimSun"/>
          <w:color w:val="000000"/>
          <w:sz w:val="24"/>
          <w:szCs w:val="24"/>
        </w:rPr>
        <w:t xml:space="preserve">Les résultats obtenus sur le corpus pilote étendu sont présentés dans le tableau IV.3. Les deux approches atteignent des performances identiques sur ce corpus, ce qui s'explique par la nature des plagias testés (paraphrases lexicales et copier-coller strict) qui sont bien détectés par les deux méthodes. Une différence apparaîtrait avec des reformulations sémantiques plus profondes, où le TF-IDF et Jaccard seraient moins performants qu'une approche basée sur des embeddings pré-entraînés comme Sentence-BERT.</w:t>
      </w:r>
    </w:p>
    <w:p>
      <w:pPr>
        <w:keepNext/>
        <w:spacing w:after="60" w:before="120" w:line="280"/>
        <w:jc w:val="center"/>
      </w:pPr>
      <w:r>
        <w:rPr>
          <w:rFonts w:ascii="Times New Roman" w:eastAsia="SimSun"/>
          <w:i/>
          <w:iCs/>
          <w:color w:val="333333"/>
          <w:sz w:val="21"/>
          <w:szCs w:val="21"/>
        </w:rPr>
        <w:t xml:space="preserve">Tableau IV.3 — Résultats de l'évaluation quantitative sur le corpus pilote étendu (13 documents)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Moteur sémantique (TF-IDF)</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positifs (TP)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positifs (FP)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négatifs (TN)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négatifs (FN)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Rappel (sensibilité)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F1-score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Exactitude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Spécificité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Avec un F1-score de 93,3% et un rappel de 100%, la plateforme détecte l'intégralité des cas de plagiat du corpus (paraphrases, copier-coller et documents réciproquement liés). La spécificité de 83,3% indique qu'un document original sur six est faussement signalé, ce qui correspond au cas d'un document partageant un vocabulaire technique commun avec un autre sans pour autant plagier. Ce faux positif reste acceptable dans un contexte académique où l'enseignant conserve la décision finale après consultation du rapport détaillé.</w:t>
      </w:r>
    </w:p>
    <w:p>
      <w:pPr>
        <w:spacing w:after="12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Comparaison des métriques de performance entre le moteur sémantique et la baseline lexicale</w:t>
      </w:r>
    </w:p>
    <w:p>
      <w:pPr>
        <w:spacing w:after="120" w:before="20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9335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Matrices de confusion des deux approches sur le corpus pilote étendu</w:t>
      </w:r>
    </w:p>
    <w:p>
      <w:pPr>
        <w:pStyle w:val="Heading3"/>
        <w:spacing w:after="120" w:before="240" w:line="360"/>
      </w:pPr>
      <w:bookmarkStart w:id="100119" w:name="_Toc100119"/>
      <w:r>
        <w:rPr>
          <w:rFonts w:ascii="Times New Roman" w:eastAsia="SimHei"/>
          <w:b/>
          <w:bCs/>
          <w:color w:val="000000"/>
          <w:sz w:val="28"/>
          <w:szCs w:val="28"/>
        </w:rPr>
        <w:t xml:space="preserve">IV.10.4. Analyse détaillée par document</w:t>
      </w:r>
      <w:bookmarkEnd w:id="100119"/>
    </w:p>
    <w:p>
      <w:pPr>
        <w:spacing w:after="0" w:line="360"/>
        <w:ind w:firstLine="480"/>
        <w:jc w:val="both"/>
      </w:pPr>
      <w:r>
        <w:rPr>
          <w:rFonts w:ascii="Times New Roman" w:eastAsia="SimSun"/>
          <w:color w:val="000000"/>
          <w:sz w:val="24"/>
          <w:szCs w:val="24"/>
        </w:rPr>
        <w:t xml:space="preserve">L'analyse détaillée des résultats par document révèle plusieurs points intéressants. Les trois documents sur l'IA et l'éducation (source, paraphrase, et copier-coller) obtiennent des scores élevés (77 à 100%), confirmant la détection des relations de plagiat dans les deux sens. Les documents sur des sujets totalement indépendants (histoire, musique, minerais, télémédecine) obtiennent un score de 0%, confirmant l'absence de faux positifs. Un document original sur l'éducation numérique obtient un score de 78%, le classant comme faux positif : ce document partage effectivement un vocabulaire technique avec d'autres documents sur l'éducation, mais sans relation de plagiat réelle. Ce cas illustre la limite de l'approche purement lexicale, qui serait résolue par l'intégration de Sentence-BERT pour une similarité sémantique plus profonde.</w:t>
      </w:r>
    </w:p>
    <w:p>
      <w:pPr>
        <w:keepNext/>
        <w:spacing w:after="60" w:before="120" w:line="280"/>
        <w:jc w:val="center"/>
      </w:pPr>
      <w:r>
        <w:rPr>
          <w:rFonts w:ascii="Times New Roman" w:eastAsia="SimSun"/>
          <w:i/>
          <w:iCs/>
          <w:color w:val="333333"/>
          <w:sz w:val="21"/>
          <w:szCs w:val="21"/>
        </w:rPr>
        <w:t xml:space="preserve">Tableau IV.4 — Résultats détaillés par document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sem.</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base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Verdict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biodiversité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Défis du numérique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Numérisation enseignement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Économie informelle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Secteur informel (copier-coller)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COPY_PASTE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Changements climatiques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 alimentaire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Histoire enseignement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Musique congolaise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Minerais de conflit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Télémédecine Afrique rurale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bl>
    <w:p>
      <w:pPr>
        <w:spacing w:line="360"/>
      </w:pPr>
    </w:p>
    <w:p>
      <w:pPr>
        <w:spacing w:after="0" w:line="360"/>
        <w:ind w:firstLine="480"/>
        <w:jc w:val="both"/>
      </w:pPr>
      <w:r>
        <w:rPr>
          <w:rFonts w:ascii="Times New Roman" w:eastAsia="SimSun"/>
          <w:color w:val="000000"/>
          <w:sz w:val="24"/>
          <w:szCs w:val="24"/>
        </w:rPr>
        <w:t xml:space="preserve">L'analyse qualitative des correspondances confirme la pertinence de la classification. Les documents en relation de copier-coller strict obtiennent un score sémantique de 100% avec classification correcte en COPY_PASTE. Les paraphrases obtiennent des scores entre 77 et 79% avec classification en PARAPHRASE ou REFORMULATION selon l'intensité de la similarité lexicale. Les documents originaux non liés obtiennent 0%, confirmant la spécificité du moteur.</w:t>
      </w:r>
    </w:p>
    <w:p>
      <w:pPr>
        <w:pStyle w:val="Heading3"/>
        <w:spacing w:after="120" w:before="240" w:line="360"/>
      </w:pPr>
      <w:bookmarkStart w:id="100120" w:name="_Toc100120"/>
      <w:r>
        <w:rPr>
          <w:rFonts w:ascii="Times New Roman" w:eastAsia="SimHei"/>
          <w:b/>
          <w:bCs/>
          <w:color w:val="000000"/>
          <w:sz w:val="28"/>
          <w:szCs w:val="28"/>
        </w:rPr>
        <w:t xml:space="preserve">IV.10.5. Analyse des correspondances détectées</w:t>
      </w:r>
      <w:bookmarkEnd w:id="100120"/>
    </w:p>
    <w:p>
      <w:pPr>
        <w:spacing w:after="0" w:line="360"/>
        <w:ind w:firstLine="480"/>
        <w:jc w:val="both"/>
      </w:pPr>
      <w:r>
        <w:rPr>
          <w:rFonts w:ascii="Times New Roman" w:eastAsia="SimSun"/>
          <w:color w:val="000000"/>
          <w:sz w:val="24"/>
          <w:szCs w:val="24"/>
        </w:rPr>
        <w:t xml:space="preserve">L'analyse détaillée des correspondances détectées sur le document plagiat « L'IA dans les universités africaines » (paraphrase du document source « Impact de l'IA sur l'enseignement supérieur en Afrique »)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w:t>
      </w:r>
    </w:p>
    <w:p>
      <w:pPr>
        <w:keepNext/>
        <w:spacing w:after="60" w:before="120" w:line="280"/>
        <w:jc w:val="center"/>
      </w:pPr>
      <w:r>
        <w:rPr>
          <w:rFonts w:ascii="Times New Roman" w:eastAsia="SimSun"/>
          <w:i/>
          <w:iCs/>
          <w:color w:val="333333"/>
          <w:sz w:val="21"/>
          <w:szCs w:val="21"/>
        </w:rPr>
        <w:t xml:space="preserve">Tableau IV.5 — Détail des correspondances détectées sur le document plagiat type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21" w:name="_Toc100121"/>
      <w:r>
        <w:rPr>
          <w:rFonts w:ascii="Times New Roman" w:eastAsia="SimHei"/>
          <w:b/>
          <w:bCs/>
          <w:color w:val="000000"/>
          <w:sz w:val="30"/>
          <w:szCs w:val="30"/>
        </w:rPr>
        <w:t xml:space="preserve">IV.11. Performances et scalabilité</w:t>
      </w:r>
      <w:bookmarkEnd w:id="100121"/>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22" w:name="_Toc100122"/>
      <w:r>
        <w:rPr>
          <w:rFonts w:ascii="Times New Roman" w:eastAsia="SimHei"/>
          <w:b/>
          <w:bCs/>
          <w:color w:val="000000"/>
          <w:sz w:val="30"/>
          <w:szCs w:val="30"/>
        </w:rPr>
        <w:t xml:space="preserve">IV.12. Limites observées</w:t>
      </w:r>
      <w:bookmarkEnd w:id="100122"/>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23" w:name="_Toc100123"/>
      <w:r>
        <w:rPr>
          <w:rFonts w:ascii="Times New Roman" w:eastAsia="SimHei"/>
          <w:b/>
          <w:bCs/>
          <w:color w:val="000000"/>
          <w:sz w:val="30"/>
          <w:szCs w:val="30"/>
        </w:rPr>
        <w:t xml:space="preserve">IV.13. Conclusion</w:t>
      </w:r>
      <w:bookmarkEnd w:id="100123"/>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Les limites identifiées, notamment sur la détection du plagiat par IA générative et la nécessité d'un corpus plus large pour une évaluation quantitative complète,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24" w:name="_Toc100124"/>
      <w:r>
        <w:rPr>
          <w:rFonts w:ascii="Times New Roman" w:eastAsia="SimHei"/>
          <w:b/>
          <w:bCs/>
          <w:color w:val="000000"/>
          <w:sz w:val="32"/>
          <w:szCs w:val="32"/>
        </w:rPr>
        <w:t xml:space="preserve">CONCLUSION GÉNÉRALE</w:t>
      </w:r>
      <w:bookmarkEnd w:id="100124"/>
    </w:p>
    <w:p>
      <w:pPr>
        <w:spacing w:after="0" w:line="360"/>
        <w:ind w:firstLine="480"/>
        <w:jc w:val="both"/>
      </w:pPr>
      <w:r>
        <w:rPr>
          <w:rFonts w:ascii="Times New Roman" w:eastAsia="SimSun"/>
          <w:color w:val="000000"/>
          <w:sz w:val="24"/>
          <w:szCs w:val="24"/>
        </w:rPr>
        <w:t xml:space="preserve">Au terme de ce travail consacré au développement d'une plateforme web basée sur l'Intelligence Artificielle pour la détection automatique du plagiat dans les travaux académiques,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de l'Université de Kinshasa comme cadre pilote. Les quatre chapitres du mémoire ont permis de couvrir l'ensemble du cycle de développement, depuis les fondements théoriques jusqu'à l'évaluation expérimentale.</w:t>
      </w:r>
    </w:p>
    <w:p>
      <w:pPr>
        <w:pStyle w:val="Heading2"/>
        <w:spacing w:after="240" w:before="360" w:line="360"/>
      </w:pPr>
      <w:bookmarkStart w:id="100125" w:name="_Toc100125"/>
      <w:r>
        <w:rPr>
          <w:rFonts w:ascii="Times New Roman" w:eastAsia="SimHei"/>
          <w:b/>
          <w:bCs/>
          <w:color w:val="000000"/>
          <w:sz w:val="30"/>
          <w:szCs w:val="30"/>
        </w:rPr>
        <w:t xml:space="preserve">Résultats obtenus</w:t>
      </w:r>
      <w:bookmarkEnd w:id="100125"/>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un pipeline complet de traitement IA : segmentation de documents, tokenisation avec filtrage des stop words français et anglais, vectorisation TF-IDF, calcul de similarité cosinus, similarité lexicale Jaccard, classification des correspondances en cinq types (copier-coller, paraphrase, reformulation, traduction, similarité faible) et génération automatique de rapports PDF imprimables.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11 pages admin et 14 routes API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26" w:name="_Toc100126"/>
      <w:r>
        <w:rPr>
          <w:rFonts w:ascii="Times New Roman" w:eastAsia="SimHei"/>
          <w:b/>
          <w:bCs/>
          <w:color w:val="000000"/>
          <w:sz w:val="30"/>
          <w:szCs w:val="30"/>
        </w:rPr>
        <w:t xml:space="preserve">Limites du travail</w:t>
      </w:r>
      <w:bookmarkEnd w:id="100126"/>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27" w:name="_Toc100127"/>
      <w:r>
        <w:rPr>
          <w:rFonts w:ascii="Times New Roman" w:eastAsia="SimHei"/>
          <w:b/>
          <w:bCs/>
          <w:color w:val="000000"/>
          <w:sz w:val="30"/>
          <w:szCs w:val="30"/>
        </w:rPr>
        <w:t xml:space="preserve">Perspectives</w:t>
      </w:r>
      <w:bookmarkEnd w:id="100127"/>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28" w:name="_Toc100128"/>
      <w:r>
        <w:rPr>
          <w:rFonts w:ascii="Times New Roman" w:eastAsia="SimHei"/>
          <w:b/>
          <w:bCs/>
          <w:color w:val="000000"/>
          <w:sz w:val="28"/>
          <w:szCs w:val="28"/>
        </w:rPr>
        <w:t xml:space="preserve">Extension à l'échelle nationale</w:t>
      </w:r>
      <w:bookmarkEnd w:id="100128"/>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29" w:name="_Toc100129"/>
      <w:r>
        <w:rPr>
          <w:rFonts w:ascii="Times New Roman" w:eastAsia="SimHei"/>
          <w:b/>
          <w:bCs/>
          <w:color w:val="000000"/>
          <w:sz w:val="28"/>
          <w:szCs w:val="28"/>
        </w:rPr>
        <w:t xml:space="preserve">Amélioration de la détection</w:t>
      </w:r>
      <w:bookmarkEnd w:id="100129"/>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30" w:name="_Toc100130"/>
      <w:r>
        <w:rPr>
          <w:rFonts w:ascii="Times New Roman" w:eastAsia="SimHei"/>
          <w:b/>
          <w:bCs/>
          <w:color w:val="000000"/>
          <w:sz w:val="28"/>
          <w:szCs w:val="28"/>
        </w:rPr>
        <w:t xml:space="preserve">Enrichissement fonctionnel de la plateforme</w:t>
      </w:r>
      <w:bookmarkEnd w:id="100130"/>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31" w:name="_Toc100131"/>
      <w:r>
        <w:rPr>
          <w:rFonts w:ascii="Times New Roman" w:eastAsia="SimHei"/>
          <w:b/>
          <w:bCs/>
          <w:color w:val="000000"/>
          <w:sz w:val="28"/>
          <w:szCs w:val="28"/>
        </w:rPr>
        <w:t xml:space="preserve">Recherche et publication</w:t>
      </w:r>
      <w:bookmarkEnd w:id="100131"/>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32" w:name="_Toc100132"/>
      <w:r>
        <w:rPr>
          <w:rFonts w:ascii="Times New Roman" w:eastAsia="SimHei"/>
          <w:b/>
          <w:bCs/>
          <w:color w:val="000000"/>
          <w:sz w:val="30"/>
          <w:szCs w:val="30"/>
        </w:rPr>
        <w:t xml:space="preserve">Perspectives IA : vers un écosystème universitaire intelligent</w:t>
      </w:r>
      <w:bookmarkEnd w:id="100132"/>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logiciel anti-plagiat, mais comme une plateforme universitaire intelligente de référence.</w:t>
      </w:r>
    </w:p>
    <w:p>
      <w:pPr>
        <w:pStyle w:val="Heading3"/>
        <w:spacing w:after="120" w:before="240" w:line="360"/>
      </w:pPr>
      <w:bookmarkStart w:id="100133" w:name="_Toc100133"/>
      <w:r>
        <w:rPr>
          <w:rFonts w:ascii="Times New Roman" w:eastAsia="SimHei"/>
          <w:b/>
          <w:bCs/>
          <w:color w:val="000000"/>
          <w:sz w:val="28"/>
          <w:szCs w:val="28"/>
        </w:rPr>
        <w:t xml:space="preserve">Détection du plagiat par IA générative</w:t>
      </w:r>
      <w:bookmarkEnd w:id="100133"/>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34" w:name="_Toc100134"/>
      <w:r>
        <w:rPr>
          <w:rFonts w:ascii="Times New Roman" w:eastAsia="SimHei"/>
          <w:b/>
          <w:bCs/>
          <w:color w:val="000000"/>
          <w:sz w:val="28"/>
          <w:szCs w:val="28"/>
        </w:rPr>
        <w:t xml:space="preserve">Correction automatique des citations</w:t>
      </w:r>
      <w:bookmarkEnd w:id="100134"/>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35" w:name="_Toc100135"/>
      <w:r>
        <w:rPr>
          <w:rFonts w:ascii="Times New Roman" w:eastAsia="SimHei"/>
          <w:b/>
          <w:bCs/>
          <w:color w:val="000000"/>
          <w:sz w:val="28"/>
          <w:szCs w:val="28"/>
        </w:rPr>
        <w:t xml:space="preserve">Suggestion de reformulation</w:t>
      </w:r>
      <w:bookmarkEnd w:id="100135"/>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36" w:name="_Toc100136"/>
      <w:r>
        <w:rPr>
          <w:rFonts w:ascii="Times New Roman" w:eastAsia="SimHei"/>
          <w:b/>
          <w:bCs/>
          <w:color w:val="000000"/>
          <w:sz w:val="28"/>
          <w:szCs w:val="28"/>
        </w:rPr>
        <w:t xml:space="preserve">Assistant de rédaction scientifique</w:t>
      </w:r>
      <w:bookmarkEnd w:id="100136"/>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37" w:name="_Toc100137"/>
      <w:r>
        <w:rPr>
          <w:rFonts w:ascii="Times New Roman" w:eastAsia="SimHei"/>
          <w:b/>
          <w:bCs/>
          <w:color w:val="000000"/>
          <w:sz w:val="28"/>
          <w:szCs w:val="28"/>
        </w:rPr>
        <w:t xml:space="preserve">Index national des mémoires</w:t>
      </w:r>
      <w:bookmarkEnd w:id="100137"/>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38" w:name="_Toc100138"/>
      <w:r>
        <w:rPr>
          <w:rFonts w:ascii="Times New Roman" w:eastAsia="SimHei"/>
          <w:b/>
          <w:bCs/>
          <w:color w:val="000000"/>
          <w:sz w:val="28"/>
          <w:szCs w:val="28"/>
        </w:rPr>
        <w:t xml:space="preserve">Détection interuniversitaire du plagiat</w:t>
      </w:r>
      <w:bookmarkEnd w:id="100138"/>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39" w:name="_Toc100139"/>
      <w:r>
        <w:rPr>
          <w:rFonts w:ascii="Times New Roman" w:eastAsia="SimHei"/>
          <w:b/>
          <w:bCs/>
          <w:color w:val="000000"/>
          <w:sz w:val="32"/>
          <w:szCs w:val="32"/>
        </w:rPr>
        <w:t xml:space="preserve">BIBLIOGRAPHIE</w:t>
      </w:r>
      <w:bookmarkEnd w:id="100139"/>
    </w:p>
    <w:p>
      <w:pPr>
        <w:pStyle w:val="Heading2"/>
        <w:spacing w:after="240" w:before="360" w:line="360"/>
      </w:pPr>
      <w:bookmarkStart w:id="100140" w:name="_Toc100140"/>
      <w:r>
        <w:rPr>
          <w:rFonts w:ascii="Times New Roman" w:eastAsia="SimHei"/>
          <w:b/>
          <w:bCs/>
          <w:color w:val="000000"/>
          <w:sz w:val="30"/>
          <w:szCs w:val="30"/>
        </w:rPr>
        <w:t xml:space="preserve">Ouvrages et manuels</w:t>
      </w:r>
      <w:bookmarkEnd w:id="100140"/>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41" w:name="_Toc100141"/>
      <w:r>
        <w:rPr>
          <w:rFonts w:ascii="Times New Roman" w:eastAsia="SimHei"/>
          <w:b/>
          <w:bCs/>
          <w:color w:val="000000"/>
          <w:sz w:val="30"/>
          <w:szCs w:val="30"/>
        </w:rPr>
        <w:t xml:space="preserve">Articles et publications scientifiques</w:t>
      </w:r>
      <w:bookmarkEnd w:id="100141"/>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Ashworth, P., Bannister, P., &amp; Thorne, P. (1997). Guilty in whose eyes? University students' perceptions of cheating and plagiarism in academic work and assessment. Studies in Higher Education, 22(2), 187-203.</w:t>
      </w:r>
    </w:p>
    <w:p>
      <w:pPr>
        <w:spacing w:after="0" w:line="360"/>
        <w:ind w:firstLine="480"/>
        <w:jc w:val="both"/>
      </w:pPr>
      <w:r>
        <w:rPr>
          <w:rFonts w:ascii="Times New Roman" w:eastAsia="SimSun"/>
          <w:color w:val="000000"/>
          <w:sz w:val="24"/>
          <w:szCs w:val="24"/>
        </w:rPr>
        <w:t xml:space="preserve">Ashworth, P., et al. (2003). What the heck is this? Conceptions of plagiarism among first-year university students. Higher Education, 45(3), 273-294.</w:t>
      </w:r>
    </w:p>
    <w:p>
      <w:pPr>
        <w:spacing w:after="0" w:line="360"/>
        <w:ind w:firstLine="480"/>
        <w:jc w:val="both"/>
      </w:pPr>
      <w:r>
        <w:rPr>
          <w:rFonts w:ascii="Times New Roman" w:eastAsia="SimSun"/>
          <w:color w:val="000000"/>
          <w:sz w:val="24"/>
          <w:szCs w:val="24"/>
        </w:rPr>
        <w:t xml:space="preserve">Becker, G. S. (1968). Crime and punishment: An economic approach. Journal of Political Economy, 76(2), 169-217.</w:t>
      </w:r>
    </w:p>
    <w:p>
      <w:pPr>
        <w:spacing w:after="0" w:line="360"/>
        <w:ind w:firstLine="480"/>
        <w:jc w:val="both"/>
      </w:pPr>
      <w:r>
        <w:rPr>
          <w:rFonts w:ascii="Times New Roman" w:eastAsia="SimSun"/>
          <w:color w:val="000000"/>
          <w:sz w:val="24"/>
          <w:szCs w:val="24"/>
        </w:rPr>
        <w:t xml:space="preserve">Becker, H. S. (1963). Outsiders: Studies in the Sociology of Deviance. New York: Free Press.</w:t>
      </w:r>
    </w:p>
    <w:p>
      <w:pPr>
        <w:spacing w:after="0" w:line="360"/>
        <w:ind w:firstLine="480"/>
        <w:jc w:val="both"/>
      </w:pPr>
      <w:r>
        <w:rPr>
          <w:rFonts w:ascii="Times New Roman" w:eastAsia="SimSun"/>
          <w:color w:val="000000"/>
          <w:sz w:val="24"/>
          <w:szCs w:val="24"/>
        </w:rPr>
        <w:t xml:space="preserve">Belter, C., &amp; Du Pré, A. (2009). A multi-institutional assessment of plagiarism detection software. Journal of Academic Librarianship, 35(6), 554-558.</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Bergadaà, M. (2015). Le plagiat académique — Comprendre pour agir. Paris : L'Harmattan, Coll. Questions contemporaines.</w:t>
      </w:r>
    </w:p>
    <w:p>
      <w:pPr>
        <w:spacing w:after="0" w:line="360"/>
        <w:ind w:firstLine="480"/>
        <w:jc w:val="both"/>
      </w:pPr>
      <w:r>
        <w:rPr>
          <w:rFonts w:ascii="Times New Roman" w:eastAsia="SimSun"/>
          <w:color w:val="000000"/>
          <w:sz w:val="24"/>
          <w:szCs w:val="24"/>
        </w:rPr>
        <w:t xml:space="preserve">Collins, B., Judge, G., &amp; Rickman, N. (2007). Contract cheating and commercialisation of university education. Economics of Education Review, 26(6), 681-689.</w:t>
      </w:r>
    </w:p>
    <w:p>
      <w:pPr>
        <w:spacing w:after="0" w:line="360"/>
        <w:ind w:firstLine="480"/>
        <w:jc w:val="both"/>
      </w:pPr>
      <w:r>
        <w:rPr>
          <w:rFonts w:ascii="Times New Roman" w:eastAsia="SimSun"/>
          <w:color w:val="000000"/>
          <w:sz w:val="24"/>
          <w:szCs w:val="24"/>
        </w:rPr>
        <w:t xml:space="preserve">Coulon, A. (1987). L'ethnométhodologie et le métier d'étudiant. In P. Lévêque (Ed.), La pensée sociologique (pp. 111-125). Paris : Privat.</w:t>
      </w:r>
    </w:p>
    <w:p>
      <w:pPr>
        <w:spacing w:after="0" w:line="360"/>
        <w:ind w:firstLine="480"/>
        <w:jc w:val="both"/>
      </w:pPr>
      <w:r>
        <w:rPr>
          <w:rFonts w:ascii="Times New Roman" w:eastAsia="SimSun"/>
          <w:color w:val="000000"/>
          <w:sz w:val="24"/>
          <w:szCs w:val="24"/>
        </w:rPr>
        <w:t xml:space="preserve">Davies, R., &amp; Howard, R. (2016). Plagiarism for beginners. In T. Lancaster (Ed.), Handbook of Academic Integrity (pp. 1-15). Springer.</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Glendinning, I. (2014). Overview of EU policies regarding academic integrity. European Journal of Higher Education, 4(1), 35-48.</w:t>
      </w:r>
    </w:p>
    <w:p>
      <w:pPr>
        <w:spacing w:after="0" w:line="360"/>
        <w:ind w:firstLine="480"/>
        <w:jc w:val="both"/>
      </w:pPr>
      <w:r>
        <w:rPr>
          <w:rFonts w:ascii="Times New Roman" w:eastAsia="SimSun"/>
          <w:color w:val="000000"/>
          <w:sz w:val="24"/>
          <w:szCs w:val="24"/>
        </w:rPr>
        <w:t xml:space="preserve">Guibert, P., &amp; Michaut, C. (2011). Le plagiat étudiant. Volume 28 of Education et sociétés, pp. 214. De Boeck Supérieur.</w:t>
      </w:r>
    </w:p>
    <w:p>
      <w:pPr>
        <w:spacing w:after="0" w:line="360"/>
        <w:ind w:firstLine="480"/>
        <w:jc w:val="both"/>
      </w:pPr>
      <w:r>
        <w:rPr>
          <w:rFonts w:ascii="Times New Roman" w:eastAsia="SimSun"/>
          <w:color w:val="000000"/>
          <w:sz w:val="24"/>
          <w:szCs w:val="24"/>
        </w:rPr>
        <w:t xml:space="preserve">Gullifer, L., &amp; Tyson, G. A. (2010). Exploring university students' perceptions of plagiarism: A focus group study. Studies in Higher Education, 39(2), 1-18.</w:t>
      </w:r>
    </w:p>
    <w:p>
      <w:pPr>
        <w:spacing w:after="0" w:line="360"/>
        <w:ind w:firstLine="480"/>
        <w:jc w:val="both"/>
      </w:pPr>
      <w:r>
        <w:rPr>
          <w:rFonts w:ascii="Times New Roman" w:eastAsia="SimSun"/>
          <w:color w:val="000000"/>
          <w:sz w:val="24"/>
          <w:szCs w:val="24"/>
        </w:rPr>
        <w:t xml:space="preserve">Howard, R. M. (1995). Plagiarisms, authorships, and the academic death penalty. College English, 57(7), 788-806.</w:t>
      </w:r>
    </w:p>
    <w:p>
      <w:pPr>
        <w:spacing w:after="0" w:line="360"/>
        <w:ind w:firstLine="480"/>
        <w:jc w:val="both"/>
      </w:pPr>
      <w:r>
        <w:rPr>
          <w:rFonts w:ascii="Times New Roman" w:eastAsia="SimSun"/>
          <w:color w:val="000000"/>
          <w:sz w:val="24"/>
          <w:szCs w:val="24"/>
        </w:rPr>
        <w:t xml:space="preserve">Kibler, L. L. (1994). A framework for institutional policies on academic dishonesty. In C. C. Love (Ed.), Academic integrity (pp. 65-76). Washington, DC: National Association of Student Personnel Administrators.</w:t>
      </w:r>
    </w:p>
    <w:p>
      <w:pPr>
        <w:spacing w:after="0" w:line="360"/>
        <w:ind w:firstLine="480"/>
        <w:jc w:val="both"/>
      </w:pPr>
      <w:r>
        <w:rPr>
          <w:rFonts w:ascii="Times New Roman" w:eastAsia="SimSun"/>
          <w:color w:val="000000"/>
          <w:sz w:val="24"/>
          <w:szCs w:val="24"/>
        </w:rPr>
        <w:t xml:space="preserve">Lancaster, T., &amp; Clarke, R. (2016). Contract cheating: the outsourcing of assessed student work. In Handbook of Academic Integrity. Springer.</w:t>
      </w:r>
    </w:p>
    <w:p>
      <w:pPr>
        <w:spacing w:after="0" w:line="360"/>
        <w:ind w:firstLine="480"/>
        <w:jc w:val="both"/>
      </w:pPr>
      <w:r>
        <w:rPr>
          <w:rFonts w:ascii="Times New Roman" w:eastAsia="SimSun"/>
          <w:color w:val="000000"/>
          <w:sz w:val="24"/>
          <w:szCs w:val="24"/>
        </w:rPr>
        <w:t xml:space="preserve">Löfström, E., Huotari, J., &amp; Kupila, P. (2017). Plagiarism detection software as a pedagogical tool. Assessment &amp; Evaluation in Higher Education, 42(1), 1-14.</w:t>
      </w:r>
    </w:p>
    <w:p>
      <w:pPr>
        <w:spacing w:after="0" w:line="360"/>
        <w:ind w:firstLine="480"/>
        <w:jc w:val="both"/>
      </w:pPr>
      <w:r>
        <w:rPr>
          <w:rFonts w:ascii="Times New Roman" w:eastAsia="SimSun"/>
          <w:color w:val="000000"/>
          <w:sz w:val="24"/>
          <w:szCs w:val="24"/>
        </w:rPr>
        <w:t xml:space="preserve">McCabe, D. L., &amp; Trevino, L. K. (1993). Academic dishonesty: Honor codes and other contextual influences. Journal of Higher Education, 64(5), 522-538.</w:t>
      </w:r>
    </w:p>
    <w:p>
      <w:pPr>
        <w:spacing w:after="0" w:line="360"/>
        <w:ind w:firstLine="480"/>
        <w:jc w:val="both"/>
      </w:pPr>
      <w:r>
        <w:rPr>
          <w:rFonts w:ascii="Times New Roman" w:eastAsia="SimSun"/>
          <w:color w:val="000000"/>
          <w:sz w:val="24"/>
          <w:szCs w:val="24"/>
        </w:rPr>
        <w:t xml:space="preserve">Park, C. (2003). In other (people's) words: Plagiarism by university students — literature and lessons. Assessment &amp; Evaluation in Higher Education, 28(5), 471-488.</w:t>
      </w:r>
    </w:p>
    <w:p>
      <w:pPr>
        <w:spacing w:after="0" w:line="360"/>
        <w:ind w:firstLine="480"/>
        <w:jc w:val="both"/>
      </w:pPr>
      <w:r>
        <w:rPr>
          <w:rFonts w:ascii="Times New Roman" w:eastAsia="SimSun"/>
          <w:color w:val="000000"/>
          <w:sz w:val="24"/>
          <w:szCs w:val="24"/>
        </w:rPr>
        <w:t xml:space="preserve">Paternoster, R. (1987). The deterrent effect of the perceived certainty and severity of punishment: A review of the evidence and issues. Justice Quarterly, 4(2), 173-217.</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Sims, R. L. (1995). The severity of academic dishonesty: A comparison of faculty and student views. Psychology in the Schools, 32(3), 233-238.</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Sutherland-Smith, W. (2011). How plagiarism detection software may help learning. International Journal for Educational Integrity, 7(1), 23-35.</w:t>
      </w:r>
    </w:p>
    <w:p>
      <w:pPr>
        <w:spacing w:after="0" w:line="360"/>
        <w:ind w:firstLine="480"/>
        <w:jc w:val="both"/>
      </w:pPr>
      <w:r>
        <w:rPr>
          <w:rFonts w:ascii="Times New Roman" w:eastAsia="SimSun"/>
          <w:color w:val="000000"/>
          <w:sz w:val="24"/>
          <w:szCs w:val="24"/>
        </w:rPr>
        <w:t xml:space="preserve">Sutherland-Smith, W. (2016). The intertwining of copyright and plagiarism in western academic contexts. In Handbook of Academic Integrity. Springer.</w:t>
      </w:r>
    </w:p>
    <w:p>
      <w:pPr>
        <w:spacing w:after="0" w:line="360"/>
        <w:ind w:firstLine="480"/>
        <w:jc w:val="both"/>
      </w:pPr>
      <w:r>
        <w:rPr>
          <w:rFonts w:ascii="Times New Roman" w:eastAsia="SimSun"/>
          <w:color w:val="000000"/>
          <w:sz w:val="24"/>
          <w:szCs w:val="24"/>
        </w:rPr>
        <w:t xml:space="preserve">Sutton, A., Taylor, D., &amp; Johnston, C. (2014). A study of students' perceptions of plagiarism: The INTEGRITY project. Journal of Academic Ethics, 12(1), 49-64.</w:t>
      </w:r>
    </w:p>
    <w:p>
      <w:pPr>
        <w:spacing w:after="0" w:line="360"/>
        <w:ind w:firstLine="480"/>
        <w:jc w:val="both"/>
      </w:pPr>
      <w:r>
        <w:rPr>
          <w:rFonts w:ascii="Times New Roman" w:eastAsia="SimSun"/>
          <w:color w:val="000000"/>
          <w:sz w:val="24"/>
          <w:szCs w:val="24"/>
        </w:rPr>
        <w:t xml:space="preserve">Sutherland, E. H., &amp; Cressey, D. R. (1966). Principles of Criminology (7th ed.). Philadelphia: Lippincott.</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42" w:name="_Toc100142"/>
      <w:r>
        <w:rPr>
          <w:rFonts w:ascii="Times New Roman" w:eastAsia="SimHei"/>
          <w:b/>
          <w:bCs/>
          <w:color w:val="000000"/>
          <w:sz w:val="30"/>
          <w:szCs w:val="30"/>
        </w:rPr>
        <w:t xml:space="preserve">Documentation technique</w:t>
      </w:r>
      <w:bookmarkEnd w:id="100142"/>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43" w:name="_Toc100143"/>
      <w:r>
        <w:rPr>
          <w:rFonts w:ascii="Times New Roman" w:eastAsia="SimHei"/>
          <w:b/>
          <w:bCs/>
          <w:color w:val="000000"/>
          <w:sz w:val="30"/>
          <w:szCs w:val="30"/>
        </w:rPr>
        <w:t xml:space="preserve">Sources académiques et institutionnelles</w:t>
      </w:r>
      <w:bookmarkEnd w:id="100143"/>
    </w:p>
    <w:p>
      <w:pPr>
        <w:spacing w:after="0" w:line="360"/>
        <w:ind w:firstLine="480"/>
        <w:jc w:val="both"/>
      </w:pPr>
      <w:r>
        <w:rPr>
          <w:rFonts w:ascii="Times New Roman" w:eastAsia="SimSun"/>
          <w:color w:val="000000"/>
          <w:sz w:val="24"/>
          <w:szCs w:val="24"/>
        </w:rPr>
        <w:t xml:space="preserve">Université de Kinshasa. (2023). Règlement intérieur de la Faculté des Sciences.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44" w:name="_Toc100144"/>
      <w:r>
        <w:rPr>
          <w:rFonts w:ascii="Times New Roman" w:eastAsia="SimHei"/>
          <w:b/>
          <w:bCs/>
          <w:color w:val="000000"/>
          <w:sz w:val="30"/>
          <w:szCs w:val="30"/>
        </w:rPr>
        <w:t xml:space="preserve">Ressources en ligne</w:t>
      </w:r>
      <w:bookmarkEnd w:id="100144"/>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Mémoire de Licence — Moïse KASOMBO — UNIKIN / Faculté des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image" Target="media/929082a45986b57f6f8ac1982eeff6151daf29e7.png"/><Relationship Id="rId22" Type="http://schemas.openxmlformats.org/officeDocument/2006/relationships/image" Target="media/14990dbc141f79457c27dda1db3c35c937e3f88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2026-06-18T22:47:43.136Z</dcterms:created>
  <dcterms:modified xsi:type="dcterms:W3CDTF">2026-06-18T22:47:43.136Z</dcterms:modified>
</cp:coreProperties>
</file>

<file path=docProps/custom.xml><?xml version="1.0" encoding="utf-8"?>
<Properties xmlns="http://schemas.openxmlformats.org/officeDocument/2006/custom-properties" xmlns:vt="http://schemas.openxmlformats.org/officeDocument/2006/docPropsVTypes"/>
</file>