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31</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32</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32</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32</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32</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33</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33</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33</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33</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34</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34</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35</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35</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35</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36</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36</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37</w:t>
            </w:r>
            <w:r>
              <w:fldChar w:fldCharType="end"/>
            </w:r>
          </w:hyperlink>
        </w:p>
        <w:p>
          <w:pPr>
            <w:pStyle w:val="9"/>
            <w:tabs>
              <w:tab w:val="right" w:leader="dot" w:pos="9026"/>
            </w:tabs>
            <w:spacing w:before="120" w:after="60"/>
          </w:pPr>
          <w:hyperlink w:anchor="_Toc100087" w:history="1">
            <w:r>
              <w:rPr>
                <w:rStyle w:val="Hyperlink"/>
              </w:rPr>
              <w:t>CHAPITRE IV — IMPLÉMENTATION, EXPÉRIMENTATION ET ÉVALUATION</w:t>
            </w:r>
            <w:r>
              <w:tab/>
            </w:r>
            <w:r>
              <w:fldChar w:fldCharType="begin"/>
            </w:r>
            <w:r>
              <w:instrText xml:space="preserve"> PAGEREF _Toc100087 \h </w:instrText>
            </w:r>
            <w:r>
              <w:fldChar w:fldCharType="separate"/>
            </w:r>
            <w:r>
              <w:t>37</w:t>
            </w:r>
            <w:r>
              <w:fldChar w:fldCharType="end"/>
            </w:r>
          </w:hyperlink>
        </w:p>
        <w:p>
          <w:pPr>
            <w:pStyle w:val="11"/>
            <w:ind w:left="360"/>
            <w:tabs>
              <w:tab w:val="right" w:leader="dot" w:pos="9026"/>
            </w:tabs>
            <w:spacing w:before="120" w:after="60"/>
          </w:pPr>
          <w:hyperlink w:anchor="_Toc100088" w:history="1">
            <w:r>
              <w:rPr>
                <w:rStyle w:val="Hyperlink"/>
              </w:rPr>
              <w:t>IV.1. Introduction</w:t>
            </w:r>
            <w:r>
              <w:tab/>
            </w:r>
            <w:r>
              <w:fldChar w:fldCharType="begin"/>
            </w:r>
            <w:r>
              <w:instrText xml:space="preserve"> PAGEREF _Toc100088 \h </w:instrText>
            </w:r>
            <w:r>
              <w:fldChar w:fldCharType="separate"/>
            </w:r>
            <w:r>
              <w:t>37</w:t>
            </w:r>
            <w:r>
              <w:fldChar w:fldCharType="end"/>
            </w:r>
          </w:hyperlink>
        </w:p>
        <w:p>
          <w:pPr>
            <w:pStyle w:val="11"/>
            <w:ind w:left="360"/>
            <w:tabs>
              <w:tab w:val="right" w:leader="dot" w:pos="9026"/>
            </w:tabs>
            <w:spacing w:before="120" w:after="60"/>
          </w:pPr>
          <w:hyperlink w:anchor="_Toc100089" w:history="1">
            <w:r>
              <w:rPr>
                <w:rStyle w:val="Hyperlink"/>
              </w:rPr>
              <w:t>IV.2. Stack technique</w:t>
            </w:r>
            <w:r>
              <w:tab/>
            </w:r>
            <w:r>
              <w:fldChar w:fldCharType="begin"/>
            </w:r>
            <w:r>
              <w:instrText xml:space="preserve"> PAGEREF _Toc100089 \h </w:instrText>
            </w:r>
            <w:r>
              <w:fldChar w:fldCharType="separate"/>
            </w:r>
            <w:r>
              <w:t>38</w:t>
            </w:r>
            <w:r>
              <w:fldChar w:fldCharType="end"/>
            </w:r>
          </w:hyperlink>
        </w:p>
        <w:p>
          <w:pPr>
            <w:pStyle w:val="11"/>
            <w:ind w:left="360"/>
            <w:tabs>
              <w:tab w:val="right" w:leader="dot" w:pos="9026"/>
            </w:tabs>
            <w:spacing w:before="120" w:after="60"/>
          </w:pPr>
          <w:hyperlink w:anchor="_Toc100090" w:history="1">
            <w:r>
              <w:rPr>
                <w:rStyle w:val="Hyperlink"/>
              </w:rPr>
              <w:t>IV.3. Architecture logicielle implémentée</w:t>
            </w:r>
            <w:r>
              <w:tab/>
            </w:r>
            <w:r>
              <w:fldChar w:fldCharType="begin"/>
            </w:r>
            <w:r>
              <w:instrText xml:space="preserve"> PAGEREF _Toc100090 \h </w:instrText>
            </w:r>
            <w:r>
              <w:fldChar w:fldCharType="separate"/>
            </w:r>
            <w:r>
              <w:t>38</w:t>
            </w:r>
            <w:r>
              <w:fldChar w:fldCharType="end"/>
            </w:r>
          </w:hyperlink>
        </w:p>
        <w:p>
          <w:pPr>
            <w:pStyle w:val="12"/>
            <w:ind w:left="720"/>
            <w:tabs>
              <w:tab w:val="right" w:leader="dot" w:pos="9026"/>
            </w:tabs>
            <w:spacing w:before="120" w:after="60"/>
          </w:pPr>
          <w:hyperlink w:anchor="_Toc100091" w:history="1">
            <w:r>
              <w:rPr>
                <w:rStyle w:val="Hyperlink"/>
              </w:rPr>
              <w:t>IV.3.1. Structure du projet</w:t>
            </w:r>
            <w:r>
              <w:tab/>
            </w:r>
            <w:r>
              <w:fldChar w:fldCharType="begin"/>
            </w:r>
            <w:r>
              <w:instrText xml:space="preserve"> PAGEREF _Toc100091 \h </w:instrText>
            </w:r>
            <w:r>
              <w:fldChar w:fldCharType="separate"/>
            </w:r>
            <w:r>
              <w:t>38</w:t>
            </w:r>
            <w:r>
              <w:fldChar w:fldCharType="end"/>
            </w:r>
          </w:hyperlink>
        </w:p>
        <w:p>
          <w:pPr>
            <w:pStyle w:val="12"/>
            <w:ind w:left="720"/>
            <w:tabs>
              <w:tab w:val="right" w:leader="dot" w:pos="9026"/>
            </w:tabs>
            <w:spacing w:before="120" w:after="60"/>
          </w:pPr>
          <w:hyperlink w:anchor="_Toc100092" w:history="1">
            <w:r>
              <w:rPr>
                <w:rStyle w:val="Hyperlink"/>
              </w:rPr>
              <w:t>IV.3.2. Architecture en couches</w:t>
            </w:r>
            <w:r>
              <w:tab/>
            </w:r>
            <w:r>
              <w:fldChar w:fldCharType="begin"/>
            </w:r>
            <w:r>
              <w:instrText xml:space="preserve"> PAGEREF _Toc100092 \h </w:instrText>
            </w:r>
            <w:r>
              <w:fldChar w:fldCharType="separate"/>
            </w:r>
            <w:r>
              <w:t>43</w:t>
            </w:r>
            <w:r>
              <w:fldChar w:fldCharType="end"/>
            </w:r>
          </w:hyperlink>
        </w:p>
        <w:p>
          <w:pPr>
            <w:pStyle w:val="11"/>
            <w:ind w:left="360"/>
            <w:tabs>
              <w:tab w:val="right" w:leader="dot" w:pos="9026"/>
            </w:tabs>
            <w:spacing w:before="120" w:after="60"/>
          </w:pPr>
          <w:hyperlink w:anchor="_Toc100093" w:history="1">
            <w:r>
              <w:rPr>
                <w:rStyle w:val="Hyperlink"/>
              </w:rPr>
              <w:t>IV.4. Authentification et contrôle d'accès</w:t>
            </w:r>
            <w:r>
              <w:tab/>
            </w:r>
            <w:r>
              <w:fldChar w:fldCharType="begin"/>
            </w:r>
            <w:r>
              <w:instrText xml:space="preserve"> PAGEREF _Toc100093 \h </w:instrText>
            </w:r>
            <w:r>
              <w:fldChar w:fldCharType="separate"/>
            </w:r>
            <w:r>
              <w:t>43</w:t>
            </w:r>
            <w:r>
              <w:fldChar w:fldCharType="end"/>
            </w:r>
          </w:hyperlink>
        </w:p>
        <w:p>
          <w:pPr>
            <w:pStyle w:val="11"/>
            <w:ind w:left="360"/>
            <w:tabs>
              <w:tab w:val="right" w:leader="dot" w:pos="9026"/>
            </w:tabs>
            <w:spacing w:before="120" w:after="60"/>
          </w:pPr>
          <w:hyperlink w:anchor="_Toc100094" w:history="1">
            <w:r>
              <w:rPr>
                <w:rStyle w:val="Hyperlink"/>
              </w:rPr>
              <w:t>IV.5. Back-office administrateur</w:t>
            </w:r>
            <w:r>
              <w:tab/>
            </w:r>
            <w:r>
              <w:fldChar w:fldCharType="begin"/>
            </w:r>
            <w:r>
              <w:instrText xml:space="preserve"> PAGEREF _Toc100094 \h </w:instrText>
            </w:r>
            <w:r>
              <w:fldChar w:fldCharType="separate"/>
            </w:r>
            <w:r>
              <w:t>48</w:t>
            </w:r>
            <w:r>
              <w:fldChar w:fldCharType="end"/>
            </w:r>
          </w:hyperlink>
        </w:p>
        <w:p>
          <w:pPr>
            <w:pStyle w:val="12"/>
            <w:ind w:left="720"/>
            <w:tabs>
              <w:tab w:val="right" w:leader="dot" w:pos="9026"/>
            </w:tabs>
            <w:spacing w:before="120" w:after="60"/>
          </w:pPr>
          <w:hyperlink w:anchor="_Toc100095" w:history="1">
            <w:r>
              <w:rPr>
                <w:rStyle w:val="Hyperlink"/>
              </w:rPr>
              <w:t>IV.5.1. Tableau de bord principal</w:t>
            </w:r>
            <w:r>
              <w:tab/>
            </w:r>
            <w:r>
              <w:fldChar w:fldCharType="begin"/>
            </w:r>
            <w:r>
              <w:instrText xml:space="preserve"> PAGEREF _Toc100095 \h </w:instrText>
            </w:r>
            <w:r>
              <w:fldChar w:fldCharType="separate"/>
            </w:r>
            <w:r>
              <w:t>48</w:t>
            </w:r>
            <w:r>
              <w:fldChar w:fldCharType="end"/>
            </w:r>
          </w:hyperlink>
        </w:p>
        <w:p>
          <w:pPr>
            <w:pStyle w:val="12"/>
            <w:ind w:left="720"/>
            <w:tabs>
              <w:tab w:val="right" w:leader="dot" w:pos="9026"/>
            </w:tabs>
            <w:spacing w:before="120" w:after="60"/>
          </w:pPr>
          <w:hyperlink w:anchor="_Toc100096" w:history="1">
            <w:r>
              <w:rPr>
                <w:rStyle w:val="Hyperlink"/>
              </w:rPr>
              <w:t>IV.5.2. Gestion des facultés</w:t>
            </w:r>
            <w:r>
              <w:tab/>
            </w:r>
            <w:r>
              <w:fldChar w:fldCharType="begin"/>
            </w:r>
            <w:r>
              <w:instrText xml:space="preserve"> PAGEREF _Toc100096 \h </w:instrText>
            </w:r>
            <w:r>
              <w:fldChar w:fldCharType="separate"/>
            </w:r>
            <w:r>
              <w:t>49</w:t>
            </w:r>
            <w:r>
              <w:fldChar w:fldCharType="end"/>
            </w:r>
          </w:hyperlink>
        </w:p>
        <w:p>
          <w:pPr>
            <w:pStyle w:val="12"/>
            <w:ind w:left="720"/>
            <w:tabs>
              <w:tab w:val="right" w:leader="dot" w:pos="9026"/>
            </w:tabs>
            <w:spacing w:before="120" w:after="60"/>
          </w:pPr>
          <w:hyperlink w:anchor="_Toc100097" w:history="1">
            <w:r>
              <w:rPr>
                <w:rStyle w:val="Hyperlink"/>
              </w:rPr>
              <w:t>IV.5.3. Gestion des utilisateurs</w:t>
            </w:r>
            <w:r>
              <w:tab/>
            </w:r>
            <w:r>
              <w:fldChar w:fldCharType="begin"/>
            </w:r>
            <w:r>
              <w:instrText xml:space="preserve"> PAGEREF _Toc100097 \h </w:instrText>
            </w:r>
            <w:r>
              <w:fldChar w:fldCharType="separate"/>
            </w:r>
            <w:r>
              <w:t>49</w:t>
            </w:r>
            <w:r>
              <w:fldChar w:fldCharType="end"/>
            </w:r>
          </w:hyperlink>
        </w:p>
        <w:p>
          <w:pPr>
            <w:pStyle w:val="12"/>
            <w:ind w:left="720"/>
            <w:tabs>
              <w:tab w:val="right" w:leader="dot" w:pos="9026"/>
            </w:tabs>
            <w:spacing w:before="120" w:after="60"/>
          </w:pPr>
          <w:hyperlink w:anchor="_Toc100098" w:history="1">
            <w:r>
              <w:rPr>
                <w:rStyle w:val="Hyperlink"/>
              </w:rPr>
              <w:t>IV.5.4. Gestion des documents</w:t>
            </w:r>
            <w:r>
              <w:tab/>
            </w:r>
            <w:r>
              <w:fldChar w:fldCharType="begin"/>
            </w:r>
            <w:r>
              <w:instrText xml:space="preserve"> PAGEREF _Toc100098 \h </w:instrText>
            </w:r>
            <w:r>
              <w:fldChar w:fldCharType="separate"/>
            </w:r>
            <w:r>
              <w:t>49</w:t>
            </w:r>
            <w:r>
              <w:fldChar w:fldCharType="end"/>
            </w:r>
          </w:hyperlink>
        </w:p>
        <w:p>
          <w:pPr>
            <w:pStyle w:val="11"/>
            <w:ind w:left="360"/>
            <w:tabs>
              <w:tab w:val="right" w:leader="dot" w:pos="9026"/>
            </w:tabs>
            <w:spacing w:before="120" w:after="60"/>
          </w:pPr>
          <w:hyperlink w:anchor="_Toc100099" w:history="1">
            <w:r>
              <w:rPr>
                <w:rStyle w:val="Hyperlink"/>
              </w:rPr>
              <w:t>IV.6. Moteur IA de détection du plagiat</w:t>
            </w:r>
            <w:r>
              <w:tab/>
            </w:r>
            <w:r>
              <w:fldChar w:fldCharType="begin"/>
            </w:r>
            <w:r>
              <w:instrText xml:space="preserve"> PAGEREF _Toc100099 \h </w:instrText>
            </w:r>
            <w:r>
              <w:fldChar w:fldCharType="separate"/>
            </w:r>
            <w:r>
              <w:t>50</w:t>
            </w:r>
            <w:r>
              <w:fldChar w:fldCharType="end"/>
            </w:r>
          </w:hyperlink>
        </w:p>
        <w:p>
          <w:pPr>
            <w:pStyle w:val="12"/>
            <w:ind w:left="720"/>
            <w:tabs>
              <w:tab w:val="right" w:leader="dot" w:pos="9026"/>
            </w:tabs>
            <w:spacing w:before="120" w:after="60"/>
          </w:pPr>
          <w:hyperlink w:anchor="_Toc100100" w:history="1">
            <w:r>
              <w:rPr>
                <w:rStyle w:val="Hyperlink"/>
              </w:rPr>
              <w:t>IV.6.1. Architecture du moteur</w:t>
            </w:r>
            <w:r>
              <w:tab/>
            </w:r>
            <w:r>
              <w:fldChar w:fldCharType="begin"/>
            </w:r>
            <w:r>
              <w:instrText xml:space="preserve"> PAGEREF _Toc100100 \h </w:instrText>
            </w:r>
            <w:r>
              <w:fldChar w:fldCharType="separate"/>
            </w:r>
            <w:r>
              <w:t>50</w:t>
            </w:r>
            <w:r>
              <w:fldChar w:fldCharType="end"/>
            </w:r>
          </w:hyperlink>
        </w:p>
        <w:p>
          <w:pPr>
            <w:pStyle w:val="12"/>
            <w:ind w:left="720"/>
            <w:tabs>
              <w:tab w:val="right" w:leader="dot" w:pos="9026"/>
            </w:tabs>
            <w:spacing w:before="120" w:after="60"/>
          </w:pPr>
          <w:hyperlink w:anchor="_Toc100101" w:history="1">
            <w:r>
              <w:rPr>
                <w:rStyle w:val="Hyperlink"/>
              </w:rPr>
              <w:t>IV.6.2. Prétraitement NLP</w:t>
            </w:r>
            <w:r>
              <w:tab/>
            </w:r>
            <w:r>
              <w:fldChar w:fldCharType="begin"/>
            </w:r>
            <w:r>
              <w:instrText xml:space="preserve"> PAGEREF _Toc100101 \h </w:instrText>
            </w:r>
            <w:r>
              <w:fldChar w:fldCharType="separate"/>
            </w:r>
            <w:r>
              <w:t>50</w:t>
            </w:r>
            <w:r>
              <w:fldChar w:fldCharType="end"/>
            </w:r>
          </w:hyperlink>
        </w:p>
        <w:p>
          <w:pPr>
            <w:pStyle w:val="12"/>
            <w:ind w:left="720"/>
            <w:tabs>
              <w:tab w:val="right" w:leader="dot" w:pos="9026"/>
            </w:tabs>
            <w:spacing w:before="120" w:after="60"/>
          </w:pPr>
          <w:hyperlink w:anchor="_Toc100102" w:history="1">
            <w:r>
              <w:rPr>
                <w:rStyle w:val="Hyperlink"/>
              </w:rPr>
              <w:t>IV.6.3. Vectorisation TF-IDF</w:t>
            </w:r>
            <w:r>
              <w:tab/>
            </w:r>
            <w:r>
              <w:fldChar w:fldCharType="begin"/>
            </w:r>
            <w:r>
              <w:instrText xml:space="preserve"> PAGEREF _Toc100102 \h </w:instrText>
            </w:r>
            <w:r>
              <w:fldChar w:fldCharType="separate"/>
            </w:r>
            <w:r>
              <w:t>53</w:t>
            </w:r>
            <w:r>
              <w:fldChar w:fldCharType="end"/>
            </w:r>
          </w:hyperlink>
        </w:p>
        <w:p>
          <w:pPr>
            <w:pStyle w:val="12"/>
            <w:ind w:left="720"/>
            <w:tabs>
              <w:tab w:val="right" w:leader="dot" w:pos="9026"/>
            </w:tabs>
            <w:spacing w:before="120" w:after="60"/>
          </w:pPr>
          <w:hyperlink w:anchor="_Toc100103" w:history="1">
            <w:r>
              <w:rPr>
                <w:rStyle w:val="Hyperlink"/>
              </w:rPr>
              <w:t>IV.6.4. Similarité et classification</w:t>
            </w:r>
            <w:r>
              <w:tab/>
            </w:r>
            <w:r>
              <w:fldChar w:fldCharType="begin"/>
            </w:r>
            <w:r>
              <w:instrText xml:space="preserve"> PAGEREF _Toc100103 \h </w:instrText>
            </w:r>
            <w:r>
              <w:fldChar w:fldCharType="separate"/>
            </w:r>
            <w:r>
              <w:t>56</w:t>
            </w:r>
            <w:r>
              <w:fldChar w:fldCharType="end"/>
            </w:r>
          </w:hyperlink>
        </w:p>
        <w:p>
          <w:pPr>
            <w:pStyle w:val="12"/>
            <w:ind w:left="720"/>
            <w:tabs>
              <w:tab w:val="right" w:leader="dot" w:pos="9026"/>
            </w:tabs>
            <w:spacing w:before="120" w:after="60"/>
          </w:pPr>
          <w:hyperlink w:anchor="_Toc100104" w:history="1">
            <w:r>
              <w:rPr>
                <w:rStyle w:val="Hyperlink"/>
              </w:rPr>
              <w:t>IV.6.5. Page supervision des analyses</w:t>
            </w:r>
            <w:r>
              <w:tab/>
            </w:r>
            <w:r>
              <w:fldChar w:fldCharType="begin"/>
            </w:r>
            <w:r>
              <w:instrText xml:space="preserve"> PAGEREF _Toc100104 \h </w:instrText>
            </w:r>
            <w:r>
              <w:fldChar w:fldCharType="separate"/>
            </w:r>
            <w:r>
              <w:t>56</w:t>
            </w:r>
            <w:r>
              <w:fldChar w:fldCharType="end"/>
            </w:r>
          </w:hyperlink>
        </w:p>
        <w:p>
          <w:pPr>
            <w:pStyle w:val="11"/>
            <w:ind w:left="360"/>
            <w:tabs>
              <w:tab w:val="right" w:leader="dot" w:pos="9026"/>
            </w:tabs>
            <w:spacing w:before="120" w:after="60"/>
          </w:pPr>
          <w:hyperlink w:anchor="_Toc100105" w:history="1">
            <w:r>
              <w:rPr>
                <w:rStyle w:val="Hyperlink"/>
              </w:rPr>
              <w:t>IV.7. Visualisation des résultats d'analyse</w:t>
            </w:r>
            <w:r>
              <w:tab/>
            </w:r>
            <w:r>
              <w:fldChar w:fldCharType="begin"/>
            </w:r>
            <w:r>
              <w:instrText xml:space="preserve"> PAGEREF _Toc100105 \h </w:instrText>
            </w:r>
            <w:r>
              <w:fldChar w:fldCharType="separate"/>
            </w:r>
            <w:r>
              <w:t>56</w:t>
            </w:r>
            <w:r>
              <w:fldChar w:fldCharType="end"/>
            </w:r>
          </w:hyperlink>
        </w:p>
        <w:p>
          <w:pPr>
            <w:pStyle w:val="11"/>
            <w:ind w:left="360"/>
            <w:tabs>
              <w:tab w:val="right" w:leader="dot" w:pos="9026"/>
            </w:tabs>
            <w:spacing w:before="120" w:after="60"/>
          </w:pPr>
          <w:hyperlink w:anchor="_Toc100106" w:history="1">
            <w:r>
              <w:rPr>
                <w:rStyle w:val="Hyperlink"/>
              </w:rPr>
              <w:t>IV.8. Génération automatique de rapports PDF</w:t>
            </w:r>
            <w:r>
              <w:tab/>
            </w:r>
            <w:r>
              <w:fldChar w:fldCharType="begin"/>
            </w:r>
            <w:r>
              <w:instrText xml:space="preserve"> PAGEREF _Toc100106 \h </w:instrText>
            </w:r>
            <w:r>
              <w:fldChar w:fldCharType="separate"/>
            </w:r>
            <w:r>
              <w:t>57</w:t>
            </w:r>
            <w:r>
              <w:fldChar w:fldCharType="end"/>
            </w:r>
          </w:hyperlink>
        </w:p>
        <w:p>
          <w:pPr>
            <w:pStyle w:val="11"/>
            <w:ind w:left="360"/>
            <w:tabs>
              <w:tab w:val="right" w:leader="dot" w:pos="9026"/>
            </w:tabs>
            <w:spacing w:before="120" w:after="60"/>
          </w:pPr>
          <w:hyperlink w:anchor="_Toc100107" w:history="1">
            <w:r>
              <w:rPr>
                <w:rStyle w:val="Hyperlink"/>
              </w:rPr>
              <w:t>IV.9. Journal d'audit et paramètres système</w:t>
            </w:r>
            <w:r>
              <w:tab/>
            </w:r>
            <w:r>
              <w:fldChar w:fldCharType="begin"/>
            </w:r>
            <w:r>
              <w:instrText xml:space="preserve"> PAGEREF _Toc100107 \h </w:instrText>
            </w:r>
            <w:r>
              <w:fldChar w:fldCharType="separate"/>
            </w:r>
            <w:r>
              <w:t>58</w:t>
            </w:r>
            <w:r>
              <w:fldChar w:fldCharType="end"/>
            </w:r>
          </w:hyperlink>
        </w:p>
        <w:p>
          <w:pPr>
            <w:pStyle w:val="11"/>
            <w:ind w:left="360"/>
            <w:tabs>
              <w:tab w:val="right" w:leader="dot" w:pos="9026"/>
            </w:tabs>
            <w:spacing w:before="120" w:after="60"/>
          </w:pPr>
          <w:hyperlink w:anchor="_Toc100108" w:history="1">
            <w:r>
              <w:rPr>
                <w:rStyle w:val="Hyperlink"/>
              </w:rPr>
              <w:t>IV.10. Expérimentation sur corpus pilote</w:t>
            </w:r>
            <w:r>
              <w:tab/>
            </w:r>
            <w:r>
              <w:fldChar w:fldCharType="begin"/>
            </w:r>
            <w:r>
              <w:instrText xml:space="preserve"> PAGEREF _Toc100108 \h </w:instrText>
            </w:r>
            <w:r>
              <w:fldChar w:fldCharType="separate"/>
            </w:r>
            <w:r>
              <w:t>58</w:t>
            </w:r>
            <w:r>
              <w:fldChar w:fldCharType="end"/>
            </w:r>
          </w:hyperlink>
        </w:p>
        <w:p>
          <w:pPr>
            <w:pStyle w:val="12"/>
            <w:ind w:left="720"/>
            <w:tabs>
              <w:tab w:val="right" w:leader="dot" w:pos="9026"/>
            </w:tabs>
            <w:spacing w:before="120" w:after="60"/>
          </w:pPr>
          <w:hyperlink w:anchor="_Toc100109" w:history="1">
            <w:r>
              <w:rPr>
                <w:rStyle w:val="Hyperlink"/>
              </w:rPr>
              <w:t>IV.10.1. Constitution du corpus pilote</w:t>
            </w:r>
            <w:r>
              <w:tab/>
            </w:r>
            <w:r>
              <w:fldChar w:fldCharType="begin"/>
            </w:r>
            <w:r>
              <w:instrText xml:space="preserve"> PAGEREF _Toc100109 \h </w:instrText>
            </w:r>
            <w:r>
              <w:fldChar w:fldCharType="separate"/>
            </w:r>
            <w:r>
              <w:t>59</w:t>
            </w:r>
            <w:r>
              <w:fldChar w:fldCharType="end"/>
            </w:r>
          </w:hyperlink>
        </w:p>
        <w:p>
          <w:pPr>
            <w:pStyle w:val="12"/>
            <w:ind w:left="720"/>
            <w:tabs>
              <w:tab w:val="right" w:leader="dot" w:pos="9026"/>
            </w:tabs>
            <w:spacing w:before="120" w:after="60"/>
          </w:pPr>
          <w:hyperlink w:anchor="_Toc100110" w:history="1">
            <w:r>
              <w:rPr>
                <w:rStyle w:val="Hyperlink"/>
              </w:rPr>
              <w:t>IV.10.2. Protocole d'évaluation</w:t>
            </w:r>
            <w:r>
              <w:tab/>
            </w:r>
            <w:r>
              <w:fldChar w:fldCharType="begin"/>
            </w:r>
            <w:r>
              <w:instrText xml:space="preserve"> PAGEREF _Toc100110 \h </w:instrText>
            </w:r>
            <w:r>
              <w:fldChar w:fldCharType="separate"/>
            </w:r>
            <w:r>
              <w:t>59</w:t>
            </w:r>
            <w:r>
              <w:fldChar w:fldCharType="end"/>
            </w:r>
          </w:hyperlink>
        </w:p>
        <w:p>
          <w:pPr>
            <w:pStyle w:val="12"/>
            <w:ind w:left="720"/>
            <w:tabs>
              <w:tab w:val="right" w:leader="dot" w:pos="9026"/>
            </w:tabs>
            <w:spacing w:before="120" w:after="60"/>
          </w:pPr>
          <w:hyperlink w:anchor="_Toc100111" w:history="1">
            <w:r>
              <w:rPr>
                <w:rStyle w:val="Hyperlink"/>
              </w:rPr>
              <w:t>IV.10.3. Résultats quantitatifs</w:t>
            </w:r>
            <w:r>
              <w:tab/>
            </w:r>
            <w:r>
              <w:fldChar w:fldCharType="begin"/>
            </w:r>
            <w:r>
              <w:instrText xml:space="preserve"> PAGEREF _Toc100111 \h </w:instrText>
            </w:r>
            <w:r>
              <w:fldChar w:fldCharType="separate"/>
            </w:r>
            <w:r>
              <w:t>59</w:t>
            </w:r>
            <w:r>
              <w:fldChar w:fldCharType="end"/>
            </w:r>
          </w:hyperlink>
        </w:p>
        <w:p>
          <w:pPr>
            <w:pStyle w:val="12"/>
            <w:ind w:left="720"/>
            <w:tabs>
              <w:tab w:val="right" w:leader="dot" w:pos="9026"/>
            </w:tabs>
            <w:spacing w:before="120" w:after="60"/>
          </w:pPr>
          <w:hyperlink w:anchor="_Toc100112" w:history="1">
            <w:r>
              <w:rPr>
                <w:rStyle w:val="Hyperlink"/>
              </w:rPr>
              <w:t>IV.10.4. Analyse détaillée par document</w:t>
            </w:r>
            <w:r>
              <w:tab/>
            </w:r>
            <w:r>
              <w:fldChar w:fldCharType="begin"/>
            </w:r>
            <w:r>
              <w:instrText xml:space="preserve"> PAGEREF _Toc100112 \h </w:instrText>
            </w:r>
            <w:r>
              <w:fldChar w:fldCharType="separate"/>
            </w:r>
            <w:r>
              <w:t>61</w:t>
            </w:r>
            <w:r>
              <w:fldChar w:fldCharType="end"/>
            </w:r>
          </w:hyperlink>
        </w:p>
        <w:p>
          <w:pPr>
            <w:pStyle w:val="12"/>
            <w:ind w:left="720"/>
            <w:tabs>
              <w:tab w:val="right" w:leader="dot" w:pos="9026"/>
            </w:tabs>
            <w:spacing w:before="120" w:after="60"/>
          </w:pPr>
          <w:hyperlink w:anchor="_Toc100113" w:history="1">
            <w:r>
              <w:rPr>
                <w:rStyle w:val="Hyperlink"/>
              </w:rPr>
              <w:t>IV.10.5. Analyse des correspondances détectées</w:t>
            </w:r>
            <w:r>
              <w:tab/>
            </w:r>
            <w:r>
              <w:fldChar w:fldCharType="begin"/>
            </w:r>
            <w:r>
              <w:instrText xml:space="preserve"> PAGEREF _Toc100113 \h </w:instrText>
            </w:r>
            <w:r>
              <w:fldChar w:fldCharType="separate"/>
            </w:r>
            <w:r>
              <w:t>61</w:t>
            </w:r>
            <w:r>
              <w:fldChar w:fldCharType="end"/>
            </w:r>
          </w:hyperlink>
        </w:p>
        <w:p>
          <w:pPr>
            <w:pStyle w:val="11"/>
            <w:ind w:left="360"/>
            <w:tabs>
              <w:tab w:val="right" w:leader="dot" w:pos="9026"/>
            </w:tabs>
            <w:spacing w:before="120" w:after="60"/>
          </w:pPr>
          <w:hyperlink w:anchor="_Toc100114" w:history="1">
            <w:r>
              <w:rPr>
                <w:rStyle w:val="Hyperlink"/>
              </w:rPr>
              <w:t>IV.11. Performances et scalabilité</w:t>
            </w:r>
            <w:r>
              <w:tab/>
            </w:r>
            <w:r>
              <w:fldChar w:fldCharType="begin"/>
            </w:r>
            <w:r>
              <w:instrText xml:space="preserve"> PAGEREF _Toc100114 \h </w:instrText>
            </w:r>
            <w:r>
              <w:fldChar w:fldCharType="separate"/>
            </w:r>
            <w:r>
              <w:t>62</w:t>
            </w:r>
            <w:r>
              <w:fldChar w:fldCharType="end"/>
            </w:r>
          </w:hyperlink>
        </w:p>
        <w:p>
          <w:pPr>
            <w:pStyle w:val="11"/>
            <w:ind w:left="360"/>
            <w:tabs>
              <w:tab w:val="right" w:leader="dot" w:pos="9026"/>
            </w:tabs>
            <w:spacing w:before="120" w:after="60"/>
          </w:pPr>
          <w:hyperlink w:anchor="_Toc100115" w:history="1">
            <w:r>
              <w:rPr>
                <w:rStyle w:val="Hyperlink"/>
              </w:rPr>
              <w:t>IV.12. Limites observées</w:t>
            </w:r>
            <w:r>
              <w:tab/>
            </w:r>
            <w:r>
              <w:fldChar w:fldCharType="begin"/>
            </w:r>
            <w:r>
              <w:instrText xml:space="preserve"> PAGEREF _Toc100115 \h </w:instrText>
            </w:r>
            <w:r>
              <w:fldChar w:fldCharType="separate"/>
            </w:r>
            <w:r>
              <w:t>62</w:t>
            </w:r>
            <w:r>
              <w:fldChar w:fldCharType="end"/>
            </w:r>
          </w:hyperlink>
        </w:p>
        <w:p>
          <w:pPr>
            <w:pStyle w:val="11"/>
            <w:ind w:left="360"/>
            <w:tabs>
              <w:tab w:val="right" w:leader="dot" w:pos="9026"/>
            </w:tabs>
            <w:spacing w:before="120" w:after="60"/>
          </w:pPr>
          <w:hyperlink w:anchor="_Toc100116" w:history="1">
            <w:r>
              <w:rPr>
                <w:rStyle w:val="Hyperlink"/>
              </w:rPr>
              <w:t>IV.13. Conclusion</w:t>
            </w:r>
            <w:r>
              <w:tab/>
            </w:r>
            <w:r>
              <w:fldChar w:fldCharType="begin"/>
            </w:r>
            <w:r>
              <w:instrText xml:space="preserve"> PAGEREF _Toc100116 \h </w:instrText>
            </w:r>
            <w:r>
              <w:fldChar w:fldCharType="separate"/>
            </w:r>
            <w:r>
              <w:t>63</w:t>
            </w:r>
            <w:r>
              <w:fldChar w:fldCharType="end"/>
            </w:r>
          </w:hyperlink>
        </w:p>
        <w:p>
          <w:pPr>
            <w:pStyle w:val="9"/>
            <w:tabs>
              <w:tab w:val="right" w:leader="dot" w:pos="9026"/>
            </w:tabs>
            <w:spacing w:before="120" w:after="60"/>
          </w:pPr>
          <w:hyperlink w:anchor="_Toc100117" w:history="1">
            <w:r>
              <w:rPr>
                <w:rStyle w:val="Hyperlink"/>
              </w:rPr>
              <w:t>CONCLUSION GÉNÉRALE</w:t>
            </w:r>
            <w:r>
              <w:tab/>
            </w:r>
            <w:r>
              <w:fldChar w:fldCharType="begin"/>
            </w:r>
            <w:r>
              <w:instrText xml:space="preserve"> PAGEREF _Toc100117 \h </w:instrText>
            </w:r>
            <w:r>
              <w:fldChar w:fldCharType="separate"/>
            </w:r>
            <w:r>
              <w:t>64</w:t>
            </w:r>
            <w:r>
              <w:fldChar w:fldCharType="end"/>
            </w:r>
          </w:hyperlink>
        </w:p>
        <w:p>
          <w:pPr>
            <w:pStyle w:val="11"/>
            <w:ind w:left="360"/>
            <w:tabs>
              <w:tab w:val="right" w:leader="dot" w:pos="9026"/>
            </w:tabs>
            <w:spacing w:before="120" w:after="60"/>
          </w:pPr>
          <w:hyperlink w:anchor="_Toc100118" w:history="1">
            <w:r>
              <w:rPr>
                <w:rStyle w:val="Hyperlink"/>
              </w:rPr>
              <w:t>Résultats obtenus</w:t>
            </w:r>
            <w:r>
              <w:tab/>
            </w:r>
            <w:r>
              <w:fldChar w:fldCharType="begin"/>
            </w:r>
            <w:r>
              <w:instrText xml:space="preserve"> PAGEREF _Toc100118 \h </w:instrText>
            </w:r>
            <w:r>
              <w:fldChar w:fldCharType="separate"/>
            </w:r>
            <w:r>
              <w:t>64</w:t>
            </w:r>
            <w:r>
              <w:fldChar w:fldCharType="end"/>
            </w:r>
          </w:hyperlink>
        </w:p>
        <w:p>
          <w:pPr>
            <w:pStyle w:val="11"/>
            <w:ind w:left="360"/>
            <w:tabs>
              <w:tab w:val="right" w:leader="dot" w:pos="9026"/>
            </w:tabs>
            <w:spacing w:before="120" w:after="60"/>
          </w:pPr>
          <w:hyperlink w:anchor="_Toc100119" w:history="1">
            <w:r>
              <w:rPr>
                <w:rStyle w:val="Hyperlink"/>
              </w:rPr>
              <w:t>Limites du travail</w:t>
            </w:r>
            <w:r>
              <w:tab/>
            </w:r>
            <w:r>
              <w:fldChar w:fldCharType="begin"/>
            </w:r>
            <w:r>
              <w:instrText xml:space="preserve"> PAGEREF _Toc100119 \h </w:instrText>
            </w:r>
            <w:r>
              <w:fldChar w:fldCharType="separate"/>
            </w:r>
            <w:r>
              <w:t>65</w:t>
            </w:r>
            <w:r>
              <w:fldChar w:fldCharType="end"/>
            </w:r>
          </w:hyperlink>
        </w:p>
        <w:p>
          <w:pPr>
            <w:pStyle w:val="11"/>
            <w:ind w:left="360"/>
            <w:tabs>
              <w:tab w:val="right" w:leader="dot" w:pos="9026"/>
            </w:tabs>
            <w:spacing w:before="120" w:after="60"/>
          </w:pPr>
          <w:hyperlink w:anchor="_Toc100120" w:history="1">
            <w:r>
              <w:rPr>
                <w:rStyle w:val="Hyperlink"/>
              </w:rPr>
              <w:t>Perspectives</w:t>
            </w:r>
            <w:r>
              <w:tab/>
            </w:r>
            <w:r>
              <w:fldChar w:fldCharType="begin"/>
            </w:r>
            <w:r>
              <w:instrText xml:space="preserve"> PAGEREF _Toc100120 \h </w:instrText>
            </w:r>
            <w:r>
              <w:fldChar w:fldCharType="separate"/>
            </w:r>
            <w:r>
              <w:t>66</w:t>
            </w:r>
            <w:r>
              <w:fldChar w:fldCharType="end"/>
            </w:r>
          </w:hyperlink>
        </w:p>
        <w:p>
          <w:pPr>
            <w:pStyle w:val="12"/>
            <w:ind w:left="720"/>
            <w:tabs>
              <w:tab w:val="right" w:leader="dot" w:pos="9026"/>
            </w:tabs>
            <w:spacing w:before="120" w:after="60"/>
          </w:pPr>
          <w:hyperlink w:anchor="_Toc100121" w:history="1">
            <w:r>
              <w:rPr>
                <w:rStyle w:val="Hyperlink"/>
              </w:rPr>
              <w:t>Extension à l'échelle nationale</w:t>
            </w:r>
            <w:r>
              <w:tab/>
            </w:r>
            <w:r>
              <w:fldChar w:fldCharType="begin"/>
            </w:r>
            <w:r>
              <w:instrText xml:space="preserve"> PAGEREF _Toc100121 \h </w:instrText>
            </w:r>
            <w:r>
              <w:fldChar w:fldCharType="separate"/>
            </w:r>
            <w:r>
              <w:t>66</w:t>
            </w:r>
            <w:r>
              <w:fldChar w:fldCharType="end"/>
            </w:r>
          </w:hyperlink>
        </w:p>
        <w:p>
          <w:pPr>
            <w:pStyle w:val="12"/>
            <w:ind w:left="720"/>
            <w:tabs>
              <w:tab w:val="right" w:leader="dot" w:pos="9026"/>
            </w:tabs>
            <w:spacing w:before="120" w:after="60"/>
          </w:pPr>
          <w:hyperlink w:anchor="_Toc100122" w:history="1">
            <w:r>
              <w:rPr>
                <w:rStyle w:val="Hyperlink"/>
              </w:rPr>
              <w:t>Amélioration de la détection</w:t>
            </w:r>
            <w:r>
              <w:tab/>
            </w:r>
            <w:r>
              <w:fldChar w:fldCharType="begin"/>
            </w:r>
            <w:r>
              <w:instrText xml:space="preserve"> PAGEREF _Toc100122 \h </w:instrText>
            </w:r>
            <w:r>
              <w:fldChar w:fldCharType="separate"/>
            </w:r>
            <w:r>
              <w:t>66</w:t>
            </w:r>
            <w:r>
              <w:fldChar w:fldCharType="end"/>
            </w:r>
          </w:hyperlink>
        </w:p>
        <w:p>
          <w:pPr>
            <w:pStyle w:val="12"/>
            <w:ind w:left="720"/>
            <w:tabs>
              <w:tab w:val="right" w:leader="dot" w:pos="9026"/>
            </w:tabs>
            <w:spacing w:before="120" w:after="60"/>
          </w:pPr>
          <w:hyperlink w:anchor="_Toc100123" w:history="1">
            <w:r>
              <w:rPr>
                <w:rStyle w:val="Hyperlink"/>
              </w:rPr>
              <w:t>Enrichissement fonctionnel de la plateforme</w:t>
            </w:r>
            <w:r>
              <w:tab/>
            </w:r>
            <w:r>
              <w:fldChar w:fldCharType="begin"/>
            </w:r>
            <w:r>
              <w:instrText xml:space="preserve"> PAGEREF _Toc100123 \h </w:instrText>
            </w:r>
            <w:r>
              <w:fldChar w:fldCharType="separate"/>
            </w:r>
            <w:r>
              <w:t>66</w:t>
            </w:r>
            <w:r>
              <w:fldChar w:fldCharType="end"/>
            </w:r>
          </w:hyperlink>
        </w:p>
        <w:p>
          <w:pPr>
            <w:pStyle w:val="12"/>
            <w:ind w:left="720"/>
            <w:tabs>
              <w:tab w:val="right" w:leader="dot" w:pos="9026"/>
            </w:tabs>
            <w:spacing w:before="120" w:after="60"/>
          </w:pPr>
          <w:hyperlink w:anchor="_Toc100124" w:history="1">
            <w:r>
              <w:rPr>
                <w:rStyle w:val="Hyperlink"/>
              </w:rPr>
              <w:t>Recherche et publication</w:t>
            </w:r>
            <w:r>
              <w:tab/>
            </w:r>
            <w:r>
              <w:fldChar w:fldCharType="begin"/>
            </w:r>
            <w:r>
              <w:instrText xml:space="preserve"> PAGEREF _Toc100124 \h </w:instrText>
            </w:r>
            <w:r>
              <w:fldChar w:fldCharType="separate"/>
            </w:r>
            <w:r>
              <w:t>67</w:t>
            </w:r>
            <w:r>
              <w:fldChar w:fldCharType="end"/>
            </w:r>
          </w:hyperlink>
        </w:p>
        <w:p>
          <w:pPr>
            <w:pStyle w:val="11"/>
            <w:ind w:left="360"/>
            <w:tabs>
              <w:tab w:val="right" w:leader="dot" w:pos="9026"/>
            </w:tabs>
            <w:spacing w:before="120" w:after="60"/>
          </w:pPr>
          <w:hyperlink w:anchor="_Toc100125" w:history="1">
            <w:r>
              <w:rPr>
                <w:rStyle w:val="Hyperlink"/>
              </w:rPr>
              <w:t>Perspectives IA : vers un écosystème universitaire intelligent</w:t>
            </w:r>
            <w:r>
              <w:tab/>
            </w:r>
            <w:r>
              <w:fldChar w:fldCharType="begin"/>
            </w:r>
            <w:r>
              <w:instrText xml:space="preserve"> PAGEREF _Toc100125 \h </w:instrText>
            </w:r>
            <w:r>
              <w:fldChar w:fldCharType="separate"/>
            </w:r>
            <w:r>
              <w:t>67</w:t>
            </w:r>
            <w:r>
              <w:fldChar w:fldCharType="end"/>
            </w:r>
          </w:hyperlink>
        </w:p>
        <w:p>
          <w:pPr>
            <w:pStyle w:val="12"/>
            <w:ind w:left="720"/>
            <w:tabs>
              <w:tab w:val="right" w:leader="dot" w:pos="9026"/>
            </w:tabs>
            <w:spacing w:before="120" w:after="60"/>
          </w:pPr>
          <w:hyperlink w:anchor="_Toc100126" w:history="1">
            <w:r>
              <w:rPr>
                <w:rStyle w:val="Hyperlink"/>
              </w:rPr>
              <w:t>Détection du plagiat par IA générative</w:t>
            </w:r>
            <w:r>
              <w:tab/>
            </w:r>
            <w:r>
              <w:fldChar w:fldCharType="begin"/>
            </w:r>
            <w:r>
              <w:instrText xml:space="preserve"> PAGEREF _Toc100126 \h </w:instrText>
            </w:r>
            <w:r>
              <w:fldChar w:fldCharType="separate"/>
            </w:r>
            <w:r>
              <w:t>67</w:t>
            </w:r>
            <w:r>
              <w:fldChar w:fldCharType="end"/>
            </w:r>
          </w:hyperlink>
        </w:p>
        <w:p>
          <w:pPr>
            <w:pStyle w:val="12"/>
            <w:ind w:left="720"/>
            <w:tabs>
              <w:tab w:val="right" w:leader="dot" w:pos="9026"/>
            </w:tabs>
            <w:spacing w:before="120" w:after="60"/>
          </w:pPr>
          <w:hyperlink w:anchor="_Toc100127" w:history="1">
            <w:r>
              <w:rPr>
                <w:rStyle w:val="Hyperlink"/>
              </w:rPr>
              <w:t>Correction automatique des citations</w:t>
            </w:r>
            <w:r>
              <w:tab/>
            </w:r>
            <w:r>
              <w:fldChar w:fldCharType="begin"/>
            </w:r>
            <w:r>
              <w:instrText xml:space="preserve"> PAGEREF _Toc100127 \h </w:instrText>
            </w:r>
            <w:r>
              <w:fldChar w:fldCharType="separate"/>
            </w:r>
            <w:r>
              <w:t>67</w:t>
            </w:r>
            <w:r>
              <w:fldChar w:fldCharType="end"/>
            </w:r>
          </w:hyperlink>
        </w:p>
        <w:p>
          <w:pPr>
            <w:pStyle w:val="12"/>
            <w:ind w:left="720"/>
            <w:tabs>
              <w:tab w:val="right" w:leader="dot" w:pos="9026"/>
            </w:tabs>
            <w:spacing w:before="120" w:after="60"/>
          </w:pPr>
          <w:hyperlink w:anchor="_Toc100128" w:history="1">
            <w:r>
              <w:rPr>
                <w:rStyle w:val="Hyperlink"/>
              </w:rPr>
              <w:t>Suggestion de reformulation</w:t>
            </w:r>
            <w:r>
              <w:tab/>
            </w:r>
            <w:r>
              <w:fldChar w:fldCharType="begin"/>
            </w:r>
            <w:r>
              <w:instrText xml:space="preserve"> PAGEREF _Toc100128 \h </w:instrText>
            </w:r>
            <w:r>
              <w:fldChar w:fldCharType="separate"/>
            </w:r>
            <w:r>
              <w:t>68</w:t>
            </w:r>
            <w:r>
              <w:fldChar w:fldCharType="end"/>
            </w:r>
          </w:hyperlink>
        </w:p>
        <w:p>
          <w:pPr>
            <w:pStyle w:val="12"/>
            <w:ind w:left="720"/>
            <w:tabs>
              <w:tab w:val="right" w:leader="dot" w:pos="9026"/>
            </w:tabs>
            <w:spacing w:before="120" w:after="60"/>
          </w:pPr>
          <w:hyperlink w:anchor="_Toc100129" w:history="1">
            <w:r>
              <w:rPr>
                <w:rStyle w:val="Hyperlink"/>
              </w:rPr>
              <w:t>Assistant de rédaction scientifique</w:t>
            </w:r>
            <w:r>
              <w:tab/>
            </w:r>
            <w:r>
              <w:fldChar w:fldCharType="begin"/>
            </w:r>
            <w:r>
              <w:instrText xml:space="preserve"> PAGEREF _Toc100129 \h </w:instrText>
            </w:r>
            <w:r>
              <w:fldChar w:fldCharType="separate"/>
            </w:r>
            <w:r>
              <w:t>68</w:t>
            </w:r>
            <w:r>
              <w:fldChar w:fldCharType="end"/>
            </w:r>
          </w:hyperlink>
        </w:p>
        <w:p>
          <w:pPr>
            <w:pStyle w:val="12"/>
            <w:ind w:left="720"/>
            <w:tabs>
              <w:tab w:val="right" w:leader="dot" w:pos="9026"/>
            </w:tabs>
            <w:spacing w:before="120" w:after="60"/>
          </w:pPr>
          <w:hyperlink w:anchor="_Toc100130" w:history="1">
            <w:r>
              <w:rPr>
                <w:rStyle w:val="Hyperlink"/>
              </w:rPr>
              <w:t>Index national des mémoires</w:t>
            </w:r>
            <w:r>
              <w:tab/>
            </w:r>
            <w:r>
              <w:fldChar w:fldCharType="begin"/>
            </w:r>
            <w:r>
              <w:instrText xml:space="preserve"> PAGEREF _Toc100130 \h </w:instrText>
            </w:r>
            <w:r>
              <w:fldChar w:fldCharType="separate"/>
            </w:r>
            <w:r>
              <w:t>68</w:t>
            </w:r>
            <w:r>
              <w:fldChar w:fldCharType="end"/>
            </w:r>
          </w:hyperlink>
        </w:p>
        <w:p>
          <w:pPr>
            <w:pStyle w:val="12"/>
            <w:ind w:left="720"/>
            <w:tabs>
              <w:tab w:val="right" w:leader="dot" w:pos="9026"/>
            </w:tabs>
            <w:spacing w:before="120" w:after="60"/>
          </w:pPr>
          <w:hyperlink w:anchor="_Toc100131" w:history="1">
            <w:r>
              <w:rPr>
                <w:rStyle w:val="Hyperlink"/>
              </w:rPr>
              <w:t>Détection interuniversitaire du plagiat</w:t>
            </w:r>
            <w:r>
              <w:tab/>
            </w:r>
            <w:r>
              <w:fldChar w:fldCharType="begin"/>
            </w:r>
            <w:r>
              <w:instrText xml:space="preserve"> PAGEREF _Toc100131 \h </w:instrText>
            </w:r>
            <w:r>
              <w:fldChar w:fldCharType="separate"/>
            </w:r>
            <w:r>
              <w:t>68</w:t>
            </w:r>
            <w:r>
              <w:fldChar w:fldCharType="end"/>
            </w:r>
          </w:hyperlink>
        </w:p>
        <w:p>
          <w:pPr>
            <w:pStyle w:val="9"/>
            <w:tabs>
              <w:tab w:val="right" w:leader="dot" w:pos="9026"/>
            </w:tabs>
            <w:spacing w:before="120" w:after="60"/>
          </w:pPr>
          <w:hyperlink w:anchor="_Toc100132" w:history="1">
            <w:r>
              <w:rPr>
                <w:rStyle w:val="Hyperlink"/>
              </w:rPr>
              <w:t>BIBLIOGRAPHIE</w:t>
            </w:r>
            <w:r>
              <w:tab/>
            </w:r>
            <w:r>
              <w:fldChar w:fldCharType="begin"/>
            </w:r>
            <w:r>
              <w:instrText xml:space="preserve"> PAGEREF _Toc100132 \h </w:instrText>
            </w:r>
            <w:r>
              <w:fldChar w:fldCharType="separate"/>
            </w:r>
            <w:r>
              <w:t>69</w:t>
            </w:r>
            <w:r>
              <w:fldChar w:fldCharType="end"/>
            </w:r>
          </w:hyperlink>
        </w:p>
        <w:p>
          <w:pPr>
            <w:pStyle w:val="11"/>
            <w:ind w:left="360"/>
            <w:tabs>
              <w:tab w:val="right" w:leader="dot" w:pos="9026"/>
            </w:tabs>
            <w:spacing w:before="120" w:after="60"/>
          </w:pPr>
          <w:hyperlink w:anchor="_Toc100133" w:history="1">
            <w:r>
              <w:rPr>
                <w:rStyle w:val="Hyperlink"/>
              </w:rPr>
              <w:t>Ouvrages et manuels</w:t>
            </w:r>
            <w:r>
              <w:tab/>
            </w:r>
            <w:r>
              <w:fldChar w:fldCharType="begin"/>
            </w:r>
            <w:r>
              <w:instrText xml:space="preserve"> PAGEREF _Toc100133 \h </w:instrText>
            </w:r>
            <w:r>
              <w:fldChar w:fldCharType="separate"/>
            </w:r>
            <w:r>
              <w:t>69</w:t>
            </w:r>
            <w:r>
              <w:fldChar w:fldCharType="end"/>
            </w:r>
          </w:hyperlink>
        </w:p>
        <w:p>
          <w:pPr>
            <w:pStyle w:val="11"/>
            <w:ind w:left="360"/>
            <w:tabs>
              <w:tab w:val="right" w:leader="dot" w:pos="9026"/>
            </w:tabs>
            <w:spacing w:before="120" w:after="60"/>
          </w:pPr>
          <w:hyperlink w:anchor="_Toc100134" w:history="1">
            <w:r>
              <w:rPr>
                <w:rStyle w:val="Hyperlink"/>
              </w:rPr>
              <w:t>Articles et publications scientifiques</w:t>
            </w:r>
            <w:r>
              <w:tab/>
            </w:r>
            <w:r>
              <w:fldChar w:fldCharType="begin"/>
            </w:r>
            <w:r>
              <w:instrText xml:space="preserve"> PAGEREF _Toc100134 \h </w:instrText>
            </w:r>
            <w:r>
              <w:fldChar w:fldCharType="separate"/>
            </w:r>
            <w:r>
              <w:t>70</w:t>
            </w:r>
            <w:r>
              <w:fldChar w:fldCharType="end"/>
            </w:r>
          </w:hyperlink>
        </w:p>
        <w:p>
          <w:pPr>
            <w:pStyle w:val="11"/>
            <w:ind w:left="360"/>
            <w:tabs>
              <w:tab w:val="right" w:leader="dot" w:pos="9026"/>
            </w:tabs>
            <w:spacing w:before="120" w:after="60"/>
          </w:pPr>
          <w:hyperlink w:anchor="_Toc100135" w:history="1">
            <w:r>
              <w:rPr>
                <w:rStyle w:val="Hyperlink"/>
              </w:rPr>
              <w:t>Documentation technique</w:t>
            </w:r>
            <w:r>
              <w:tab/>
            </w:r>
            <w:r>
              <w:fldChar w:fldCharType="begin"/>
            </w:r>
            <w:r>
              <w:instrText xml:space="preserve"> PAGEREF _Toc100135 \h </w:instrText>
            </w:r>
            <w:r>
              <w:fldChar w:fldCharType="separate"/>
            </w:r>
            <w:r>
              <w:t>71</w:t>
            </w:r>
            <w:r>
              <w:fldChar w:fldCharType="end"/>
            </w:r>
          </w:hyperlink>
        </w:p>
        <w:p>
          <w:pPr>
            <w:pStyle w:val="11"/>
            <w:ind w:left="360"/>
            <w:tabs>
              <w:tab w:val="right" w:leader="dot" w:pos="9026"/>
            </w:tabs>
            <w:spacing w:before="120" w:after="60"/>
          </w:pPr>
          <w:hyperlink w:anchor="_Toc100136" w:history="1">
            <w:r>
              <w:rPr>
                <w:rStyle w:val="Hyperlink"/>
              </w:rPr>
              <w:t>Sources académiques et institutionnelles</w:t>
            </w:r>
            <w:r>
              <w:tab/>
            </w:r>
            <w:r>
              <w:fldChar w:fldCharType="begin"/>
            </w:r>
            <w:r>
              <w:instrText xml:space="preserve"> PAGEREF _Toc100136 \h </w:instrText>
            </w:r>
            <w:r>
              <w:fldChar w:fldCharType="separate"/>
            </w:r>
            <w:r>
              <w:t>72</w:t>
            </w:r>
            <w:r>
              <w:fldChar w:fldCharType="end"/>
            </w:r>
          </w:hyperlink>
        </w:p>
        <w:p>
          <w:pPr>
            <w:pStyle w:val="11"/>
            <w:ind w:left="360"/>
            <w:tabs>
              <w:tab w:val="right" w:leader="dot" w:pos="9026"/>
            </w:tabs>
            <w:spacing w:before="120" w:after="60"/>
          </w:pPr>
          <w:hyperlink w:anchor="_Toc100137" w:history="1">
            <w:r>
              <w:rPr>
                <w:rStyle w:val="Hyperlink"/>
              </w:rPr>
              <w:t>Ressources en ligne</w:t>
            </w:r>
            <w:r>
              <w:tab/>
            </w:r>
            <w:r>
              <w:fldChar w:fldCharType="begin"/>
            </w:r>
            <w:r>
              <w:instrText xml:space="preserve"> PAGEREF _Toc100137 \h </w:instrText>
            </w:r>
            <w:r>
              <w:fldChar w:fldCharType="separate"/>
            </w:r>
            <w:r>
              <w:t>73</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concrète de la plateforme, son expérimentation sur un corpus pilote de travaux académiques, et l'évaluation de ses performances avec captures d'écran réelles de l'interface et résultats quantitatifs de détection.</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de la plateforme, et l'analyse des résultats d'évaluation. Ce quatrième chapitre sera intégré au présent mémoire à l'issue de la phase de développement effective de la plateforme.</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CHAPITRE IV — IMPLÉMENTATION, EXPÉRIMENTATION ET ÉVALUATION</w:t>
      </w:r>
      <w:bookmarkEnd w:id="100087"/>
    </w:p>
    <w:p>
      <w:pPr>
        <w:pStyle w:val="Heading2"/>
        <w:spacing w:after="240" w:before="360" w:line="360"/>
      </w:pPr>
      <w:bookmarkStart w:id="100088" w:name="_Toc100088"/>
      <w:r>
        <w:rPr>
          <w:rFonts w:ascii="Times New Roman" w:eastAsia="SimHei"/>
          <w:b/>
          <w:bCs/>
          <w:color w:val="000000"/>
          <w:sz w:val="30"/>
          <w:szCs w:val="30"/>
        </w:rPr>
        <w:t xml:space="preserve">IV.1. Introduction</w:t>
      </w:r>
      <w:bookmarkEnd w:id="100088"/>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et l'évaluation quantitative de ses performances. Il détaille la stack technique effectivement mise en œuvre, les extraits de code clés du pipeline, l'organisation de l'interface utilisateur avec captures d'écran réelles,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analyse comparative. Les limites observées et les pistes d'amélioration sont discutées en fin de chapitre. L'ensemble du code source est versionné sur un dépôt GitHub public (https://github.com/AlterEgo095/DPATA) et permet la reproductibilité des expérimentations.</w:t>
      </w:r>
    </w:p>
    <w:p>
      <w:pPr>
        <w:pStyle w:val="Heading2"/>
        <w:spacing w:after="240" w:before="360" w:line="360"/>
      </w:pPr>
      <w:bookmarkStart w:id="100089" w:name="_Toc100089"/>
      <w:r>
        <w:rPr>
          <w:rFonts w:ascii="Times New Roman" w:eastAsia="SimHei"/>
          <w:b/>
          <w:bCs/>
          <w:color w:val="000000"/>
          <w:sz w:val="30"/>
          <w:szCs w:val="30"/>
        </w:rPr>
        <w:t xml:space="preserve">IV.2. Stack technique</w:t>
      </w:r>
      <w:bookmarkEnd w:id="100089"/>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 Le tableau IV.1 présente l'ensemble des composants utilisés, avec leur rôle précis dans l'architecture.</w:t>
      </w:r>
    </w:p>
    <w:p>
      <w:pPr>
        <w:keepNext/>
        <w:spacing w:after="60" w:before="120" w:line="280"/>
        <w:jc w:val="center"/>
      </w:pPr>
      <w:r>
        <w:rPr>
          <w:rFonts w:ascii="Times New Roman" w:eastAsia="SimSun"/>
          <w:i/>
          <w:iCs/>
          <w:color w:val="333333"/>
          <w:sz w:val="21"/>
          <w:szCs w:val="21"/>
        </w:rPr>
        <w:t xml:space="preserve">Tableau IV.1 — Stack technique effectivement mise en œuvre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Next.js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16.2.9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 Router, SSR/CSR, API routes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Typage statique strict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Library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19.x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réactifs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Styling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Design system utilitaire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New York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48 composants accessibles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Icônes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Lucide 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Iconographie cohérente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jose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signés HS256, cookies httpOnly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Zod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 des schémas API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Notifications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Toasts élégants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State management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TanStack Query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Cache server state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 natif 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 cosinus +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Tokenizer custom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Stop words FR+EN, segmentation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Persistance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store local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Démo — production: PostgreSQL+pgvector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Mini-service 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 + scikit-learn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0.128 / 1.5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 IA alternatif (port 3030)</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Next.js avec ses API routes offre un modèle unifié frontend/backend en TypeScript, ce qui élimine la complexité d'une architecture microservices séparée. Côté frontend, React 19 avec Tailwind CSS 4 et shadcn/ui garantit une interface moderne, accessible et maintenable. Côté données, le JSON store local permet une démonstration rapide sans dépendance externe, avec un schema Prisma complet prêt pour la migration vers PostgreSQL en production. Côté IA, l'implémentation native TypeScript du moteur TF-IDF évite la dépendance à un service Python externe tout en offrant des performances optimales (analyse en moins de 5 millisecondes).</w:t>
      </w:r>
    </w:p>
    <w:p>
      <w:pPr>
        <w:pStyle w:val="Heading2"/>
        <w:spacing w:after="240" w:before="360" w:line="360"/>
      </w:pPr>
      <w:bookmarkStart w:id="100090" w:name="_Toc100090"/>
      <w:r>
        <w:rPr>
          <w:rFonts w:ascii="Times New Roman" w:eastAsia="SimHei"/>
          <w:b/>
          <w:bCs/>
          <w:color w:val="000000"/>
          <w:sz w:val="30"/>
          <w:szCs w:val="30"/>
        </w:rPr>
        <w:t xml:space="preserve">IV.3. Architecture logicielle implémentée</w:t>
      </w:r>
      <w:bookmarkEnd w:id="100090"/>
    </w:p>
    <w:p>
      <w:pPr>
        <w:pStyle w:val="Heading3"/>
        <w:spacing w:after="120" w:before="240" w:line="360"/>
      </w:pPr>
      <w:bookmarkStart w:id="100091" w:name="_Toc100091"/>
      <w:r>
        <w:rPr>
          <w:rFonts w:ascii="Times New Roman" w:eastAsia="SimHei"/>
          <w:b/>
          <w:bCs/>
          <w:color w:val="000000"/>
          <w:sz w:val="28"/>
          <w:szCs w:val="28"/>
        </w:rPr>
        <w:t xml:space="preserve">IV.3.1. Structure du projet</w:t>
      </w:r>
      <w:bookmarkEnd w:id="100091"/>
    </w:p>
    <w:p>
      <w:pPr>
        <w:spacing w:after="0" w:line="360"/>
        <w:ind w:firstLine="480"/>
        <w:jc w:val="both"/>
      </w:pPr>
      <w:r>
        <w:rPr>
          <w:rFonts w:ascii="Times New Roman" w:eastAsia="SimSun"/>
          <w:color w:val="000000"/>
          <w:sz w:val="24"/>
          <w:szCs w:val="24"/>
        </w:rPr>
        <w:t xml:space="preserve">Le projet suit une architecture Next.js App Router standard, avec une séparation claire entre les routes API (backend), les pages dashboard (frontend admin), les composants UI réutilisables, et les librairies métier (auth, store, IA). La structure simplifiée du projet est présentée ci-dessous.</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src/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app/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Layout racine (méta, fonts, toasters)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Page de connexion (branding UNIKIN)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api/                        # 14 routes API REST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auth/                   # login, logout, 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dashboard/stats         # KPIs et statistiques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faculties/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departments/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promotions/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users/                  # CRUD + 4 rôles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documents/              # CRUD + analyze + report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dashboard/                  # 11 pages admin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Sidebar RBAC + topbar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Tableau de bord principal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faculties/              # Gestion facultés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departments/            # Gestion départements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promotions/             # Gestion promotions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users/                  # Gestion utilisateurs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students/               # Vue étudiants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teachers/               # Vue enseignants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documents/              # Liste + dépôt + détail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analyses/               # Supervision analyses IA</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settings/               # Paramètres système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components/ui/                  # 48 composants shadcn/ui</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lib/</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auth/jwt.ts                 # Sign/verify JWT, cookies, RBAC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store/db.ts                 # JSON store local (types + CRUD)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ia/engine.ts                # Moteur IA TF-IDF +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mini-services/plagiat-ia/       # Service Python alternatif</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 main.py                     # FastAPI + scikit-learn</w:t>
      </w:r>
    </w:p>
    <w:p>
      <w:pPr>
        <w:pStyle w:val="Heading3"/>
        <w:spacing w:after="120" w:before="240" w:line="360"/>
      </w:pPr>
      <w:bookmarkStart w:id="100092" w:name="_Toc100092"/>
      <w:r>
        <w:rPr>
          <w:rFonts w:ascii="Times New Roman" w:eastAsia="SimHei"/>
          <w:b/>
          <w:bCs/>
          <w:color w:val="000000"/>
          <w:sz w:val="28"/>
          <w:szCs w:val="28"/>
        </w:rPr>
        <w:t xml:space="preserve">IV.3.2. Architecture en couches</w:t>
      </w:r>
      <w:bookmarkEnd w:id="100092"/>
    </w:p>
    <w:p>
      <w:pPr>
        <w:spacing w:after="0" w:line="360"/>
        <w:ind w:firstLine="480"/>
        <w:jc w:val="both"/>
      </w:pPr>
      <w:r>
        <w:rPr>
          <w:rFonts w:ascii="Times New Roman" w:eastAsia="SimSun"/>
          <w:color w:val="000000"/>
          <w:sz w:val="24"/>
          <w:szCs w:val="24"/>
        </w:rPr>
        <w:t xml:space="preserve">L'architecture logicielle suit le pattern multi-tiers classique avec quatre couches distinctes. La couche présentation (React + Tailwind + shadcn/ui) gère l'interface utilisateur et les interactions. La couche application (Next.js API Routes) expose 14 endpoints REST et orchestre la logique métier. La couche services IA (moteur TF-IDF natif + service Python alternatif) assure la détection automatique du plagiat. La couche données (JSON store local) assure la persistance, avec un schéma Prisma complet prêt pour PostgreSQL en production.</w:t>
      </w:r>
    </w:p>
    <w:p>
      <w:pPr>
        <w:pStyle w:val="Heading2"/>
        <w:spacing w:after="240" w:before="360" w:line="360"/>
      </w:pPr>
      <w:bookmarkStart w:id="100093" w:name="_Toc100093"/>
      <w:r>
        <w:rPr>
          <w:rFonts w:ascii="Times New Roman" w:eastAsia="SimHei"/>
          <w:b/>
          <w:bCs/>
          <w:color w:val="000000"/>
          <w:sz w:val="30"/>
          <w:szCs w:val="30"/>
        </w:rPr>
        <w:t xml:space="preserve">IV.4. Authentification et contrôle d'accès</w:t>
      </w:r>
      <w:bookmarkEnd w:id="100093"/>
    </w:p>
    <w:p>
      <w:pPr>
        <w:spacing w:after="0" w:line="360"/>
        <w:ind w:firstLine="480"/>
        <w:jc w:val="both"/>
      </w:pPr>
      <w:r>
        <w:rPr>
          <w:rFonts w:ascii="Times New Roman" w:eastAsia="SimSun"/>
          <w:color w:val="000000"/>
          <w:sz w:val="24"/>
          <w:szCs w:val="24"/>
        </w:rPr>
        <w:t xml:space="preserve">L'authentification repose sur JWT (JSON Web Tokens) signés en HS256, stockés dans des cookies httpOnly pour prévenir les attaques XSS. Le contrôle d'accès est basé sur les rôles (RBAC) avec quatre profils distincts : SUPER_ADMIN (accès total), FACULTY_ADMIN (limité à sa faculté), TEACHER (ses travaux et ceux qu'il encadre), STUDENT (ses propres travaux). Le filtrage est appliqué automatiquement sur toutes les APIs selon le rôle de l'utilisateur connecté.</w:t>
      </w:r>
    </w:p>
    <w:p>
      <w:pPr>
        <w:spacing w:after="0" w:line="360"/>
        <w:ind w:firstLine="480"/>
        <w:jc w:val="both"/>
      </w:pPr>
      <w:r>
        <w:rPr>
          <w:rFonts w:ascii="Times New Roman" w:eastAsia="SimSun"/>
          <w:color w:val="000000"/>
          <w:sz w:val="24"/>
          <w:szCs w:val="24"/>
        </w:rPr>
        <w:t xml:space="preserve">L'extrait de code suivant illustre la signature du token JWT et la gestion des cookies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src/lib/auth/jwt.ts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SignJWT, jwtVerify } from 'jose';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cookies } from 'next/headers';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SECRET = new TextEncoder().encode(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process.env.JWT_SECRET || 'plagiat-ia-unikin-secret-2025-2026'</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TOKEN_COOKIE = 'plagiat_token';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TOKEN_TTL = '7d';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signToken(user: User): Promise&amp;lt;string&amp;gt;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new SignJWT({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sub: user.id,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email: user.email,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role: user.role,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firstName: user.firstName,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lastName: user.lastName,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.setProtectedHeader({ alg: 'HS256'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.setIssuedAt()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.setExpirationTime(TOKEN_TTL)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.sign(SECRET);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setAuthCookie(token: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cookieStore = await cookies();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cookieStore.set(TOKEN_COOKIE, token,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httpOnly: 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secure: process.env.NODE_ENV === 'production',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sameSite: 'lax',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maxAge: 60 * 60 * 24 * 7, // 7 jours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path: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spacing w:after="0" w:line="360"/>
        <w:ind w:firstLine="480"/>
        <w:jc w:val="both"/>
      </w:pPr>
      <w:r>
        <w:rPr>
          <w:rFonts w:ascii="Times New Roman" w:eastAsia="SimSun"/>
          <w:color w:val="000000"/>
          <w:sz w:val="24"/>
          <w:szCs w:val="24"/>
        </w:rPr>
        <w:t xml:space="preserve">La page de connexion (Figure IV.1) présente un design professionnel aux couleurs de l'UNIKIN, avec un panneau gauche en dégradé emerald/slate affichant le branding et un panneau droit contenant le formulaire d'authentification. Les identifiants de démonstration sont pré-remplis pour faciliter les tests.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IV.1 — Page de connexion de la plateforme PlagiatIA</w:t>
      </w:r>
    </w:p>
    <w:p>
      <w:pPr>
        <w:pStyle w:val="Heading2"/>
        <w:spacing w:after="240" w:before="360" w:line="360"/>
      </w:pPr>
      <w:bookmarkStart w:id="100094" w:name="_Toc100094"/>
      <w:r>
        <w:rPr>
          <w:rFonts w:ascii="Times New Roman" w:eastAsia="SimHei"/>
          <w:b/>
          <w:bCs/>
          <w:color w:val="000000"/>
          <w:sz w:val="30"/>
          <w:szCs w:val="30"/>
        </w:rPr>
        <w:t xml:space="preserve">IV.5. Back-office administrateur</w:t>
      </w:r>
      <w:bookmarkEnd w:id="100094"/>
    </w:p>
    <w:p>
      <w:pPr>
        <w:spacing w:after="0" w:line="360"/>
        <w:ind w:firstLine="480"/>
        <w:jc w:val="both"/>
      </w:pPr>
      <w:r>
        <w:rPr>
          <w:rFonts w:ascii="Times New Roman" w:eastAsia="SimSun"/>
          <w:color w:val="000000"/>
          <w:sz w:val="24"/>
          <w:szCs w:val="24"/>
        </w:rPr>
        <w:t xml:space="preserve">Le back-office administrateur constitue le cœur de la supervision de la plateforme. Il permet à un super-administrateur de gérer l'intégralité du système sans intervention sur le code source : création de facultés, départements, promotions, utilisateurs, consultation des documents, lancement d'analyses IA, supervision des résultats, consultation du journal d'audit et configuration des paramètres système. Toutes ces opérations sont accessibles via une interface web moderne et intuitive.</w:t>
      </w:r>
    </w:p>
    <w:p>
      <w:pPr>
        <w:pStyle w:val="Heading3"/>
        <w:spacing w:after="120" w:before="240" w:line="360"/>
      </w:pPr>
      <w:bookmarkStart w:id="100095" w:name="_Toc100095"/>
      <w:r>
        <w:rPr>
          <w:rFonts w:ascii="Times New Roman" w:eastAsia="SimHei"/>
          <w:b/>
          <w:bCs/>
          <w:color w:val="000000"/>
          <w:sz w:val="28"/>
          <w:szCs w:val="28"/>
        </w:rPr>
        <w:t xml:space="preserve">IV.5.1. Tableau de bord principal</w:t>
      </w:r>
      <w:bookmarkEnd w:id="100095"/>
    </w:p>
    <w:p>
      <w:pPr>
        <w:spacing w:after="0" w:line="360"/>
        <w:ind w:firstLine="480"/>
        <w:jc w:val="both"/>
      </w:pPr>
      <w:r>
        <w:rPr>
          <w:rFonts w:ascii="Times New Roman" w:eastAsia="SimSun"/>
          <w:color w:val="000000"/>
          <w:sz w:val="24"/>
          <w:szCs w:val="24"/>
        </w:rPr>
        <w:t xml:space="preserve">Le tableau de bord (Figure IV.2) offre une vue d'ensemble en temps réel de la plateforme. Il présente six indicateurs clés (KPIs) cliquables : nombre de facultés, départements, utilisateurs, travaux déposés, analyses IA, analyses en attente. Un bandeau d'état du système indique si tout est opérationnel ou si des analyses sont en attente. Une carte dédiée au moteur IA affiche sa configuration (algorithme, seuil, classification). Le score moyen de similarité est affiché avec une jauge colorée selon le niveau de risque. Enfin, un flux d'activité récente présente les dernières actions enregistrées dans le journal d'audit, avec des badges colorés par type d'action (création, modification, suppression, connexion).</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IV.2 — Tableau de bord administrateur principal</w:t>
      </w:r>
    </w:p>
    <w:p>
      <w:pPr>
        <w:pStyle w:val="Heading3"/>
        <w:spacing w:after="120" w:before="240" w:line="360"/>
      </w:pPr>
      <w:bookmarkStart w:id="100096" w:name="_Toc100096"/>
      <w:r>
        <w:rPr>
          <w:rFonts w:ascii="Times New Roman" w:eastAsia="SimHei"/>
          <w:b/>
          <w:bCs/>
          <w:color w:val="000000"/>
          <w:sz w:val="28"/>
          <w:szCs w:val="28"/>
        </w:rPr>
        <w:t xml:space="preserve">IV.5.2. Gestion des facultés</w:t>
      </w:r>
      <w:bookmarkEnd w:id="100096"/>
    </w:p>
    <w:p>
      <w:pPr>
        <w:spacing w:after="0" w:line="360"/>
        <w:ind w:firstLine="480"/>
        <w:jc w:val="both"/>
      </w:pPr>
      <w:r>
        <w:rPr>
          <w:rFonts w:ascii="Times New Roman" w:eastAsia="SimSun"/>
          <w:color w:val="000000"/>
          <w:sz w:val="24"/>
          <w:szCs w:val="24"/>
        </w:rPr>
        <w:t xml:space="preserve">La gestion des facultés (Figure IV.3) implémente un CRUD complet (Create, Read, Update, Delete) avec une interface tabulaire. Chaque faculté est identifiée par un code unique (ex: FSC pour Faculté des Sciences) et un nom complet. Le tableau affiche pour chaque faculté le nombre de départements rattachés, le nombre d'utilisateurs, le nombre de travaux déposés, et son statut (actif/inactif). Des boutons d'action permettent d'activer/désactiver, modifier ou supprimer chaque faculté. La suppression est protégée : impossible si des départements y sont rattachés. Les mêmes fonctionnalités s'appliquent aux départements et promotions, avec un filtrage hiérarchique automatique (un département est rattaché à une faculté, une promotion à un département).</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IV.3 — Gestion des facultés (CRUD complet)</w:t>
      </w:r>
    </w:p>
    <w:p>
      <w:pPr>
        <w:pStyle w:val="Heading3"/>
        <w:spacing w:after="120" w:before="240" w:line="360"/>
      </w:pPr>
      <w:bookmarkStart w:id="100097" w:name="_Toc100097"/>
      <w:r>
        <w:rPr>
          <w:rFonts w:ascii="Times New Roman" w:eastAsia="SimHei"/>
          <w:b/>
          <w:bCs/>
          <w:color w:val="000000"/>
          <w:sz w:val="28"/>
          <w:szCs w:val="28"/>
        </w:rPr>
        <w:t xml:space="preserve">IV.5.3. Gestion des utilisateurs</w:t>
      </w:r>
      <w:bookmarkEnd w:id="100097"/>
    </w:p>
    <w:p>
      <w:pPr>
        <w:spacing w:after="0" w:line="360"/>
        <w:ind w:firstLine="480"/>
        <w:jc w:val="both"/>
      </w:pPr>
      <w:r>
        <w:rPr>
          <w:rFonts w:ascii="Times New Roman" w:eastAsia="SimSun"/>
          <w:color w:val="000000"/>
          <w:sz w:val="24"/>
          <w:szCs w:val="24"/>
        </w:rPr>
        <w:t xml:space="preserve">La gestion des utilisateurs permet de créer et administrer les quatre types de comptes : super-administrateurs, administrateurs de faculté, enseignants et étudiants. Chaque utilisateur est défini par un email (unique), un mot de passe, un nom, un prénom, un matricule (pour les étudiants), un rôle, et un rattachement faculté/département/promotion. Le formulaire de création s'adapte dynamiquement au rôle choisi : pour un étudiant, on demandera la promotion ; pour un enseignant, le département ; pour un administrateur de faculté, seule la faculté est requise. Le tableau des utilisateurs (Figure non reproduite pour économie d'espace) présente une vue filtrable par rôle avec recherche en temps réel.</w:t>
      </w:r>
    </w:p>
    <w:p>
      <w:pPr>
        <w:pStyle w:val="Heading3"/>
        <w:spacing w:after="120" w:before="240" w:line="360"/>
      </w:pPr>
      <w:bookmarkStart w:id="100098" w:name="_Toc100098"/>
      <w:r>
        <w:rPr>
          <w:rFonts w:ascii="Times New Roman" w:eastAsia="SimHei"/>
          <w:b/>
          <w:bCs/>
          <w:color w:val="000000"/>
          <w:sz w:val="28"/>
          <w:szCs w:val="28"/>
        </w:rPr>
        <w:t xml:space="preserve">IV.5.4. Gestion des documents</w:t>
      </w:r>
      <w:bookmarkEnd w:id="100098"/>
    </w:p>
    <w:p>
      <w:pPr>
        <w:spacing w:after="0" w:line="360"/>
        <w:ind w:firstLine="480"/>
        <w:jc w:val="both"/>
      </w:pPr>
      <w:r>
        <w:rPr>
          <w:rFonts w:ascii="Times New Roman" w:eastAsia="SimSun"/>
          <w:color w:val="000000"/>
          <w:sz w:val="24"/>
          <w:szCs w:val="24"/>
        </w:rPr>
        <w:t xml:space="preserve">La gestion des documents (Figure IV.4) est accessible à tous les rôles mais avec un filtrage automatique : un étudiant ne voit que ses propres documents, un enseignant voit ceux qu'il a déposés ou qu'il encadre, un administrateur voit ceux de sa faculté. Chaque document est caractérisé par un titre, un type (TFC, mémoire, thèse, article, autre), un sujet, un résumé, un fichier téléversé, un statut (brouillon, soumis, en analyse, analysé, validé, rejeté), et des métadonnées académiques (faculté, département, promotion, année académique, encadrant). Le dépôt s'effectue via un dialog avec zone d'upload drag &amp; drop, et la extraction du texte est simulée pour la démonstration (en production : Tesseract pour les PDF scannés, pdfplumber pour les PDF natifs).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IV.4 — Liste des travaux académiques déposés</w:t>
      </w:r>
    </w:p>
    <w:p>
      <w:pPr>
        <w:pStyle w:val="Heading2"/>
        <w:spacing w:after="240" w:before="360" w:line="360"/>
      </w:pPr>
      <w:bookmarkStart w:id="100099" w:name="_Toc100099"/>
      <w:r>
        <w:rPr>
          <w:rFonts w:ascii="Times New Roman" w:eastAsia="SimHei"/>
          <w:b/>
          <w:bCs/>
          <w:color w:val="000000"/>
          <w:sz w:val="30"/>
          <w:szCs w:val="30"/>
        </w:rPr>
        <w:t xml:space="preserve">IV.6. Moteur IA de détection du plagiat</w:t>
      </w:r>
      <w:bookmarkEnd w:id="100099"/>
    </w:p>
    <w:p>
      <w:pPr>
        <w:pStyle w:val="Heading3"/>
        <w:spacing w:after="120" w:before="240" w:line="360"/>
      </w:pPr>
      <w:bookmarkStart w:id="100100" w:name="_Toc100100"/>
      <w:r>
        <w:rPr>
          <w:rFonts w:ascii="Times New Roman" w:eastAsia="SimHei"/>
          <w:b/>
          <w:bCs/>
          <w:color w:val="000000"/>
          <w:sz w:val="28"/>
          <w:szCs w:val="28"/>
        </w:rPr>
        <w:t xml:space="preserve">IV.6.1. Architecture du moteur</w:t>
      </w:r>
      <w:bookmarkEnd w:id="100100"/>
    </w:p>
    <w:p>
      <w:pPr>
        <w:spacing w:after="0" w:line="360"/>
        <w:ind w:firstLine="480"/>
        <w:jc w:val="both"/>
      </w:pPr>
      <w:r>
        <w:rPr>
          <w:rFonts w:ascii="Times New Roman" w:eastAsia="SimSun"/>
          <w:color w:val="000000"/>
          <w:sz w:val="24"/>
          <w:szCs w:val="24"/>
        </w:rPr>
        <w:t xml:space="preserve">Le moteur IA a été implémenté en TypeScript natif (fichier src/lib/ia/engine.ts) plutôt qu'en Python via un mini-service externe. Ce choix architectural présente plusieurs avantages : pas de dépendance à un service externe, performances optimales (analyse en moins de 5 millisecondes), déploiement simplifié, et cohérence typage avec le reste de l'application. L'implémentation suit le pipeline en 8 étapes décrit au chapitre III : segmentation, tokenisation, vectorisation TF-IDF, calcul de similarité cosinus, similarité lexicale Jaccard, classification des correspondances, calcul du score global, génération du rapport.</w:t>
      </w:r>
    </w:p>
    <w:p>
      <w:pPr>
        <w:pStyle w:val="Heading3"/>
        <w:spacing w:after="120" w:before="240" w:line="360"/>
      </w:pPr>
      <w:bookmarkStart w:id="100101" w:name="_Toc100101"/>
      <w:r>
        <w:rPr>
          <w:rFonts w:ascii="Times New Roman" w:eastAsia="SimHei"/>
          <w:b/>
          <w:bCs/>
          <w:color w:val="000000"/>
          <w:sz w:val="28"/>
          <w:szCs w:val="28"/>
        </w:rPr>
        <w:t xml:space="preserve">IV.6.2. Prétraitement NLP</w:t>
      </w:r>
      <w:bookmarkEnd w:id="100101"/>
    </w:p>
    <w:p>
      <w:pPr>
        <w:spacing w:after="0" w:line="360"/>
        <w:ind w:firstLine="480"/>
        <w:jc w:val="both"/>
      </w:pPr>
      <w:r>
        <w:rPr>
          <w:rFonts w:ascii="Times New Roman" w:eastAsia="SimSun"/>
          <w:color w:val="000000"/>
          <w:sz w:val="24"/>
          <w:szCs w:val="24"/>
        </w:rPr>
        <w:t xml:space="preserve">Le prétraitement NLP comprend trois étapes : normalisation du texte (suppression des URLs, emails, références bibliographiques, normalisation des espaces), segmentation en phrases (split sur ponctuation finale avec préservation des majuscules), et tokenisation (extraction des mots avec filtrage des stop words français et anglais). La segmentation des documents regroupe les phrases en segments de 5 à 60 mots, ce qui correspond à la granularité optimale pour la comparaison sémantique. L'extrait de code suivant illustre la fonction de tokenisation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src/lib/ia/engine.ts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STOP_WORDS = new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120+ stop words français et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'le', 'la', 'les', 'un', 'une', 'des', 'du', 'de', 'et', 'ou',</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'mais', 'donc', 'or', 'ni', 'car', 'que', 'qui', 'quoi', 'dont',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(français)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'the', 'a', 'an', 'and', 'or', 'but', 'so', 'because', 'if',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function tokenize(text: string):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matches = text.toLowerCase()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.match(/\b[a-zA-ZÀ-ÿ]{2,}\b/g)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matches.filter(t =&amp;gt;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!STOP_WORDS.has(t) &amp;amp;&amp;amp; t.length &amp;gt;= 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02" w:name="_Toc100102"/>
      <w:r>
        <w:rPr>
          <w:rFonts w:ascii="Times New Roman" w:eastAsia="SimHei"/>
          <w:b/>
          <w:bCs/>
          <w:color w:val="000000"/>
          <w:sz w:val="28"/>
          <w:szCs w:val="28"/>
        </w:rPr>
        <w:t xml:space="preserve">IV.6.3. Vectorisation TF-IDF</w:t>
      </w:r>
      <w:bookmarkEnd w:id="100102"/>
    </w:p>
    <w:p>
      <w:pPr>
        <w:spacing w:after="0" w:line="360"/>
        <w:ind w:firstLine="480"/>
        <w:jc w:val="both"/>
      </w:pPr>
      <w:r>
        <w:rPr>
          <w:rFonts w:ascii="Times New Roman" w:eastAsia="SimSun"/>
          <w:color w:val="000000"/>
          <w:sz w:val="24"/>
          <w:szCs w:val="24"/>
        </w:rPr>
        <w:t xml:space="preserve">La vectorisation TF-IDF (Term Frequency - Inverse Document Frequency) est implémentée nativement en TypeScript. Pour chaque segment, on calcule un vecteur où chaque dimension correspond à un mot du vocabulaire global, et la valeur est le produit TF-IDF avec lissage. La formule utilisée est : IDF(token) = log((1 + N) / (1 + df)) + 1, où N est le nombre total de segments et df est le nombre de segments contenant le token. La transformation TF applique une formule sublinéaire : TF = 1 + log(freq), ce qui réduit l'impact des tokens très fréquents dans un même segment. Les vecteurs sont ensuite normalisés en L2 pour permettre le calcul direct de la similarité cosinus via un simple produit scalaire.</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function buildTfidfModel(segments: string[]): TfidfModel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tokenizedDocs = segments.map(s =&amp;gt; tokenize(s));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docCount = tokenizedDocs.length;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vocab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df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tokens of tokenizedDocs)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uniqueTokens = new Set(tokens);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 of uniqueTokens)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(!vocab.has(t)) vocab.set(t, 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df.set(t, (df.get(t)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IDF avec formule smooth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idf = new Float64Array(vocab.size);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 idx] of vocab)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idf[idx] = Math.log((1 + docCount) / (1 + (df.get(token)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 vocabulary: vocab, idf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03" w:name="_Toc100103"/>
      <w:r>
        <w:rPr>
          <w:rFonts w:ascii="Times New Roman" w:eastAsia="SimHei"/>
          <w:b/>
          <w:bCs/>
          <w:color w:val="000000"/>
          <w:sz w:val="28"/>
          <w:szCs w:val="28"/>
        </w:rPr>
        <w:t xml:space="preserve">IV.6.4. Similarité et classification</w:t>
      </w:r>
      <w:bookmarkEnd w:id="100103"/>
    </w:p>
    <w:p>
      <w:pPr>
        <w:spacing w:after="0" w:line="360"/>
        <w:ind w:firstLine="480"/>
        <w:jc w:val="both"/>
      </w:pPr>
      <w:r>
        <w:rPr>
          <w:rFonts w:ascii="Times New Roman" w:eastAsia="SimSun"/>
          <w:color w:val="000000"/>
          <w:sz w:val="24"/>
          <w:szCs w:val="24"/>
        </w:rPr>
        <w:t xml:space="preserve">Pour chaque segment du document analysé, le moteur calcule la similarité cosinus avec tous les segments du corpus (autres documents de la même faculté). Les trois meilleurs matches au-dessus du seuil (0.15 par défaut) sont retenus. Pour chaque match, on calcule également la similarité lexicale de Jaccard (intersection sur union des tokens), ce qui permet la classification en cinq types : copier-coller strict (similarité sémantique ≥ 0.85 et lexicale ≥ 0.70), paraphrase (≥ 0.60 et ≥ 0.40), reformulation (≥ 0.40), traduction (≥ 0.25), similarité faible (≥ 0.15). Le score global est calculé comme une combinaison de la couverture (proportion de segments touchés) et de l'intensité moyenne (score moyen des matches) : globalScore = coverage × 0.7 + avgScore × 0.3.</w:t>
      </w:r>
    </w:p>
    <w:p>
      <w:pPr>
        <w:pStyle w:val="Heading3"/>
        <w:spacing w:after="120" w:before="240" w:line="360"/>
      </w:pPr>
      <w:bookmarkStart w:id="100104" w:name="_Toc100104"/>
      <w:r>
        <w:rPr>
          <w:rFonts w:ascii="Times New Roman" w:eastAsia="SimHei"/>
          <w:b/>
          <w:bCs/>
          <w:color w:val="000000"/>
          <w:sz w:val="28"/>
          <w:szCs w:val="28"/>
        </w:rPr>
        <w:t xml:space="preserve">IV.6.5. Page supervision des analyses</w:t>
      </w:r>
      <w:bookmarkEnd w:id="100104"/>
    </w:p>
    <w:p>
      <w:pPr>
        <w:spacing w:after="0" w:line="360"/>
        <w:ind w:firstLine="480"/>
        <w:jc w:val="both"/>
      </w:pPr>
      <w:r>
        <w:rPr>
          <w:rFonts w:ascii="Times New Roman" w:eastAsia="SimSun"/>
          <w:color w:val="000000"/>
          <w:sz w:val="24"/>
          <w:szCs w:val="24"/>
        </w:rPr>
        <w:t xml:space="preserve">La page de supervision des analyses (Figure IV.5) offre une vue agrégée de l'activité du moteur IA. Elle présente quatre KPIs : nombre total d'analyses terminées, nombre d'analyses à risque élevé (score ≥ 30%), nombre de travaux originaux (score &lt; 15%), et score moyen de similarité. Une carte de configuration affiche les paramètres du moteur (algorithme TF-IDF, similarité cosinus, seuil 0.15, classification 5 types, périmètre faculté). L'historique scrollable liste toutes les analyses avec leur score coloré et une barre de progression. Enfin, le pipeline IA en 8 étapes est détaillé pour rappel.</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IV.5 — Page de supervision des analyses IA</w:t>
      </w:r>
    </w:p>
    <w:p>
      <w:pPr>
        <w:pStyle w:val="Heading2"/>
        <w:spacing w:after="240" w:before="360" w:line="360"/>
      </w:pPr>
      <w:bookmarkStart w:id="100105" w:name="_Toc100105"/>
      <w:r>
        <w:rPr>
          <w:rFonts w:ascii="Times New Roman" w:eastAsia="SimHei"/>
          <w:b/>
          <w:bCs/>
          <w:color w:val="000000"/>
          <w:sz w:val="30"/>
          <w:szCs w:val="30"/>
        </w:rPr>
        <w:t xml:space="preserve">IV.7. Visualisation des résultats d'analyse</w:t>
      </w:r>
      <w:bookmarkEnd w:id="100105"/>
    </w:p>
    <w:p>
      <w:pPr>
        <w:spacing w:after="0" w:line="360"/>
        <w:ind w:firstLine="480"/>
        <w:jc w:val="both"/>
      </w:pPr>
      <w:r>
        <w:rPr>
          <w:rFonts w:ascii="Times New Roman" w:eastAsia="SimSun"/>
          <w:color w:val="000000"/>
          <w:sz w:val="24"/>
          <w:szCs w:val="24"/>
        </w:rPr>
        <w:t xml:space="preserve">La page de détail d'un document (Figure IV.6) constitue l'interface principale de consultation des résultats d'analyse. Elle est organisée en deux colonnes : à gauche, les métadonnées du document (auteur, encadrant, faculté, département, année, fichier) ; à droite, l'analyse IA complète avec ses résultats.</w:t>
      </w:r>
    </w:p>
    <w:p>
      <w:pPr>
        <w:spacing w:after="0" w:line="360"/>
        <w:ind w:firstLine="480"/>
        <w:jc w:val="both"/>
      </w:pPr>
      <w:r>
        <w:rPr>
          <w:rFonts w:ascii="Times New Roman" w:eastAsia="SimSun"/>
          <w:color w:val="000000"/>
          <w:sz w:val="24"/>
          <w:szCs w:val="24"/>
        </w:rPr>
        <w:t xml:space="preserve">L'en-tête de la page affiche le titre du document, son type et son statut. Deux boutons d'action permettent de lancer ou relancer l'analyse IA, et de télécharger le rapport PDF. Lorsque l'analyse est terminée, la section résultats présente : le score global avec une barre de progression colorée selon le niveau de risque (vert &lt; 15%, ambre 15-30%, orange 30-50%, rouge &gt; 50%) et un verdict textuel (faible similarité, similarité modérée, similarité élevée, plagiat probable) ; la répartition par type de match sous forme de 5 cartes (copier-coller, paraphrase, reformulation, traduction, similarité faible) avec le nombre de correspondances de chaque type ; les métadonnées de l'analyse (seuil, statut, date).</w:t>
      </w:r>
    </w:p>
    <w:p>
      <w:pPr>
        <w:spacing w:after="0" w:line="360"/>
        <w:ind w:firstLine="480"/>
        <w:jc w:val="both"/>
      </w:pPr>
      <w:r>
        <w:rPr>
          <w:rFonts w:ascii="Times New Roman" w:eastAsia="SimSun"/>
          <w:color w:val="000000"/>
          <w:sz w:val="24"/>
          <w:szCs w:val="24"/>
        </w:rPr>
        <w:t xml:space="preserve">La liste détaillée des correspondances occupe le bas de la page. Chaque correspondance est présentée dans une carte avec un en-tête coloré selon le type de match, les scores sémantique et lexical, et deux blocs de texte : le segment analysé (surligné en rouge à gauche) et le segment source correspondant (surligné en ambre à droite). Un lien cliquable permet de naviguer vers le document source. Cette visualisation permet à l'enseignant ou au jury d'évaluer rapidement la nature et la gravité des similarités détectées, et de prendre une décision éclairée.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IV.6 — Page de détail d'un document avec résultats d'analyse IA</w:t>
      </w:r>
    </w:p>
    <w:p>
      <w:pPr>
        <w:pStyle w:val="Heading2"/>
        <w:spacing w:after="240" w:before="360" w:line="360"/>
      </w:pPr>
      <w:bookmarkStart w:id="100106" w:name="_Toc100106"/>
      <w:r>
        <w:rPr>
          <w:rFonts w:ascii="Times New Roman" w:eastAsia="SimHei"/>
          <w:b/>
          <w:bCs/>
          <w:color w:val="000000"/>
          <w:sz w:val="30"/>
          <w:szCs w:val="30"/>
        </w:rPr>
        <w:t xml:space="preserve">IV.8. Génération automatique de rapports PDF</w:t>
      </w:r>
      <w:bookmarkEnd w:id="100106"/>
    </w:p>
    <w:p>
      <w:pPr>
        <w:spacing w:after="0" w:line="360"/>
        <w:ind w:firstLine="480"/>
        <w:jc w:val="both"/>
      </w:pPr>
      <w:r>
        <w:rPr>
          <w:rFonts w:ascii="Times New Roman" w:eastAsia="SimSun"/>
          <w:color w:val="000000"/>
          <w:sz w:val="24"/>
          <w:szCs w:val="24"/>
        </w:rPr>
        <w:t xml:space="preserve">La plateforme génère automatiquement un rapport PDF imprimable pour chaque document analysé. Le rapport est produit sous forme de HTML optimisé pour l'impression A4, convertible en PDF via la fonction d'impression du navigateur (Ctrl+P). Cette approche évite la dépendance à une bibliothèque PDF externe tout en offrant une mise en page professionnelle. Le rapport (Figure IV.7) comprend : un en-tête avec branding UNIKIN, les informations complètes du document (titre, type, auteur, encadrant, faculté, département, année), le score global de similarité avec verdict coloré et barre de progression, les statistiques détaillées (segments matchés, segments total, correspondances, seuil, temps de traitement), la répartition par type de match, et le détail de chaque correspondance avec textes surlignés (rouge pour le document analysé, ambre pour la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IV.7 — Rapport PDF imprimable généré automatiquement</w:t>
      </w:r>
    </w:p>
    <w:p>
      <w:pPr>
        <w:pStyle w:val="Heading2"/>
        <w:spacing w:after="240" w:before="360" w:line="360"/>
      </w:pPr>
      <w:bookmarkStart w:id="100107" w:name="_Toc100107"/>
      <w:r>
        <w:rPr>
          <w:rFonts w:ascii="Times New Roman" w:eastAsia="SimHei"/>
          <w:b/>
          <w:bCs/>
          <w:color w:val="000000"/>
          <w:sz w:val="30"/>
          <w:szCs w:val="30"/>
        </w:rPr>
        <w:t xml:space="preserve">IV.9. Journal d'audit et paramètres système</w:t>
      </w:r>
      <w:bookmarkEnd w:id="100107"/>
    </w:p>
    <w:p>
      <w:pPr>
        <w:spacing w:after="0" w:line="360"/>
        <w:ind w:firstLine="480"/>
        <w:jc w:val="both"/>
      </w:pPr>
      <w:r>
        <w:rPr>
          <w:rFonts w:ascii="Times New Roman" w:eastAsia="SimSun"/>
          <w:color w:val="000000"/>
          <w:sz w:val="24"/>
          <w:szCs w:val="24"/>
        </w:rPr>
        <w:t xml:space="preserve">Le journal d'audit (Figure IV.8) assure la traçabilité complète des actions effectuées sur la plateforme. Chaque action (connexion, création, modification, suppression, lancement d'analyse) est enregistrée avec l'utilisateur, l'entité concernée, les détails de l'opération, l'adresse IP et l'horodatage. Le journal est consultable sous forme de tableau scrollable avec badges colorés par type d'action, et limite l'affichage aux 200 entrées les plus récentes pour des raisons de performance. Cette traçabilité est essentielle dans un contexte académique où la transparence des décisions (validation, rejet d'un travail) doit pouvoir être vérifiée.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Journal d'audit de la plateforme</w:t>
      </w:r>
    </w:p>
    <w:p>
      <w:pPr>
        <w:spacing w:after="0" w:line="360"/>
        <w:ind w:firstLine="480"/>
        <w:jc w:val="both"/>
      </w:pPr>
      <w:r>
        <w:rPr>
          <w:rFonts w:ascii="Times New Roman" w:eastAsia="SimSun"/>
          <w:color w:val="000000"/>
          <w:sz w:val="24"/>
          <w:szCs w:val="24"/>
        </w:rPr>
        <w:t xml:space="preserve">La page paramètres (Figure IV.9) regroupe la configuration du système en quatre cartes : modèle IA (algorithme, dimensions, langues), paramètres de détection (seuil, périmètre, classification), base de données (type actuel et cible production), sécurité (authentification JWT, cookies, RBAC). Ces paramètres sont actuellement en lecture seule dans la démonstration, mais l'architecture permet leur modification via le back-office sans intervention sur le code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Page de paramètres système</w:t>
      </w:r>
    </w:p>
    <w:p>
      <w:pPr>
        <w:pStyle w:val="Heading2"/>
        <w:spacing w:after="240" w:before="360" w:line="360"/>
      </w:pPr>
      <w:bookmarkStart w:id="100108" w:name="_Toc100108"/>
      <w:r>
        <w:rPr>
          <w:rFonts w:ascii="Times New Roman" w:eastAsia="SimHei"/>
          <w:b/>
          <w:bCs/>
          <w:color w:val="000000"/>
          <w:sz w:val="30"/>
          <w:szCs w:val="30"/>
        </w:rPr>
        <w:t xml:space="preserve">IV.10. Expérimentation sur corpus pilote</w:t>
      </w:r>
      <w:bookmarkEnd w:id="100108"/>
    </w:p>
    <w:p>
      <w:pPr>
        <w:pStyle w:val="Heading3"/>
        <w:spacing w:after="120" w:before="240" w:line="360"/>
      </w:pPr>
      <w:bookmarkStart w:id="100109" w:name="_Toc100109"/>
      <w:r>
        <w:rPr>
          <w:rFonts w:ascii="Times New Roman" w:eastAsia="SimHei"/>
          <w:b/>
          <w:bCs/>
          <w:color w:val="000000"/>
          <w:sz w:val="28"/>
          <w:szCs w:val="28"/>
        </w:rPr>
        <w:t xml:space="preserve">IV.10.1. Constitution du corpus pilote</w:t>
      </w:r>
      <w:bookmarkEnd w:id="100109"/>
    </w:p>
    <w:p>
      <w:pPr>
        <w:spacing w:after="0" w:line="360"/>
        <w:ind w:firstLine="480"/>
        <w:jc w:val="both"/>
      </w:pPr>
      <w:r>
        <w:rPr>
          <w:rFonts w:ascii="Times New Roman" w:eastAsia="SimSun"/>
          <w:color w:val="000000"/>
          <w:sz w:val="24"/>
          <w:szCs w:val="24"/>
        </w:rPr>
        <w:t xml:space="preserve">Le corpus pilote a été constitué pour valider le fonctionnement du moteur IA dans des conditions contrôlées. Il comprend treize documents académiques fictifs mais réalistes, organisés en quatre catégories : documents originaux sans aucune relation avec d'autres travaux (6 documents), documents source ayant fait l'objet d'un plagiat par un autre document du corpus (4 documents), paraphrases reformulant systématiquement un document source (2 documents), et copier-coller strict d'un document source (1 document). Cette composition permet de tester à la fois la capacité de détection du plagiat (vrais positifs) et l'absence de faux positifs (les documents originaux ne doivent pas être signalés), ainsi que la distinction entre les différents types de plagiat (copier-coller, paraphrase, réciprocité source-plagia).</w:t>
      </w:r>
    </w:p>
    <w:p>
      <w:pPr>
        <w:keepNext/>
        <w:spacing w:after="60" w:before="120" w:line="280"/>
        <w:jc w:val="center"/>
      </w:pPr>
      <w:r>
        <w:rPr>
          <w:rFonts w:ascii="Times New Roman" w:eastAsia="SimSun"/>
          <w:i/>
          <w:iCs/>
          <w:color w:val="333333"/>
          <w:sz w:val="21"/>
          <w:szCs w:val="21"/>
        </w:rPr>
        <w:t xml:space="preserve">Tableau IV.2 — Composition du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Nombre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Comportement attendu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Sujet unique, sans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Non détecté (TN)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Source (plagiée)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original dont une version plagia existe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(réciprocité)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lexicale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stricte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Total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r>
    </w:tbl>
    <w:p>
      <w:pPr>
        <w:spacing w:line="360"/>
      </w:pPr>
    </w:p>
    <w:p>
      <w:pPr>
        <w:spacing w:after="0" w:line="360"/>
        <w:ind w:firstLine="480"/>
        <w:jc w:val="both"/>
      </w:pPr>
      <w:r>
        <w:rPr>
          <w:rFonts w:ascii="Times New Roman" w:eastAsia="SimSun"/>
          <w:color w:val="000000"/>
          <w:sz w:val="24"/>
          <w:szCs w:val="24"/>
        </w:rPr>
        <w:t xml:space="preserve">Les sujets abordés couvrent un spectre varié pour tester la robustesse du moteur : impact de l'IA sur l'éducation, économie informelle en Afrique, changement climatique et agriculture, histoire de l'enseignement supérieur congolais, musique congolaise, minerais de conflit, télémédecine. Cette diversité thématique permet de vérifier que la plateforme ne génère pas de faux positifs sur des documents traitant de sujets réellement différents, même lorsqu'ils partagent un vocabulaire académique commun.</w:t>
      </w:r>
    </w:p>
    <w:p>
      <w:pPr>
        <w:pStyle w:val="Heading3"/>
        <w:spacing w:after="120" w:before="240" w:line="360"/>
      </w:pPr>
      <w:bookmarkStart w:id="100110" w:name="_Toc100110"/>
      <w:r>
        <w:rPr>
          <w:rFonts w:ascii="Times New Roman" w:eastAsia="SimHei"/>
          <w:b/>
          <w:bCs/>
          <w:color w:val="000000"/>
          <w:sz w:val="28"/>
          <w:szCs w:val="28"/>
        </w:rPr>
        <w:t xml:space="preserve">IV.10.2. Protocole d'évaluation</w:t>
      </w:r>
      <w:bookmarkEnd w:id="100110"/>
    </w:p>
    <w:p>
      <w:pPr>
        <w:spacing w:after="0" w:line="360"/>
        <w:ind w:firstLine="480"/>
        <w:jc w:val="both"/>
      </w:pPr>
      <w:r>
        <w:rPr>
          <w:rFonts w:ascii="Times New Roman" w:eastAsia="SimSun"/>
          <w:color w:val="000000"/>
          <w:sz w:val="24"/>
          <w:szCs w:val="24"/>
        </w:rPr>
        <w:t xml:space="preserve">Le protocole d'évaluation consiste à analyser chacun des treize documents en utilisant les douze autres comme corpus de comparaison, avec un seuil de similarité fixé à 0.15 pour la détection des correspondances et un seuil de décision global à 0.30. Deux approches sont comparées : le moteur sémantique (TF-IDF + similarité cosinus + classification multi-types) et une baseline lexicale (similarité de Jaccard sur ensembles de tokens). Pour chaque document, on mesure : le score global de similarité, le nombre de segments matchés, et la décision binaire (plagiat détecté / non détecté). Les métriques standard de classification binaire sont ensuite calculées : précision, rappel, F1-score, exactitude, spécificité.</w:t>
      </w:r>
    </w:p>
    <w:p>
      <w:pPr>
        <w:pStyle w:val="Heading3"/>
        <w:spacing w:after="120" w:before="240" w:line="360"/>
      </w:pPr>
      <w:bookmarkStart w:id="100111" w:name="_Toc100111"/>
      <w:r>
        <w:rPr>
          <w:rFonts w:ascii="Times New Roman" w:eastAsia="SimHei"/>
          <w:b/>
          <w:bCs/>
          <w:color w:val="000000"/>
          <w:sz w:val="28"/>
          <w:szCs w:val="28"/>
        </w:rPr>
        <w:t xml:space="preserve">IV.10.3. Résultats quantitatifs</w:t>
      </w:r>
      <w:bookmarkEnd w:id="100111"/>
    </w:p>
    <w:p>
      <w:pPr>
        <w:spacing w:after="0" w:line="360"/>
        <w:ind w:firstLine="480"/>
        <w:jc w:val="both"/>
      </w:pPr>
      <w:r>
        <w:rPr>
          <w:rFonts w:ascii="Times New Roman" w:eastAsia="SimSun"/>
          <w:color w:val="000000"/>
          <w:sz w:val="24"/>
          <w:szCs w:val="24"/>
        </w:rPr>
        <w:t xml:space="preserve">Les résultats obtenus sur le corpus pilote étendu sont présentés dans le tableau IV.3. Les deux approches atteignent des performances identiques sur ce corpus, ce qui s'explique par la nature des plagias testés (paraphrases lexicales et copier-coller strict) qui sont bien détectés par les deux méthodes. Une différence apparaîtrait avec des reformulations sémantiques plus profondes, où le TF-IDF et Jaccard seraient moins performants qu'une approche basée sur des embeddings pré-entraînés comme Sentence-BERT.</w:t>
      </w:r>
    </w:p>
    <w:p>
      <w:pPr>
        <w:keepNext/>
        <w:spacing w:after="60" w:before="120" w:line="280"/>
        <w:jc w:val="center"/>
      </w:pPr>
      <w:r>
        <w:rPr>
          <w:rFonts w:ascii="Times New Roman" w:eastAsia="SimSun"/>
          <w:i/>
          <w:iCs/>
          <w:color w:val="333333"/>
          <w:sz w:val="21"/>
          <w:szCs w:val="21"/>
        </w:rPr>
        <w:t xml:space="preserve">Tableau IV.3 — Résultats de l'évaluation quantitative sur le corpus pilote étendu (13 documents)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Moteur sémantique (TF-IDF)</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positifs (TP)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positifs (FP)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négatifs (TN)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négatifs (FN)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Rappel (sensibilité)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F1-score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Exactitude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Spécificité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Avec un F1-score de 93,3% et un rappel de 100%, la plateforme détecte l'intégralité des cas de plagiat du corpus (paraphrases, copier-coller et documents réciproquement liés). La spécificité de 83,3% indique qu'un document original sur six est faussement signalé, ce qui correspond au cas d'un document partageant un vocabulaire technique commun avec un autre sans pour autant plagier. Ce faux positif reste acceptable dans un contexte académique où l'enseignant conserve la décision finale après consultation du rapport détaillé.</w:t>
      </w:r>
    </w:p>
    <w:p>
      <w:pPr>
        <w:spacing w:after="12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Comparaison des métriques de performance entre le moteur sémantique et la baseline lexicale</w:t>
      </w:r>
    </w:p>
    <w:p>
      <w:pPr>
        <w:spacing w:after="120" w:before="20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9335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Matrices de confusion des deux approches sur le corpus pilote étendu</w:t>
      </w:r>
    </w:p>
    <w:p>
      <w:pPr>
        <w:pStyle w:val="Heading3"/>
        <w:spacing w:after="120" w:before="240" w:line="360"/>
      </w:pPr>
      <w:bookmarkStart w:id="100112" w:name="_Toc100112"/>
      <w:r>
        <w:rPr>
          <w:rFonts w:ascii="Times New Roman" w:eastAsia="SimHei"/>
          <w:b/>
          <w:bCs/>
          <w:color w:val="000000"/>
          <w:sz w:val="28"/>
          <w:szCs w:val="28"/>
        </w:rPr>
        <w:t xml:space="preserve">IV.10.4. Analyse détaillée par document</w:t>
      </w:r>
      <w:bookmarkEnd w:id="100112"/>
    </w:p>
    <w:p>
      <w:pPr>
        <w:spacing w:after="0" w:line="360"/>
        <w:ind w:firstLine="480"/>
        <w:jc w:val="both"/>
      </w:pPr>
      <w:r>
        <w:rPr>
          <w:rFonts w:ascii="Times New Roman" w:eastAsia="SimSun"/>
          <w:color w:val="000000"/>
          <w:sz w:val="24"/>
          <w:szCs w:val="24"/>
        </w:rPr>
        <w:t xml:space="preserve">L'analyse détaillée des résultats par document révèle plusieurs points intéressants. Les trois documents sur l'IA et l'éducation (source, paraphrase, et copier-coller) obtiennent des scores élevés (77 à 100%), confirmant la détection des relations de plagiat dans les deux sens. Les documents sur des sujets totalement indépendants (histoire, musique, minerais, télémédecine) obtiennent un score de 0%, confirmant l'absence de faux positifs. Un document original sur l'éducation numérique obtient un score de 78%, le classant comme faux positif : ce document partage effectivement un vocabulaire technique avec d'autres documents sur l'éducation, mais sans relation de plagiat réelle. Ce cas illustre la limite de l'approche purement lexicale, qui serait résolue par l'intégration de Sentence-BERT pour une similarité sémantique plus profonde.</w:t>
      </w:r>
    </w:p>
    <w:p>
      <w:pPr>
        <w:keepNext/>
        <w:spacing w:after="60" w:before="120" w:line="280"/>
        <w:jc w:val="center"/>
      </w:pPr>
      <w:r>
        <w:rPr>
          <w:rFonts w:ascii="Times New Roman" w:eastAsia="SimSun"/>
          <w:i/>
          <w:iCs/>
          <w:color w:val="333333"/>
          <w:sz w:val="21"/>
          <w:szCs w:val="21"/>
        </w:rPr>
        <w:t xml:space="preserve">Tableau IV.4 — Résultats détaillés par document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sem.</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base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Verdict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biodiversité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Défis du numérique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Numérisation enseignement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Économie informelle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Secteur informel (copier-coller)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COPY_PASTE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Changements climatiques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 alimentaire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Histoire enseignement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Musique congolaise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Minerais de conflit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Télémédecine Afrique rurale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bl>
    <w:p>
      <w:pPr>
        <w:spacing w:line="360"/>
      </w:pPr>
    </w:p>
    <w:p>
      <w:pPr>
        <w:spacing w:after="0" w:line="360"/>
        <w:ind w:firstLine="480"/>
        <w:jc w:val="both"/>
      </w:pPr>
      <w:r>
        <w:rPr>
          <w:rFonts w:ascii="Times New Roman" w:eastAsia="SimSun"/>
          <w:color w:val="000000"/>
          <w:sz w:val="24"/>
          <w:szCs w:val="24"/>
        </w:rPr>
        <w:t xml:space="preserve">L'analyse qualitative des correspondances confirme la pertinence de la classification. Les documents en relation de copier-coller strict obtiennent un score sémantique de 100% avec classification correcte en COPY_PASTE. Les paraphrases obtiennent des scores entre 77 et 79% avec classification en PARAPHRASE ou REFORMULATION selon l'intensité de la similarité lexicale. Les documents originaux non liés obtiennent 0%, confirmant la spécificité du moteur.</w:t>
      </w:r>
    </w:p>
    <w:p>
      <w:pPr>
        <w:pStyle w:val="Heading3"/>
        <w:spacing w:after="120" w:before="240" w:line="360"/>
      </w:pPr>
      <w:bookmarkStart w:id="100113" w:name="_Toc100113"/>
      <w:r>
        <w:rPr>
          <w:rFonts w:ascii="Times New Roman" w:eastAsia="SimHei"/>
          <w:b/>
          <w:bCs/>
          <w:color w:val="000000"/>
          <w:sz w:val="28"/>
          <w:szCs w:val="28"/>
        </w:rPr>
        <w:t xml:space="preserve">IV.10.5. Analyse des correspondances détectées</w:t>
      </w:r>
      <w:bookmarkEnd w:id="100113"/>
    </w:p>
    <w:p>
      <w:pPr>
        <w:spacing w:after="0" w:line="360"/>
        <w:ind w:firstLine="480"/>
        <w:jc w:val="both"/>
      </w:pPr>
      <w:r>
        <w:rPr>
          <w:rFonts w:ascii="Times New Roman" w:eastAsia="SimSun"/>
          <w:color w:val="000000"/>
          <w:sz w:val="24"/>
          <w:szCs w:val="24"/>
        </w:rPr>
        <w:t xml:space="preserve">L'analyse détaillée des correspondances détectées sur le document plagiat « L'IA dans les universités africaines » (paraphrase du document source « Impact de l'IA sur l'enseignement supérieur en Afrique ») révèle la pertinence de la classification. Les deux correspondances principales sont classées comme « traduction » (similarité sémantique 31,86%, lexicale 21,57%), ce qui correspond bien à une reformulation substantielle du texte source avec préservation du sens. Les deux correspondances secondaires sont classées « similarité faible » (sémantique 20,14%, lexicale 14,89%), correspondant à des passages partageant un vocabulaire technique commun mais avec une formulation différente.</w:t>
      </w:r>
    </w:p>
    <w:p>
      <w:pPr>
        <w:keepNext/>
        <w:spacing w:after="60" w:before="120" w:line="280"/>
        <w:jc w:val="center"/>
      </w:pPr>
      <w:r>
        <w:rPr>
          <w:rFonts w:ascii="Times New Roman" w:eastAsia="SimSun"/>
          <w:i/>
          <w:iCs/>
          <w:color w:val="333333"/>
          <w:sz w:val="21"/>
          <w:szCs w:val="21"/>
        </w:rPr>
        <w:t xml:space="preserve">Tableau IV.5 — Détail des correspondances détectées sur le document plagiat type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Match</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sémantique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lexical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Gravité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bl>
    <w:p>
      <w:pPr>
        <w:spacing w:line="360"/>
      </w:pPr>
    </w:p>
    <w:p>
      <w:pPr>
        <w:spacing w:after="0" w:line="360"/>
        <w:ind w:firstLine="480"/>
        <w:jc w:val="both"/>
      </w:pPr>
      <w:r>
        <w:rPr>
          <w:rFonts w:ascii="Times New Roman" w:eastAsia="SimSun"/>
          <w:color w:val="000000"/>
          <w:sz w:val="24"/>
          <w:szCs w:val="24"/>
        </w:rPr>
        <w:t xml:space="preserve">L'examen qualitatif des correspondances confirme la pertinence de la détection. Le segment source « L'intelligence artificielle transforme profondément l'enseignement supérieur en Afrique. Les universités congolaises intègrent progressivement ces technologies... » est correctement identifié comme similaire au segment plagiat « L'IA modifie de manière significative l'enseignement supérieur africain. Les établissements universitaires congolais adoptent graduellement ces innovations... ». Les deux segments expriment la même idée avec des reformulations lexicales (intelligence artificielle → IA, transforme profondément → modifie de manière significative, universités congolaises → établissements universitaires congolais), ce qui justifie la classification en traduction plutôt qu'en copier-coller strict.</w:t>
      </w:r>
    </w:p>
    <w:p>
      <w:pPr>
        <w:pStyle w:val="Heading2"/>
        <w:spacing w:after="240" w:before="360" w:line="360"/>
      </w:pPr>
      <w:bookmarkStart w:id="100114" w:name="_Toc100114"/>
      <w:r>
        <w:rPr>
          <w:rFonts w:ascii="Times New Roman" w:eastAsia="SimHei"/>
          <w:b/>
          <w:bCs/>
          <w:color w:val="000000"/>
          <w:sz w:val="30"/>
          <w:szCs w:val="30"/>
        </w:rPr>
        <w:t xml:space="preserve">IV.11. Performances et scalabilité</w:t>
      </w:r>
      <w:bookmarkEnd w:id="100114"/>
    </w:p>
    <w:p>
      <w:pPr>
        <w:spacing w:after="0" w:line="360"/>
        <w:ind w:firstLine="480"/>
        <w:jc w:val="both"/>
      </w:pPr>
      <w:r>
        <w:rPr>
          <w:rFonts w:ascii="Times New Roman" w:eastAsia="SimSun"/>
          <w:color w:val="000000"/>
          <w:sz w:val="24"/>
          <w:szCs w:val="24"/>
        </w:rPr>
        <w:t xml:space="preserve">Les performances de la plateforme ont été mesurées sur l'environnement de démonstration (Next.js Turbopack en développement, JSON store local). Le temps de traitement moyen pour l'analyse d'un document de 2 segments face à un corpus de 4 segments est de 1 milliseconde, ce qui inclut la segmentation, la vectorisation TF-IDF, le calcul des similarités et la classification. Ce temps reste inférieur à 50 millisecondes pour des documents de 20 segments face à un corpus de 100 segments, ce qui démontre la scalabilité de l'approche pour un usage académique à l'échelle d'une faculté.</w:t>
      </w:r>
    </w:p>
    <w:p>
      <w:pPr>
        <w:keepNext/>
        <w:spacing w:after="60" w:before="120" w:line="280"/>
        <w:jc w:val="center"/>
      </w:pPr>
      <w:r>
        <w:rPr>
          <w:rFonts w:ascii="Times New Roman" w:eastAsia="SimSun"/>
          <w:i/>
          <w:iCs/>
          <w:color w:val="333333"/>
          <w:sz w:val="21"/>
          <w:szCs w:val="21"/>
        </w:rPr>
        <w:t xml:space="preserve">Tableau IV.5 — Performances mesurées sur l'environnement de démonstration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Valeur mesurée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documents, 2 segments chacun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60-90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Incluant signature JWT + cookie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chargement dashboard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150-200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stats + rendu React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génération rapport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500-600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HTML imprimable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Taille du code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~5000 lignes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 + TSX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routes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 endpoints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pages admin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Dashboard + sous-pages</w:t>
            </w:r>
          </w:p>
        </w:tc>
      </w:tr>
    </w:tbl>
    <w:p>
      <w:pPr>
        <w:spacing w:line="360"/>
      </w:pPr>
    </w:p>
    <w:p>
      <w:pPr>
        <w:spacing w:after="0" w:line="360"/>
        <w:ind w:firstLine="480"/>
        <w:jc w:val="both"/>
      </w:pPr>
      <w:r>
        <w:rPr>
          <w:rFonts w:ascii="Times New Roman" w:eastAsia="SimSun"/>
          <w:color w:val="000000"/>
          <w:sz w:val="24"/>
          <w:szCs w:val="24"/>
        </w:rPr>
        <w:t xml:space="preserve">Pour un déploiement à l'échelle de l'Université de Kinshasa (estimation : 10 facultés, 50 départements, 5000 utilisateurs, 10000 documents), l'architecture actuelle nécessitera la migration vers PostgreSQL avec l'extension pgvector pour la recherche vectorielle. Le schéma Prisma déjà défini dans le projet est prêt pour cette migration. Les performances attendues avec pgvector et un index HNSW resteraient compatibles avec un usage interactif (recherche en moins de 100 ms sur 1 million de vecteurs).</w:t>
      </w:r>
    </w:p>
    <w:p>
      <w:pPr>
        <w:pStyle w:val="Heading2"/>
        <w:spacing w:after="240" w:before="360" w:line="360"/>
      </w:pPr>
      <w:bookmarkStart w:id="100115" w:name="_Toc100115"/>
      <w:r>
        <w:rPr>
          <w:rFonts w:ascii="Times New Roman" w:eastAsia="SimHei"/>
          <w:b/>
          <w:bCs/>
          <w:color w:val="000000"/>
          <w:sz w:val="30"/>
          <w:szCs w:val="30"/>
        </w:rPr>
        <w:t xml:space="preserve">IV.12. Limites observées</w:t>
      </w:r>
      <w:bookmarkEnd w:id="100115"/>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l'approche TF-IDF, bien qu'efficace pour la détection des paraphrases lexicales, reste limitée pour la détection des reformulations sémantiques plus profondes. L'intégration de modèles d'embeddings pré-entraînés comme Sentence-BERT multilingue permettrait de capturer des similarités de sens que TF-IDF ne peut pas identifier. Le mini-service Python avec scikit-learn a été développé à cette fin et reste disponible comme alternative au moteur TypeScript natif.</w:t>
      </w:r>
    </w:p>
    <w:p>
      <w:pPr>
        <w:spacing w:after="0" w:line="360"/>
        <w:ind w:firstLine="480"/>
        <w:jc w:val="both"/>
      </w:pPr>
      <w:r>
        <w:rPr>
          <w:rFonts w:ascii="Times New Roman" w:eastAsia="SimSun"/>
          <w:color w:val="000000"/>
          <w:sz w:val="24"/>
          <w:szCs w:val="24"/>
        </w:rPr>
        <w:t xml:space="preserve">Deuxièmement, la détection du plagiat par IA générative n'est pas implémentée dans la version actuelle. Les textes produits par des modèles comme ChatGPT ne seraient pas détectés par l'approche TF-IDF, car ils ne présentent pas de similarité lexicale avec des sources existantes. L'intégration de classificateurs supervisés spécialisés (métriques de perplexité, analyse stylométrique) constitue une perspective de recherche majeure.</w:t>
      </w:r>
    </w:p>
    <w:p>
      <w:pPr>
        <w:spacing w:after="0" w:line="360"/>
        <w:ind w:firstLine="480"/>
        <w:jc w:val="both"/>
      </w:pPr>
      <w:r>
        <w:rPr>
          <w:rFonts w:ascii="Times New Roman" w:eastAsia="SimSun"/>
          <w:color w:val="000000"/>
          <w:sz w:val="24"/>
          <w:szCs w:val="24"/>
        </w:rPr>
        <w:t xml:space="preserve">Troisièmement, l'extraction du texte depuis les fichiers PDF n'est pas implémentée dans la version de démonstration (le texte est simulé). En production, l'intégration de Tesseract pour l'OCR des PDF scannés et de pdfplumber pour les PDF natifs est nécessaire. Le mini-service Python inclut déjà l'implémentation de l'extraction via pdfplumber.</w:t>
      </w:r>
    </w:p>
    <w:p>
      <w:pPr>
        <w:spacing w:after="0" w:line="360"/>
        <w:ind w:firstLine="480"/>
        <w:jc w:val="both"/>
      </w:pPr>
      <w:r>
        <w:rPr>
          <w:rFonts w:ascii="Times New Roman" w:eastAsia="SimSun"/>
          <w:color w:val="000000"/>
          <w:sz w:val="24"/>
          <w:szCs w:val="24"/>
        </w:rPr>
        <w:t xml:space="preserve">Quatrièmement, le corpus pilote de 3 documents, bien que suffisant pour valider la preuve de concept, reste limité pour généraliser les résultats. Une expérimentation sur un corpus plus large (150 travaux réels de la Faculté des Sciences, avec annotation manuelle des cas de plagiat avérés) serait nécessaire pour calculer les métriques standard de l'apprentissage automatique (précision, rappel, F1-score, courbe ROC) et comparer formellement l'approche sémantique à une baseline lexicale.</w:t>
      </w:r>
    </w:p>
    <w:p>
      <w:pPr>
        <w:spacing w:after="0" w:line="360"/>
        <w:ind w:firstLine="480"/>
        <w:jc w:val="both"/>
      </w:pPr>
      <w:r>
        <w:rPr>
          <w:rFonts w:ascii="Times New Roman" w:eastAsia="SimSun"/>
          <w:color w:val="000000"/>
          <w:sz w:val="24"/>
          <w:szCs w:val="24"/>
        </w:rPr>
        <w:t xml:space="preserve">Cinquièmement, l'authentification actuelle stocke les mots de passe en clair dans le JSON store (pour la démonstration). En production, l'intégration de bcrypt pour le hachage sécurisé des mots de passe est indispensable, ainsi que l'activation du mode sécurisé pour les cookies JWT.</w:t>
      </w:r>
    </w:p>
    <w:p>
      <w:pPr>
        <w:pStyle w:val="Heading2"/>
        <w:spacing w:after="240" w:before="360" w:line="360"/>
      </w:pPr>
      <w:bookmarkStart w:id="100116" w:name="_Toc100116"/>
      <w:r>
        <w:rPr>
          <w:rFonts w:ascii="Times New Roman" w:eastAsia="SimHei"/>
          <w:b/>
          <w:bCs/>
          <w:color w:val="000000"/>
          <w:sz w:val="30"/>
          <w:szCs w:val="30"/>
        </w:rPr>
        <w:t xml:space="preserve">IV.13. Conclusion</w:t>
      </w:r>
      <w:bookmarkEnd w:id="100116"/>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3 documents académiques, et l'évaluation qualitative de ses performances. Les résultats obtenus valident l'hypothèse formulée en introduction : l'approche sémantique fondée sur la vectorisation TF-IDF et la similarité cosinus permet une détection efficace du plagiat par paraphrase, avec un score de 77,8% sur le document plagiat de test, et surtout l'absence de faux positifs sur le document original (score de 0%).</w:t>
      </w:r>
    </w:p>
    <w:p>
      <w:pPr>
        <w:spacing w:after="0" w:line="360"/>
        <w:ind w:firstLine="480"/>
        <w:jc w:val="both"/>
      </w:pPr>
      <w:r>
        <w:rPr>
          <w:rFonts w:ascii="Times New Roman" w:eastAsia="SimSun"/>
          <w:color w:val="000000"/>
          <w:sz w:val="24"/>
          <w:szCs w:val="24"/>
        </w:rPr>
        <w:t xml:space="preserve">La plateforme offre un back-office administrateur complet permettant de gérer l'intégralité du système sans intervention sur le code source : création de facultés, départements, promotions, utilisateurs, dépôt de travaux, lancement d'analyses IA, consultation des résultats, génération de rapports PDF, supervision via tableau de bord et journal d'audit. L'interface utilisateur moderne et intuitive (Next.js + React + Tailwind + shadcn/ui) offre une expérience professionnelle conforme aux standards du web contemporain.</w:t>
      </w:r>
    </w:p>
    <w:p>
      <w:pPr>
        <w:spacing w:after="0" w:line="360"/>
        <w:ind w:firstLine="480"/>
        <w:jc w:val="both"/>
      </w:pPr>
      <w:r>
        <w:rPr>
          <w:rFonts w:ascii="Times New Roman" w:eastAsia="SimSun"/>
          <w:color w:val="000000"/>
          <w:sz w:val="24"/>
          <w:szCs w:val="24"/>
        </w:rPr>
        <w:t xml:space="preserve">Les limites identifiées, notamment sur la détection du plagiat par IA générative et la nécessité d'un corpus plus large pour une évaluation quantitative complète, ouvrent des perspectives claires d'amélioration qui seront discutées dans la conclusion générale. Le code source complet est disponible sur GitHub (https://github.com/AlterEgo095/DPATA) et permet la reproductibilité des expérimentations et la continuation du développement.</w:t>
      </w:r>
    </w:p>
    <w:p>
      <w:r>
        <w:br w:type="page"/>
      </w:r>
    </w:p>
    <w:p>
      <w:pPr>
        <w:pStyle w:val="Heading1"/>
        <w:spacing w:after="360" w:before="480" w:line="360"/>
        <w:jc w:val="center"/>
      </w:pPr>
      <w:bookmarkStart w:id="100117" w:name="_Toc100117"/>
      <w:r>
        <w:rPr>
          <w:rFonts w:ascii="Times New Roman" w:eastAsia="SimHei"/>
          <w:b/>
          <w:bCs/>
          <w:color w:val="000000"/>
          <w:sz w:val="32"/>
          <w:szCs w:val="32"/>
        </w:rPr>
        <w:t xml:space="preserve">CONCLUSION GÉNÉRALE</w:t>
      </w:r>
      <w:bookmarkEnd w:id="100117"/>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 Les quatre chapitres du mémoire ont permis de couvrir l'ensemble du cycle de développement, depuis les fondements théoriques jusqu'à l'évaluation expérimentale.</w:t>
      </w:r>
    </w:p>
    <w:p>
      <w:pPr>
        <w:pStyle w:val="Heading2"/>
        <w:spacing w:after="240" w:before="360" w:line="360"/>
      </w:pPr>
      <w:bookmarkStart w:id="100118" w:name="_Toc100118"/>
      <w:r>
        <w:rPr>
          <w:rFonts w:ascii="Times New Roman" w:eastAsia="SimHei"/>
          <w:b/>
          <w:bCs/>
          <w:color w:val="000000"/>
          <w:sz w:val="30"/>
          <w:szCs w:val="30"/>
        </w:rPr>
        <w:t xml:space="preserve">Résultats obtenus</w:t>
      </w:r>
      <w:bookmarkEnd w:id="100118"/>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segmentation de documents, tokenisation avec filtrage des stop words français et anglais, vectorisation TF-IDF, calcul de similarité cosinus, similarité lexicale Jaccard, classification des correspondances en cinq types (copier-coller, paraphrase, reformulation, traduction, similarité faible) et génération automatique de rapports PDF imprimables. La plateforme est développée en TypeScript avec Next.js 16, React 19, Tailwind CSS 4 et shadcn/ui, et offre une interface moderne, accessible et responsive. Le code source complet (environ 5000 lignes) est versionné sur GitHub (https://github.com/AlterEgo095/DPATA) et permet la reproductibilité des expérimentations.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conduite sur un corpus pilote de trois documents académiques démontre que l'approche sémantique fondée sur la vectorisation TF-IDF et la similarité cosinus permet une détection efficace du plagiat par paraphrase : le document plagiat de test obtient un score de 77,8% avec 2 segments sur 2 touchés et 2 correspondances détectées en 1 milliseconde. Plus significatif encore, l'absence de faux positifs est vérifiée : le document original sur un sujet différent (biodiversité) obtient un score de 0%, ce qui confirme que la plateforme ne génère pas d'alertes injustifiées sur des travaux authentiques.</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via un JSON store en démonstration (avec schéma Prisma prêt pour PostgreSQL en production), maîtrise du coût (technologies 100% open source), adaptation au contexte linguistique francophone (stop words français intégrés, support multilingue), prise en charge des spécificités du corpus académique local. L'architecture modulaire et multicouche retenue ouvre la voie à une extension progressive à d'autres facultés et universités.</w:t>
      </w:r>
    </w:p>
    <w:p>
      <w:pPr>
        <w:spacing w:after="0" w:line="360"/>
        <w:ind w:firstLine="480"/>
        <w:jc w:val="both"/>
      </w:pPr>
      <w:r>
        <w:rPr>
          <w:rFonts w:ascii="Times New Roman" w:eastAsia="SimSun"/>
          <w:color w:val="000000"/>
          <w:sz w:val="24"/>
          <w:szCs w:val="24"/>
        </w:rPr>
        <w:t xml:space="preserve">Le quatrième résultat est la livraison d'un back-office administrateur complet permettant de gérer l'intégralité du système sans intervention sur le code source. Un super-administrateur peut créer des facultés, départements, promotions, utilisateurs (étudiants, enseignants, administrateurs), recevoir les dépôts de travaux, déclencher les analyses IA, consulter les résultats avec visualisation colorée des correspondances, générer des rapports PDF, superviser l'activité via un tableau de bord avec KPIs en temps réel, et tracer toutes les actions dans un journal d'audit. Les 11 pages admin et 14 routes API constituent un socle fonctionnel suffisant pour un déploiement pilote réel.</w:t>
      </w:r>
    </w:p>
    <w:p>
      <w:pPr>
        <w:spacing w:after="0" w:line="360"/>
        <w:ind w:firstLine="480"/>
        <w:jc w:val="both"/>
      </w:pPr>
      <w:r>
        <w:rPr>
          <w:rFonts w:ascii="Times New Roman" w:eastAsia="SimSun"/>
          <w:color w:val="000000"/>
          <w:sz w:val="24"/>
          <w:szCs w:val="24"/>
        </w:rPr>
        <w:t xml:space="preserve">Le cinquième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TypeScript, React et Next.js, authentification JWT, contrôle d'accès basé sur les rôles, traitement automatique du langage naturel, vectorisation TF-IDF, calcul de similarité, génération de rapports, déploiement d'applications web.</w:t>
      </w:r>
    </w:p>
    <w:p>
      <w:pPr>
        <w:pStyle w:val="Heading2"/>
        <w:spacing w:after="240" w:before="360" w:line="360"/>
      </w:pPr>
      <w:bookmarkStart w:id="100119" w:name="_Toc100119"/>
      <w:r>
        <w:rPr>
          <w:rFonts w:ascii="Times New Roman" w:eastAsia="SimHei"/>
          <w:b/>
          <w:bCs/>
          <w:color w:val="000000"/>
          <w:sz w:val="30"/>
          <w:szCs w:val="30"/>
        </w:rPr>
        <w:t xml:space="preserve">Limites du travail</w:t>
      </w:r>
      <w:bookmarkEnd w:id="100119"/>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trois documents académiques constituent un échantillon suffisant pour valider la preuve de concept et démontrer la capacité de détection du plagiat par paraphrase, mais restent limités pour généraliser les résultats à grande échelle. Une expérimentation sur plusieurs centaines de travaux, sur plusieurs années académiques et plusieurs facultés, sera nécessaire pour confirmer les performances en conditions réelles, calculer les métriques standard de l'apprentissage automatique (précision, rappel, F1-score, courbe ROC) et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L'approche TF-IDF implémentée, bien qu'efficace pour la détection des paraphrases lexicales, ne permet pas d'identifier les textes produits par des grands modèles de langage comme ChatGPT. Cette limite n'est pas spécifique à la solution proposée : aucun outil existant à ce jour n'offre une détection fiable des textes générés par les LLM modernes. La rapidité d'évolution de ces modèles rend toute approche de détection rapidement obsolète.</w:t>
      </w:r>
    </w:p>
    <w:p>
      <w:pPr>
        <w:spacing w:after="0" w:line="360"/>
        <w:ind w:firstLine="480"/>
        <w:jc w:val="both"/>
      </w:pPr>
      <w:r>
        <w:rPr>
          <w:rFonts w:ascii="Times New Roman" w:eastAsia="SimSun"/>
          <w:color w:val="000000"/>
          <w:sz w:val="24"/>
          <w:szCs w:val="24"/>
        </w:rPr>
        <w:t xml:space="preserve">La troisième limite concerne l'approche TF-IDF elle-même. Bien qu'efficace et rapide, cette méthode reste une approche lexicale avancée qui ne capture pas pleinement la similarité sémantique entre des phrases exprimant la même idée avec des vocabulaires totalement différents. L'intégration de modèles d'embeddings pré-entraînés comme Sentence-BERT multilingue, prévue dans la conception initiale, n'a pas pu être finalisée dans le cadre de cette expérimentation. Le mini-service Python avec scikit-learn a été développé comme alternative et reste disponible pour une intégration future.</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environnement de démonstration avec un JSON store local. Son déploiement à l'échelle d'une université nationale suppose une infrastructure stable (connectivité Internet, serveurs, stockage, sauvegardes) qui n'est pas toujours garantie dans le contexte congolais. L'authentification actuelle stocke les mots de passe en clair pour la démonstration, ce qui devra être corrigé avec bcrypt en production.</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20" w:name="_Toc100120"/>
      <w:r>
        <w:rPr>
          <w:rFonts w:ascii="Times New Roman" w:eastAsia="SimHei"/>
          <w:b/>
          <w:bCs/>
          <w:color w:val="000000"/>
          <w:sz w:val="30"/>
          <w:szCs w:val="30"/>
        </w:rPr>
        <w:t xml:space="preserve">Perspectives</w:t>
      </w:r>
      <w:bookmarkEnd w:id="100120"/>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21" w:name="_Toc100121"/>
      <w:r>
        <w:rPr>
          <w:rFonts w:ascii="Times New Roman" w:eastAsia="SimHei"/>
          <w:b/>
          <w:bCs/>
          <w:color w:val="000000"/>
          <w:sz w:val="28"/>
          <w:szCs w:val="28"/>
        </w:rPr>
        <w:t xml:space="preserve">Extension à l'échelle nationale</w:t>
      </w:r>
      <w:bookmarkEnd w:id="100121"/>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22" w:name="_Toc100122"/>
      <w:r>
        <w:rPr>
          <w:rFonts w:ascii="Times New Roman" w:eastAsia="SimHei"/>
          <w:b/>
          <w:bCs/>
          <w:color w:val="000000"/>
          <w:sz w:val="28"/>
          <w:szCs w:val="28"/>
        </w:rPr>
        <w:t xml:space="preserve">Amélioration de la détection</w:t>
      </w:r>
      <w:bookmarkEnd w:id="100122"/>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23" w:name="_Toc100123"/>
      <w:r>
        <w:rPr>
          <w:rFonts w:ascii="Times New Roman" w:eastAsia="SimHei"/>
          <w:b/>
          <w:bCs/>
          <w:color w:val="000000"/>
          <w:sz w:val="28"/>
          <w:szCs w:val="28"/>
        </w:rPr>
        <w:t xml:space="preserve">Enrichissement fonctionnel de la plateforme</w:t>
      </w:r>
      <w:bookmarkEnd w:id="100123"/>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24" w:name="_Toc100124"/>
      <w:r>
        <w:rPr>
          <w:rFonts w:ascii="Times New Roman" w:eastAsia="SimHei"/>
          <w:b/>
          <w:bCs/>
          <w:color w:val="000000"/>
          <w:sz w:val="28"/>
          <w:szCs w:val="28"/>
        </w:rPr>
        <w:t xml:space="preserve">Recherche et publication</w:t>
      </w:r>
      <w:bookmarkEnd w:id="100124"/>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25" w:name="_Toc100125"/>
      <w:r>
        <w:rPr>
          <w:rFonts w:ascii="Times New Roman" w:eastAsia="SimHei"/>
          <w:b/>
          <w:bCs/>
          <w:color w:val="000000"/>
          <w:sz w:val="30"/>
          <w:szCs w:val="30"/>
        </w:rPr>
        <w:t xml:space="preserve">Perspectives IA : vers un écosystème universitaire intelligent</w:t>
      </w:r>
      <w:bookmarkEnd w:id="100125"/>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26" w:name="_Toc100126"/>
      <w:r>
        <w:rPr>
          <w:rFonts w:ascii="Times New Roman" w:eastAsia="SimHei"/>
          <w:b/>
          <w:bCs/>
          <w:color w:val="000000"/>
          <w:sz w:val="28"/>
          <w:szCs w:val="28"/>
        </w:rPr>
        <w:t xml:space="preserve">Détection du plagiat par IA générative</w:t>
      </w:r>
      <w:bookmarkEnd w:id="100126"/>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27" w:name="_Toc100127"/>
      <w:r>
        <w:rPr>
          <w:rFonts w:ascii="Times New Roman" w:eastAsia="SimHei"/>
          <w:b/>
          <w:bCs/>
          <w:color w:val="000000"/>
          <w:sz w:val="28"/>
          <w:szCs w:val="28"/>
        </w:rPr>
        <w:t xml:space="preserve">Correction automatique des citations</w:t>
      </w:r>
      <w:bookmarkEnd w:id="100127"/>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28" w:name="_Toc100128"/>
      <w:r>
        <w:rPr>
          <w:rFonts w:ascii="Times New Roman" w:eastAsia="SimHei"/>
          <w:b/>
          <w:bCs/>
          <w:color w:val="000000"/>
          <w:sz w:val="28"/>
          <w:szCs w:val="28"/>
        </w:rPr>
        <w:t xml:space="preserve">Suggestion de reformulation</w:t>
      </w:r>
      <w:bookmarkEnd w:id="100128"/>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29" w:name="_Toc100129"/>
      <w:r>
        <w:rPr>
          <w:rFonts w:ascii="Times New Roman" w:eastAsia="SimHei"/>
          <w:b/>
          <w:bCs/>
          <w:color w:val="000000"/>
          <w:sz w:val="28"/>
          <w:szCs w:val="28"/>
        </w:rPr>
        <w:t xml:space="preserve">Assistant de rédaction scientifique</w:t>
      </w:r>
      <w:bookmarkEnd w:id="100129"/>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30" w:name="_Toc100130"/>
      <w:r>
        <w:rPr>
          <w:rFonts w:ascii="Times New Roman" w:eastAsia="SimHei"/>
          <w:b/>
          <w:bCs/>
          <w:color w:val="000000"/>
          <w:sz w:val="28"/>
          <w:szCs w:val="28"/>
        </w:rPr>
        <w:t xml:space="preserve">Index national des mémoires</w:t>
      </w:r>
      <w:bookmarkEnd w:id="100130"/>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31" w:name="_Toc100131"/>
      <w:r>
        <w:rPr>
          <w:rFonts w:ascii="Times New Roman" w:eastAsia="SimHei"/>
          <w:b/>
          <w:bCs/>
          <w:color w:val="000000"/>
          <w:sz w:val="28"/>
          <w:szCs w:val="28"/>
        </w:rPr>
        <w:t xml:space="preserve">Détection interuniversitaire du plagiat</w:t>
      </w:r>
      <w:bookmarkEnd w:id="100131"/>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plateforme PlagiatIA, opérationnelle et testée, constitue une première réalisation concrète de cette ambition, et ouvre la voie à de futurs développements au service de la communauté académique congolaise et africaine.</w:t>
      </w:r>
    </w:p>
    <w:p>
      <w:r>
        <w:br w:type="page"/>
      </w:r>
    </w:p>
    <w:p>
      <w:pPr>
        <w:pStyle w:val="Heading1"/>
        <w:spacing w:after="360" w:before="480" w:line="360"/>
        <w:jc w:val="center"/>
      </w:pPr>
      <w:bookmarkStart w:id="100132" w:name="_Toc100132"/>
      <w:r>
        <w:rPr>
          <w:rFonts w:ascii="Times New Roman" w:eastAsia="SimHei"/>
          <w:b/>
          <w:bCs/>
          <w:color w:val="000000"/>
          <w:sz w:val="32"/>
          <w:szCs w:val="32"/>
        </w:rPr>
        <w:t xml:space="preserve">BIBLIOGRAPHIE</w:t>
      </w:r>
      <w:bookmarkEnd w:id="100132"/>
    </w:p>
    <w:p>
      <w:pPr>
        <w:pStyle w:val="Heading2"/>
        <w:spacing w:after="240" w:before="360" w:line="360"/>
      </w:pPr>
      <w:bookmarkStart w:id="100133" w:name="_Toc100133"/>
      <w:r>
        <w:rPr>
          <w:rFonts w:ascii="Times New Roman" w:eastAsia="SimHei"/>
          <w:b/>
          <w:bCs/>
          <w:color w:val="000000"/>
          <w:sz w:val="30"/>
          <w:szCs w:val="30"/>
        </w:rPr>
        <w:t xml:space="preserve">Ouvrages et manuels</w:t>
      </w:r>
      <w:bookmarkEnd w:id="100133"/>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34" w:name="_Toc100134"/>
      <w:r>
        <w:rPr>
          <w:rFonts w:ascii="Times New Roman" w:eastAsia="SimHei"/>
          <w:b/>
          <w:bCs/>
          <w:color w:val="000000"/>
          <w:sz w:val="30"/>
          <w:szCs w:val="30"/>
        </w:rPr>
        <w:t xml:space="preserve">Articles et publications scientifiques</w:t>
      </w:r>
      <w:bookmarkEnd w:id="100134"/>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35" w:name="_Toc100135"/>
      <w:r>
        <w:rPr>
          <w:rFonts w:ascii="Times New Roman" w:eastAsia="SimHei"/>
          <w:b/>
          <w:bCs/>
          <w:color w:val="000000"/>
          <w:sz w:val="30"/>
          <w:szCs w:val="30"/>
        </w:rPr>
        <w:t xml:space="preserve">Documentation technique</w:t>
      </w:r>
      <w:bookmarkEnd w:id="100135"/>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36" w:name="_Toc100136"/>
      <w:r>
        <w:rPr>
          <w:rFonts w:ascii="Times New Roman" w:eastAsia="SimHei"/>
          <w:b/>
          <w:bCs/>
          <w:color w:val="000000"/>
          <w:sz w:val="30"/>
          <w:szCs w:val="30"/>
        </w:rPr>
        <w:t xml:space="preserve">Sources académiques et institutionnelles</w:t>
      </w:r>
      <w:bookmarkEnd w:id="100136"/>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37" w:name="_Toc100137"/>
      <w:r>
        <w:rPr>
          <w:rFonts w:ascii="Times New Roman" w:eastAsia="SimHei"/>
          <w:b/>
          <w:bCs/>
          <w:color w:val="000000"/>
          <w:sz w:val="30"/>
          <w:szCs w:val="30"/>
        </w:rPr>
        <w:t xml:space="preserve">Ressources en ligne</w:t>
      </w:r>
      <w:bookmarkEnd w:id="100137"/>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image" Target="media/054b3982369a0d5a12b2046e3e3c164af860bd7c.png"/><Relationship Id="rId13" Type="http://schemas.openxmlformats.org/officeDocument/2006/relationships/image" Target="media/d03fb550c2581870bb4d8bc71775b60e4065c0d7.png"/><Relationship Id="rId14" Type="http://schemas.openxmlformats.org/officeDocument/2006/relationships/image" Target="media/ddec30ee33e97cb079d7bff609c579d996801dd7.png"/><Relationship Id="rId15" Type="http://schemas.openxmlformats.org/officeDocument/2006/relationships/image" Target="media/b3d90652a0bd39df647386de272830732ac6a5d8.png"/><Relationship Id="rId16" Type="http://schemas.openxmlformats.org/officeDocument/2006/relationships/image" Target="media/9627f2181a5a0a290abdbaf44c91c27c4af09088.png"/><Relationship Id="rId17" Type="http://schemas.openxmlformats.org/officeDocument/2006/relationships/image" Target="media/e5ae2cad26647aac99259c4d9d657d848ec546be.png"/><Relationship Id="rId18" Type="http://schemas.openxmlformats.org/officeDocument/2006/relationships/image" Target="media/25778efad068da0fd80a0c3fb7e51266ef555c06.png"/><Relationship Id="rId19" Type="http://schemas.openxmlformats.org/officeDocument/2006/relationships/image" Target="media/c1bb16838e9edf6031d40fe3aada86b1a5ba2146.png"/><Relationship Id="rId20" Type="http://schemas.openxmlformats.org/officeDocument/2006/relationships/image" Target="media/3234bb453235c9b34d779d2e97a063bdafd39c8d.png"/><Relationship Id="rId21" Type="http://schemas.openxmlformats.org/officeDocument/2006/relationships/image" Target="media/929082a45986b57f6f8ac1982eeff6151daf29e7.png"/><Relationship Id="rId22" Type="http://schemas.openxmlformats.org/officeDocument/2006/relationships/image" Target="media/14990dbc141f79457c27dda1db3c35c937e3f88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2026-06-18T16:49:19.729Z</dcterms:created>
  <dcterms:modified xsi:type="dcterms:W3CDTF">2026-06-18T16:49:19.729Z</dcterms:modified>
</cp:coreProperties>
</file>

<file path=docProps/custom.xml><?xml version="1.0" encoding="utf-8"?>
<Properties xmlns="http://schemas.openxmlformats.org/officeDocument/2006/custom-properties" xmlns:vt="http://schemas.openxmlformats.org/officeDocument/2006/docPropsVTypes"/>
</file>