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【2024 - 2025】</w:t>
            </w:r>
          </w:p>
        </w:tc>
      </w:tr>
    </w:tbl>
    <w:p>
      <w:pPr>
        <w:spacing w:before="1000" w:line="320"/>
        <w:jc w:val="center"/>
      </w:pPr>
      <w:r>
        <w:rPr>
          <w:rFonts w:ascii="Times New Roman" w:eastAsia="SimSun"/>
          <w:color w:val="000000"/>
          <w:sz w:val="26"/>
          <w:szCs w:val="26"/>
        </w:rPr>
        <w:t xml:space="preserve">Kinshasa, 【Année académique】</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37</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37</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37</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38</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38</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38</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38</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39</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39</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39</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40</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40</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41</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41</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41</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41</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42</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42</w:t>
            </w:r>
            <w:r>
              <w:fldChar w:fldCharType="end"/>
            </w:r>
          </w:hyperlink>
        </w:p>
        <w:p>
          <w:pPr>
            <w:pStyle w:val="9"/>
            <w:tabs>
              <w:tab w:val="right" w:leader="dot" w:pos="9026"/>
            </w:tabs>
            <w:spacing w:before="120" w:after="60"/>
          </w:pPr>
          <w:hyperlink w:anchor="_Toc100087" w:history="1">
            <w:r>
              <w:rPr>
                <w:rStyle w:val="Hyperlink"/>
              </w:rPr>
              <w:t>CHAPITRE IV — IMPLÉMENTATION, EXPÉRIMENTATION ET ÉVALUATION</w:t>
            </w:r>
            <w:r>
              <w:tab/>
            </w:r>
            <w:r>
              <w:fldChar w:fldCharType="begin"/>
            </w:r>
            <w:r>
              <w:instrText xml:space="preserve"> PAGEREF _Toc100087 \h </w:instrText>
            </w:r>
            <w:r>
              <w:fldChar w:fldCharType="separate"/>
            </w:r>
            <w:r>
              <w:t>43</w:t>
            </w:r>
            <w:r>
              <w:fldChar w:fldCharType="end"/>
            </w:r>
          </w:hyperlink>
        </w:p>
        <w:p>
          <w:pPr>
            <w:pStyle w:val="11"/>
            <w:ind w:left="360"/>
            <w:tabs>
              <w:tab w:val="right" w:leader="dot" w:pos="9026"/>
            </w:tabs>
            <w:spacing w:before="120" w:after="60"/>
          </w:pPr>
          <w:hyperlink w:anchor="_Toc100088" w:history="1">
            <w:r>
              <w:rPr>
                <w:rStyle w:val="Hyperlink"/>
              </w:rPr>
              <w:t>IV.1. Introduction</w:t>
            </w:r>
            <w:r>
              <w:tab/>
            </w:r>
            <w:r>
              <w:fldChar w:fldCharType="begin"/>
            </w:r>
            <w:r>
              <w:instrText xml:space="preserve"> PAGEREF _Toc100088 \h </w:instrText>
            </w:r>
            <w:r>
              <w:fldChar w:fldCharType="separate"/>
            </w:r>
            <w:r>
              <w:t>43</w:t>
            </w:r>
            <w:r>
              <w:fldChar w:fldCharType="end"/>
            </w:r>
          </w:hyperlink>
        </w:p>
        <w:p>
          <w:pPr>
            <w:pStyle w:val="11"/>
            <w:ind w:left="360"/>
            <w:tabs>
              <w:tab w:val="right" w:leader="dot" w:pos="9026"/>
            </w:tabs>
            <w:spacing w:before="120" w:after="60"/>
          </w:pPr>
          <w:hyperlink w:anchor="_Toc100089" w:history="1">
            <w:r>
              <w:rPr>
                <w:rStyle w:val="Hyperlink"/>
              </w:rPr>
              <w:t>IV.2. Stack technique</w:t>
            </w:r>
            <w:r>
              <w:tab/>
            </w:r>
            <w:r>
              <w:fldChar w:fldCharType="begin"/>
            </w:r>
            <w:r>
              <w:instrText xml:space="preserve"> PAGEREF _Toc100089 \h </w:instrText>
            </w:r>
            <w:r>
              <w:fldChar w:fldCharType="separate"/>
            </w:r>
            <w:r>
              <w:t>43</w:t>
            </w:r>
            <w:r>
              <w:fldChar w:fldCharType="end"/>
            </w:r>
          </w:hyperlink>
        </w:p>
        <w:p>
          <w:pPr>
            <w:pStyle w:val="11"/>
            <w:ind w:left="360"/>
            <w:tabs>
              <w:tab w:val="right" w:leader="dot" w:pos="9026"/>
            </w:tabs>
            <w:spacing w:before="120" w:after="60"/>
          </w:pPr>
          <w:hyperlink w:anchor="_Toc100090" w:history="1">
            <w:r>
              <w:rPr>
                <w:rStyle w:val="Hyperlink"/>
              </w:rPr>
              <w:t>IV.3. Frontend</w:t>
            </w:r>
            <w:r>
              <w:tab/>
            </w:r>
            <w:r>
              <w:fldChar w:fldCharType="begin"/>
            </w:r>
            <w:r>
              <w:instrText xml:space="preserve"> PAGEREF _Toc100090 \h </w:instrText>
            </w:r>
            <w:r>
              <w:fldChar w:fldCharType="separate"/>
            </w:r>
            <w:r>
              <w:t>44</w:t>
            </w:r>
            <w:r>
              <w:fldChar w:fldCharType="end"/>
            </w:r>
          </w:hyperlink>
        </w:p>
        <w:p>
          <w:pPr>
            <w:pStyle w:val="11"/>
            <w:ind w:left="360"/>
            <w:tabs>
              <w:tab w:val="right" w:leader="dot" w:pos="9026"/>
            </w:tabs>
            <w:spacing w:before="120" w:after="60"/>
          </w:pPr>
          <w:hyperlink w:anchor="_Toc100091" w:history="1">
            <w:r>
              <w:rPr>
                <w:rStyle w:val="Hyperlink"/>
              </w:rPr>
              <w:t>IV.4. Backend</w:t>
            </w:r>
            <w:r>
              <w:tab/>
            </w:r>
            <w:r>
              <w:fldChar w:fldCharType="begin"/>
            </w:r>
            <w:r>
              <w:instrText xml:space="preserve"> PAGEREF _Toc100091 \h </w:instrText>
            </w:r>
            <w:r>
              <w:fldChar w:fldCharType="separate"/>
            </w:r>
            <w:r>
              <w:t>44</w:t>
            </w:r>
            <w:r>
              <w:fldChar w:fldCharType="end"/>
            </w:r>
          </w:hyperlink>
        </w:p>
        <w:p>
          <w:pPr>
            <w:pStyle w:val="11"/>
            <w:ind w:left="360"/>
            <w:tabs>
              <w:tab w:val="right" w:leader="dot" w:pos="9026"/>
            </w:tabs>
            <w:spacing w:before="120" w:after="60"/>
          </w:pPr>
          <w:hyperlink w:anchor="_Toc100092" w:history="1">
            <w:r>
              <w:rPr>
                <w:rStyle w:val="Hyperlink"/>
              </w:rPr>
              <w:t>IV.5. Base relationnelle</w:t>
            </w:r>
            <w:r>
              <w:tab/>
            </w:r>
            <w:r>
              <w:fldChar w:fldCharType="begin"/>
            </w:r>
            <w:r>
              <w:instrText xml:space="preserve"> PAGEREF _Toc100092 \h </w:instrText>
            </w:r>
            <w:r>
              <w:fldChar w:fldCharType="separate"/>
            </w:r>
            <w:r>
              <w:t>45</w:t>
            </w:r>
            <w:r>
              <w:fldChar w:fldCharType="end"/>
            </w:r>
          </w:hyperlink>
        </w:p>
        <w:p>
          <w:pPr>
            <w:pStyle w:val="11"/>
            <w:ind w:left="360"/>
            <w:tabs>
              <w:tab w:val="right" w:leader="dot" w:pos="9026"/>
            </w:tabs>
            <w:spacing w:before="120" w:after="60"/>
          </w:pPr>
          <w:hyperlink w:anchor="_Toc100093" w:history="1">
            <w:r>
              <w:rPr>
                <w:rStyle w:val="Hyperlink"/>
              </w:rPr>
              <w:t>IV.6. Base vectorielle</w:t>
            </w:r>
            <w:r>
              <w:tab/>
            </w:r>
            <w:r>
              <w:fldChar w:fldCharType="begin"/>
            </w:r>
            <w:r>
              <w:instrText xml:space="preserve"> PAGEREF _Toc100093 \h </w:instrText>
            </w:r>
            <w:r>
              <w:fldChar w:fldCharType="separate"/>
            </w:r>
            <w:r>
              <w:t>48</w:t>
            </w:r>
            <w:r>
              <w:fldChar w:fldCharType="end"/>
            </w:r>
          </w:hyperlink>
        </w:p>
        <w:p>
          <w:pPr>
            <w:pStyle w:val="11"/>
            <w:ind w:left="360"/>
            <w:tabs>
              <w:tab w:val="right" w:leader="dot" w:pos="9026"/>
            </w:tabs>
            <w:spacing w:before="120" w:after="60"/>
          </w:pPr>
          <w:hyperlink w:anchor="_Toc100094" w:history="1">
            <w:r>
              <w:rPr>
                <w:rStyle w:val="Hyperlink"/>
              </w:rPr>
              <w:t>IV.7. OCR et extraction du texte</w:t>
            </w:r>
            <w:r>
              <w:tab/>
            </w:r>
            <w:r>
              <w:fldChar w:fldCharType="begin"/>
            </w:r>
            <w:r>
              <w:instrText xml:space="preserve"> PAGEREF _Toc100094 \h </w:instrText>
            </w:r>
            <w:r>
              <w:fldChar w:fldCharType="separate"/>
            </w:r>
            <w:r>
              <w:t>49</w:t>
            </w:r>
            <w:r>
              <w:fldChar w:fldCharType="end"/>
            </w:r>
          </w:hyperlink>
        </w:p>
        <w:p>
          <w:pPr>
            <w:pStyle w:val="11"/>
            <w:ind w:left="360"/>
            <w:tabs>
              <w:tab w:val="right" w:leader="dot" w:pos="9026"/>
            </w:tabs>
            <w:spacing w:before="120" w:after="60"/>
          </w:pPr>
          <w:hyperlink w:anchor="_Toc100095" w:history="1">
            <w:r>
              <w:rPr>
                <w:rStyle w:val="Hyperlink"/>
              </w:rPr>
              <w:t>IV.8. Pipeline NLP</w:t>
            </w:r>
            <w:r>
              <w:tab/>
            </w:r>
            <w:r>
              <w:fldChar w:fldCharType="begin"/>
            </w:r>
            <w:r>
              <w:instrText xml:space="preserve"> PAGEREF _Toc100095 \h </w:instrText>
            </w:r>
            <w:r>
              <w:fldChar w:fldCharType="separate"/>
            </w:r>
            <w:r>
              <w:t>52</w:t>
            </w:r>
            <w:r>
              <w:fldChar w:fldCharType="end"/>
            </w:r>
          </w:hyperlink>
        </w:p>
        <w:p>
          <w:pPr>
            <w:pStyle w:val="11"/>
            <w:ind w:left="360"/>
            <w:tabs>
              <w:tab w:val="right" w:leader="dot" w:pos="9026"/>
            </w:tabs>
            <w:spacing w:before="120" w:after="60"/>
          </w:pPr>
          <w:hyperlink w:anchor="_Toc100096" w:history="1">
            <w:r>
              <w:rPr>
                <w:rStyle w:val="Hyperlink"/>
              </w:rPr>
              <w:t>IV.9. Génération des embeddings</w:t>
            </w:r>
            <w:r>
              <w:tab/>
            </w:r>
            <w:r>
              <w:fldChar w:fldCharType="begin"/>
            </w:r>
            <w:r>
              <w:instrText xml:space="preserve"> PAGEREF _Toc100096 \h </w:instrText>
            </w:r>
            <w:r>
              <w:fldChar w:fldCharType="separate"/>
            </w:r>
            <w:r>
              <w:t>56</w:t>
            </w:r>
            <w:r>
              <w:fldChar w:fldCharType="end"/>
            </w:r>
          </w:hyperlink>
        </w:p>
        <w:p>
          <w:pPr>
            <w:pStyle w:val="11"/>
            <w:ind w:left="360"/>
            <w:tabs>
              <w:tab w:val="right" w:leader="dot" w:pos="9026"/>
            </w:tabs>
            <w:spacing w:before="120" w:after="60"/>
          </w:pPr>
          <w:hyperlink w:anchor="_Toc100097" w:history="1">
            <w:r>
              <w:rPr>
                <w:rStyle w:val="Hyperlink"/>
              </w:rPr>
              <w:t>IV.10. Recherche vectorielle</w:t>
            </w:r>
            <w:r>
              <w:tab/>
            </w:r>
            <w:r>
              <w:fldChar w:fldCharType="begin"/>
            </w:r>
            <w:r>
              <w:instrText xml:space="preserve"> PAGEREF _Toc100097 \h </w:instrText>
            </w:r>
            <w:r>
              <w:fldChar w:fldCharType="separate"/>
            </w:r>
            <w:r>
              <w:t>59</w:t>
            </w:r>
            <w:r>
              <w:fldChar w:fldCharType="end"/>
            </w:r>
          </w:hyperlink>
        </w:p>
        <w:p>
          <w:pPr>
            <w:pStyle w:val="11"/>
            <w:ind w:left="360"/>
            <w:tabs>
              <w:tab w:val="right" w:leader="dot" w:pos="9026"/>
            </w:tabs>
            <w:spacing w:before="120" w:after="60"/>
          </w:pPr>
          <w:hyperlink w:anchor="_Toc100098" w:history="1">
            <w:r>
              <w:rPr>
                <w:rStyle w:val="Hyperlink"/>
              </w:rPr>
              <w:t>IV.11. Calcul de similarité et scoring</w:t>
            </w:r>
            <w:r>
              <w:tab/>
            </w:r>
            <w:r>
              <w:fldChar w:fldCharType="begin"/>
            </w:r>
            <w:r>
              <w:instrText xml:space="preserve"> PAGEREF _Toc100098 \h </w:instrText>
            </w:r>
            <w:r>
              <w:fldChar w:fldCharType="separate"/>
            </w:r>
            <w:r>
              <w:t>64</w:t>
            </w:r>
            <w:r>
              <w:fldChar w:fldCharType="end"/>
            </w:r>
          </w:hyperlink>
        </w:p>
        <w:p>
          <w:pPr>
            <w:pStyle w:val="11"/>
            <w:ind w:left="360"/>
            <w:tabs>
              <w:tab w:val="right" w:leader="dot" w:pos="9026"/>
            </w:tabs>
            <w:spacing w:before="120" w:after="60"/>
          </w:pPr>
          <w:hyperlink w:anchor="_Toc100099" w:history="1">
            <w:r>
              <w:rPr>
                <w:rStyle w:val="Hyperlink"/>
              </w:rPr>
              <w:t>IV.12. Détection des paraphrases</w:t>
            </w:r>
            <w:r>
              <w:tab/>
            </w:r>
            <w:r>
              <w:fldChar w:fldCharType="begin"/>
            </w:r>
            <w:r>
              <w:instrText xml:space="preserve"> PAGEREF _Toc100099 \h </w:instrText>
            </w:r>
            <w:r>
              <w:fldChar w:fldCharType="separate"/>
            </w:r>
            <w:r>
              <w:t>68</w:t>
            </w:r>
            <w:r>
              <w:fldChar w:fldCharType="end"/>
            </w:r>
          </w:hyperlink>
        </w:p>
        <w:p>
          <w:pPr>
            <w:pStyle w:val="11"/>
            <w:ind w:left="360"/>
            <w:tabs>
              <w:tab w:val="right" w:leader="dot" w:pos="9026"/>
            </w:tabs>
            <w:spacing w:before="120" w:after="60"/>
          </w:pPr>
          <w:hyperlink w:anchor="_Toc100100" w:history="1">
            <w:r>
              <w:rPr>
                <w:rStyle w:val="Hyperlink"/>
              </w:rPr>
              <w:t>IV.13. Génération automatique des rapports PDF</w:t>
            </w:r>
            <w:r>
              <w:tab/>
            </w:r>
            <w:r>
              <w:fldChar w:fldCharType="begin"/>
            </w:r>
            <w:r>
              <w:instrText xml:space="preserve"> PAGEREF _Toc100100 \h </w:instrText>
            </w:r>
            <w:r>
              <w:fldChar w:fldCharType="separate"/>
            </w:r>
            <w:r>
              <w:t>71</w:t>
            </w:r>
            <w:r>
              <w:fldChar w:fldCharType="end"/>
            </w:r>
          </w:hyperlink>
        </w:p>
        <w:p>
          <w:pPr>
            <w:pStyle w:val="11"/>
            <w:ind w:left="360"/>
            <w:tabs>
              <w:tab w:val="right" w:leader="dot" w:pos="9026"/>
            </w:tabs>
            <w:spacing w:before="120" w:after="60"/>
          </w:pPr>
          <w:hyperlink w:anchor="_Toc100101" w:history="1">
            <w:r>
              <w:rPr>
                <w:rStyle w:val="Hyperlink"/>
              </w:rPr>
              <w:t>IV.14. Tests</w:t>
            </w:r>
            <w:r>
              <w:tab/>
            </w:r>
            <w:r>
              <w:fldChar w:fldCharType="begin"/>
            </w:r>
            <w:r>
              <w:instrText xml:space="preserve"> PAGEREF _Toc100101 \h </w:instrText>
            </w:r>
            <w:r>
              <w:fldChar w:fldCharType="separate"/>
            </w:r>
            <w:r>
              <w:t>71</w:t>
            </w:r>
            <w:r>
              <w:fldChar w:fldCharType="end"/>
            </w:r>
          </w:hyperlink>
        </w:p>
        <w:p>
          <w:pPr>
            <w:pStyle w:val="11"/>
            <w:ind w:left="360"/>
            <w:tabs>
              <w:tab w:val="right" w:leader="dot" w:pos="9026"/>
            </w:tabs>
            <w:spacing w:before="120" w:after="60"/>
          </w:pPr>
          <w:hyperlink w:anchor="_Toc100102" w:history="1">
            <w:r>
              <w:rPr>
                <w:rStyle w:val="Hyperlink"/>
              </w:rPr>
              <w:t>IV.15. Évaluation sur corpus pilote</w:t>
            </w:r>
            <w:r>
              <w:tab/>
            </w:r>
            <w:r>
              <w:fldChar w:fldCharType="begin"/>
            </w:r>
            <w:r>
              <w:instrText xml:space="preserve"> PAGEREF _Toc100102 \h </w:instrText>
            </w:r>
            <w:r>
              <w:fldChar w:fldCharType="separate"/>
            </w:r>
            <w:r>
              <w:t>71</w:t>
            </w:r>
            <w:r>
              <w:fldChar w:fldCharType="end"/>
            </w:r>
          </w:hyperlink>
        </w:p>
        <w:p>
          <w:pPr>
            <w:pStyle w:val="12"/>
            <w:ind w:left="720"/>
            <w:tabs>
              <w:tab w:val="right" w:leader="dot" w:pos="9026"/>
            </w:tabs>
            <w:spacing w:before="120" w:after="60"/>
          </w:pPr>
          <w:hyperlink w:anchor="_Toc100103" w:history="1">
            <w:r>
              <w:rPr>
                <w:rStyle w:val="Hyperlink"/>
              </w:rPr>
              <w:t>IV.15.1. Constitution du corpus pilote</w:t>
            </w:r>
            <w:r>
              <w:tab/>
            </w:r>
            <w:r>
              <w:fldChar w:fldCharType="begin"/>
            </w:r>
            <w:r>
              <w:instrText xml:space="preserve"> PAGEREF _Toc100103 \h </w:instrText>
            </w:r>
            <w:r>
              <w:fldChar w:fldCharType="separate"/>
            </w:r>
            <w:r>
              <w:t>71</w:t>
            </w:r>
            <w:r>
              <w:fldChar w:fldCharType="end"/>
            </w:r>
          </w:hyperlink>
        </w:p>
        <w:p>
          <w:pPr>
            <w:pStyle w:val="12"/>
            <w:ind w:left="720"/>
            <w:tabs>
              <w:tab w:val="right" w:leader="dot" w:pos="9026"/>
            </w:tabs>
            <w:spacing w:before="120" w:after="60"/>
          </w:pPr>
          <w:hyperlink w:anchor="_Toc100104" w:history="1">
            <w:r>
              <w:rPr>
                <w:rStyle w:val="Hyperlink"/>
              </w:rPr>
              <w:t>IV.15.2. Baseline lexicale</w:t>
            </w:r>
            <w:r>
              <w:tab/>
            </w:r>
            <w:r>
              <w:fldChar w:fldCharType="begin"/>
            </w:r>
            <w:r>
              <w:instrText xml:space="preserve"> PAGEREF _Toc100104 \h </w:instrText>
            </w:r>
            <w:r>
              <w:fldChar w:fldCharType="separate"/>
            </w:r>
            <w:r>
              <w:t>72</w:t>
            </w:r>
            <w:r>
              <w:fldChar w:fldCharType="end"/>
            </w:r>
          </w:hyperlink>
        </w:p>
        <w:p>
          <w:pPr>
            <w:pStyle w:val="12"/>
            <w:ind w:left="720"/>
            <w:tabs>
              <w:tab w:val="right" w:leader="dot" w:pos="9026"/>
            </w:tabs>
            <w:spacing w:before="120" w:after="60"/>
          </w:pPr>
          <w:hyperlink w:anchor="_Toc100105" w:history="1">
            <w:r>
              <w:rPr>
                <w:rStyle w:val="Hyperlink"/>
              </w:rPr>
              <w:t>IV.15.3. Métriques d'évaluation</w:t>
            </w:r>
            <w:r>
              <w:tab/>
            </w:r>
            <w:r>
              <w:fldChar w:fldCharType="begin"/>
            </w:r>
            <w:r>
              <w:instrText xml:space="preserve"> PAGEREF _Toc100105 \h </w:instrText>
            </w:r>
            <w:r>
              <w:fldChar w:fldCharType="separate"/>
            </w:r>
            <w:r>
              <w:t>72</w:t>
            </w:r>
            <w:r>
              <w:fldChar w:fldCharType="end"/>
            </w:r>
          </w:hyperlink>
        </w:p>
        <w:p>
          <w:pPr>
            <w:pStyle w:val="12"/>
            <w:ind w:left="720"/>
            <w:tabs>
              <w:tab w:val="right" w:leader="dot" w:pos="9026"/>
            </w:tabs>
            <w:spacing w:before="120" w:after="60"/>
          </w:pPr>
          <w:hyperlink w:anchor="_Toc100106" w:history="1">
            <w:r>
              <w:rPr>
                <w:rStyle w:val="Hyperlink"/>
              </w:rPr>
              <w:t>IV.15.4. Résultats quantitatifs</w:t>
            </w:r>
            <w:r>
              <w:tab/>
            </w:r>
            <w:r>
              <w:fldChar w:fldCharType="begin"/>
            </w:r>
            <w:r>
              <w:instrText xml:space="preserve"> PAGEREF _Toc100106 \h </w:instrText>
            </w:r>
            <w:r>
              <w:fldChar w:fldCharType="separate"/>
            </w:r>
            <w:r>
              <w:t>72</w:t>
            </w:r>
            <w:r>
              <w:fldChar w:fldCharType="end"/>
            </w:r>
          </w:hyperlink>
        </w:p>
        <w:p>
          <w:pPr>
            <w:pStyle w:val="12"/>
            <w:ind w:left="720"/>
            <w:tabs>
              <w:tab w:val="right" w:leader="dot" w:pos="9026"/>
            </w:tabs>
            <w:spacing w:before="120" w:after="60"/>
          </w:pPr>
          <w:hyperlink w:anchor="_Toc100107" w:history="1">
            <w:r>
              <w:rPr>
                <w:rStyle w:val="Hyperlink"/>
              </w:rPr>
              <w:t>IV.15.5. Analyse par type de plagiat</w:t>
            </w:r>
            <w:r>
              <w:tab/>
            </w:r>
            <w:r>
              <w:fldChar w:fldCharType="begin"/>
            </w:r>
            <w:r>
              <w:instrText xml:space="preserve"> PAGEREF _Toc100107 \h </w:instrText>
            </w:r>
            <w:r>
              <w:fldChar w:fldCharType="separate"/>
            </w:r>
            <w:r>
              <w:t>73</w:t>
            </w:r>
            <w:r>
              <w:fldChar w:fldCharType="end"/>
            </w:r>
          </w:hyperlink>
        </w:p>
        <w:p>
          <w:pPr>
            <w:pStyle w:val="11"/>
            <w:ind w:left="360"/>
            <w:tabs>
              <w:tab w:val="right" w:leader="dot" w:pos="9026"/>
            </w:tabs>
            <w:spacing w:before="120" w:after="60"/>
          </w:pPr>
          <w:hyperlink w:anchor="_Toc100108" w:history="1">
            <w:r>
              <w:rPr>
                <w:rStyle w:val="Hyperlink"/>
              </w:rPr>
              <w:t>IV.16. Performances et scalabilité</w:t>
            </w:r>
            <w:r>
              <w:tab/>
            </w:r>
            <w:r>
              <w:fldChar w:fldCharType="begin"/>
            </w:r>
            <w:r>
              <w:instrText xml:space="preserve"> PAGEREF _Toc100108 \h </w:instrText>
            </w:r>
            <w:r>
              <w:fldChar w:fldCharType="separate"/>
            </w:r>
            <w:r>
              <w:t>73</w:t>
            </w:r>
            <w:r>
              <w:fldChar w:fldCharType="end"/>
            </w:r>
          </w:hyperlink>
        </w:p>
        <w:p>
          <w:pPr>
            <w:pStyle w:val="11"/>
            <w:ind w:left="360"/>
            <w:tabs>
              <w:tab w:val="right" w:leader="dot" w:pos="9026"/>
            </w:tabs>
            <w:spacing w:before="120" w:after="60"/>
          </w:pPr>
          <w:hyperlink w:anchor="_Toc100109" w:history="1">
            <w:r>
              <w:rPr>
                <w:rStyle w:val="Hyperlink"/>
              </w:rPr>
              <w:t>IV.17. Limites observées</w:t>
            </w:r>
            <w:r>
              <w:tab/>
            </w:r>
            <w:r>
              <w:fldChar w:fldCharType="begin"/>
            </w:r>
            <w:r>
              <w:instrText xml:space="preserve"> PAGEREF _Toc100109 \h </w:instrText>
            </w:r>
            <w:r>
              <w:fldChar w:fldCharType="separate"/>
            </w:r>
            <w:r>
              <w:t>74</w:t>
            </w:r>
            <w:r>
              <w:fldChar w:fldCharType="end"/>
            </w:r>
          </w:hyperlink>
        </w:p>
        <w:p>
          <w:pPr>
            <w:pStyle w:val="11"/>
            <w:ind w:left="360"/>
            <w:tabs>
              <w:tab w:val="right" w:leader="dot" w:pos="9026"/>
            </w:tabs>
            <w:spacing w:before="120" w:after="60"/>
          </w:pPr>
          <w:hyperlink w:anchor="_Toc100110" w:history="1">
            <w:r>
              <w:rPr>
                <w:rStyle w:val="Hyperlink"/>
              </w:rPr>
              <w:t>IV.18. Conclusion</w:t>
            </w:r>
            <w:r>
              <w:tab/>
            </w:r>
            <w:r>
              <w:fldChar w:fldCharType="begin"/>
            </w:r>
            <w:r>
              <w:instrText xml:space="preserve"> PAGEREF _Toc100110 \h </w:instrText>
            </w:r>
            <w:r>
              <w:fldChar w:fldCharType="separate"/>
            </w:r>
            <w:r>
              <w:t>74</w:t>
            </w:r>
            <w:r>
              <w:fldChar w:fldCharType="end"/>
            </w:r>
          </w:hyperlink>
        </w:p>
        <w:p>
          <w:pPr>
            <w:pStyle w:val="9"/>
            <w:tabs>
              <w:tab w:val="right" w:leader="dot" w:pos="9026"/>
            </w:tabs>
            <w:spacing w:before="120" w:after="60"/>
          </w:pPr>
          <w:hyperlink w:anchor="_Toc100111" w:history="1">
            <w:r>
              <w:rPr>
                <w:rStyle w:val="Hyperlink"/>
              </w:rPr>
              <w:t>CONCLUSION GÉNÉRALE</w:t>
            </w:r>
            <w:r>
              <w:tab/>
            </w:r>
            <w:r>
              <w:fldChar w:fldCharType="begin"/>
            </w:r>
            <w:r>
              <w:instrText xml:space="preserve"> PAGEREF _Toc100111 \h </w:instrText>
            </w:r>
            <w:r>
              <w:fldChar w:fldCharType="separate"/>
            </w:r>
            <w:r>
              <w:t>75</w:t>
            </w:r>
            <w:r>
              <w:fldChar w:fldCharType="end"/>
            </w:r>
          </w:hyperlink>
        </w:p>
        <w:p>
          <w:pPr>
            <w:pStyle w:val="11"/>
            <w:ind w:left="360"/>
            <w:tabs>
              <w:tab w:val="right" w:leader="dot" w:pos="9026"/>
            </w:tabs>
            <w:spacing w:before="120" w:after="60"/>
          </w:pPr>
          <w:hyperlink w:anchor="_Toc100112" w:history="1">
            <w:r>
              <w:rPr>
                <w:rStyle w:val="Hyperlink"/>
              </w:rPr>
              <w:t>Résultats obtenus</w:t>
            </w:r>
            <w:r>
              <w:tab/>
            </w:r>
            <w:r>
              <w:fldChar w:fldCharType="begin"/>
            </w:r>
            <w:r>
              <w:instrText xml:space="preserve"> PAGEREF _Toc100112 \h </w:instrText>
            </w:r>
            <w:r>
              <w:fldChar w:fldCharType="separate"/>
            </w:r>
            <w:r>
              <w:t>75</w:t>
            </w:r>
            <w:r>
              <w:fldChar w:fldCharType="end"/>
            </w:r>
          </w:hyperlink>
        </w:p>
        <w:p>
          <w:pPr>
            <w:pStyle w:val="11"/>
            <w:ind w:left="360"/>
            <w:tabs>
              <w:tab w:val="right" w:leader="dot" w:pos="9026"/>
            </w:tabs>
            <w:spacing w:before="120" w:after="60"/>
          </w:pPr>
          <w:hyperlink w:anchor="_Toc100113" w:history="1">
            <w:r>
              <w:rPr>
                <w:rStyle w:val="Hyperlink"/>
              </w:rPr>
              <w:t>Limites du travail</w:t>
            </w:r>
            <w:r>
              <w:tab/>
            </w:r>
            <w:r>
              <w:fldChar w:fldCharType="begin"/>
            </w:r>
            <w:r>
              <w:instrText xml:space="preserve"> PAGEREF _Toc100113 \h </w:instrText>
            </w:r>
            <w:r>
              <w:fldChar w:fldCharType="separate"/>
            </w:r>
            <w:r>
              <w:t>76</w:t>
            </w:r>
            <w:r>
              <w:fldChar w:fldCharType="end"/>
            </w:r>
          </w:hyperlink>
        </w:p>
        <w:p>
          <w:pPr>
            <w:pStyle w:val="11"/>
            <w:ind w:left="360"/>
            <w:tabs>
              <w:tab w:val="right" w:leader="dot" w:pos="9026"/>
            </w:tabs>
            <w:spacing w:before="120" w:after="60"/>
          </w:pPr>
          <w:hyperlink w:anchor="_Toc100114" w:history="1">
            <w:r>
              <w:rPr>
                <w:rStyle w:val="Hyperlink"/>
              </w:rPr>
              <w:t>Perspectives</w:t>
            </w:r>
            <w:r>
              <w:tab/>
            </w:r>
            <w:r>
              <w:fldChar w:fldCharType="begin"/>
            </w:r>
            <w:r>
              <w:instrText xml:space="preserve"> PAGEREF _Toc100114 \h </w:instrText>
            </w:r>
            <w:r>
              <w:fldChar w:fldCharType="separate"/>
            </w:r>
            <w:r>
              <w:t>76</w:t>
            </w:r>
            <w:r>
              <w:fldChar w:fldCharType="end"/>
            </w:r>
          </w:hyperlink>
        </w:p>
        <w:p>
          <w:pPr>
            <w:pStyle w:val="12"/>
            <w:ind w:left="720"/>
            <w:tabs>
              <w:tab w:val="right" w:leader="dot" w:pos="9026"/>
            </w:tabs>
            <w:spacing w:before="120" w:after="60"/>
          </w:pPr>
          <w:hyperlink w:anchor="_Toc100115" w:history="1">
            <w:r>
              <w:rPr>
                <w:rStyle w:val="Hyperlink"/>
              </w:rPr>
              <w:t>Extension à l'échelle nationale</w:t>
            </w:r>
            <w:r>
              <w:tab/>
            </w:r>
            <w:r>
              <w:fldChar w:fldCharType="begin"/>
            </w:r>
            <w:r>
              <w:instrText xml:space="preserve"> PAGEREF _Toc100115 \h </w:instrText>
            </w:r>
            <w:r>
              <w:fldChar w:fldCharType="separate"/>
            </w:r>
            <w:r>
              <w:t>77</w:t>
            </w:r>
            <w:r>
              <w:fldChar w:fldCharType="end"/>
            </w:r>
          </w:hyperlink>
        </w:p>
        <w:p>
          <w:pPr>
            <w:pStyle w:val="12"/>
            <w:ind w:left="720"/>
            <w:tabs>
              <w:tab w:val="right" w:leader="dot" w:pos="9026"/>
            </w:tabs>
            <w:spacing w:before="120" w:after="60"/>
          </w:pPr>
          <w:hyperlink w:anchor="_Toc100116" w:history="1">
            <w:r>
              <w:rPr>
                <w:rStyle w:val="Hyperlink"/>
              </w:rPr>
              <w:t>Amélioration de la détection</w:t>
            </w:r>
            <w:r>
              <w:tab/>
            </w:r>
            <w:r>
              <w:fldChar w:fldCharType="begin"/>
            </w:r>
            <w:r>
              <w:instrText xml:space="preserve"> PAGEREF _Toc100116 \h </w:instrText>
            </w:r>
            <w:r>
              <w:fldChar w:fldCharType="separate"/>
            </w:r>
            <w:r>
              <w:t>77</w:t>
            </w:r>
            <w:r>
              <w:fldChar w:fldCharType="end"/>
            </w:r>
          </w:hyperlink>
        </w:p>
        <w:p>
          <w:pPr>
            <w:pStyle w:val="12"/>
            <w:ind w:left="720"/>
            <w:tabs>
              <w:tab w:val="right" w:leader="dot" w:pos="9026"/>
            </w:tabs>
            <w:spacing w:before="120" w:after="60"/>
          </w:pPr>
          <w:hyperlink w:anchor="_Toc100117" w:history="1">
            <w:r>
              <w:rPr>
                <w:rStyle w:val="Hyperlink"/>
              </w:rPr>
              <w:t>Enrichissement fonctionnel de la plateforme</w:t>
            </w:r>
            <w:r>
              <w:tab/>
            </w:r>
            <w:r>
              <w:fldChar w:fldCharType="begin"/>
            </w:r>
            <w:r>
              <w:instrText xml:space="preserve"> PAGEREF _Toc100117 \h </w:instrText>
            </w:r>
            <w:r>
              <w:fldChar w:fldCharType="separate"/>
            </w:r>
            <w:r>
              <w:t>77</w:t>
            </w:r>
            <w:r>
              <w:fldChar w:fldCharType="end"/>
            </w:r>
          </w:hyperlink>
        </w:p>
        <w:p>
          <w:pPr>
            <w:pStyle w:val="12"/>
            <w:ind w:left="720"/>
            <w:tabs>
              <w:tab w:val="right" w:leader="dot" w:pos="9026"/>
            </w:tabs>
            <w:spacing w:before="120" w:after="60"/>
          </w:pPr>
          <w:hyperlink w:anchor="_Toc100118" w:history="1">
            <w:r>
              <w:rPr>
                <w:rStyle w:val="Hyperlink"/>
              </w:rPr>
              <w:t>Recherche et publication</w:t>
            </w:r>
            <w:r>
              <w:tab/>
            </w:r>
            <w:r>
              <w:fldChar w:fldCharType="begin"/>
            </w:r>
            <w:r>
              <w:instrText xml:space="preserve"> PAGEREF _Toc100118 \h </w:instrText>
            </w:r>
            <w:r>
              <w:fldChar w:fldCharType="separate"/>
            </w:r>
            <w:r>
              <w:t>77</w:t>
            </w:r>
            <w:r>
              <w:fldChar w:fldCharType="end"/>
            </w:r>
          </w:hyperlink>
        </w:p>
        <w:p>
          <w:pPr>
            <w:pStyle w:val="11"/>
            <w:ind w:left="360"/>
            <w:tabs>
              <w:tab w:val="right" w:leader="dot" w:pos="9026"/>
            </w:tabs>
            <w:spacing w:before="120" w:after="60"/>
          </w:pPr>
          <w:hyperlink w:anchor="_Toc100119" w:history="1">
            <w:r>
              <w:rPr>
                <w:rStyle w:val="Hyperlink"/>
              </w:rPr>
              <w:t>Perspectives IA : vers un écosystème universitaire intelligent</w:t>
            </w:r>
            <w:r>
              <w:tab/>
            </w:r>
            <w:r>
              <w:fldChar w:fldCharType="begin"/>
            </w:r>
            <w:r>
              <w:instrText xml:space="preserve"> PAGEREF _Toc100119 \h </w:instrText>
            </w:r>
            <w:r>
              <w:fldChar w:fldCharType="separate"/>
            </w:r>
            <w:r>
              <w:t>78</w:t>
            </w:r>
            <w:r>
              <w:fldChar w:fldCharType="end"/>
            </w:r>
          </w:hyperlink>
        </w:p>
        <w:p>
          <w:pPr>
            <w:pStyle w:val="12"/>
            <w:ind w:left="720"/>
            <w:tabs>
              <w:tab w:val="right" w:leader="dot" w:pos="9026"/>
            </w:tabs>
            <w:spacing w:before="120" w:after="60"/>
          </w:pPr>
          <w:hyperlink w:anchor="_Toc100120" w:history="1">
            <w:r>
              <w:rPr>
                <w:rStyle w:val="Hyperlink"/>
              </w:rPr>
              <w:t>Détection du plagiat par IA générative</w:t>
            </w:r>
            <w:r>
              <w:tab/>
            </w:r>
            <w:r>
              <w:fldChar w:fldCharType="begin"/>
            </w:r>
            <w:r>
              <w:instrText xml:space="preserve"> PAGEREF _Toc100120 \h </w:instrText>
            </w:r>
            <w:r>
              <w:fldChar w:fldCharType="separate"/>
            </w:r>
            <w:r>
              <w:t>78</w:t>
            </w:r>
            <w:r>
              <w:fldChar w:fldCharType="end"/>
            </w:r>
          </w:hyperlink>
        </w:p>
        <w:p>
          <w:pPr>
            <w:pStyle w:val="12"/>
            <w:ind w:left="720"/>
            <w:tabs>
              <w:tab w:val="right" w:leader="dot" w:pos="9026"/>
            </w:tabs>
            <w:spacing w:before="120" w:after="60"/>
          </w:pPr>
          <w:hyperlink w:anchor="_Toc100121" w:history="1">
            <w:r>
              <w:rPr>
                <w:rStyle w:val="Hyperlink"/>
              </w:rPr>
              <w:t>Correction automatique des citations</w:t>
            </w:r>
            <w:r>
              <w:tab/>
            </w:r>
            <w:r>
              <w:fldChar w:fldCharType="begin"/>
            </w:r>
            <w:r>
              <w:instrText xml:space="preserve"> PAGEREF _Toc100121 \h </w:instrText>
            </w:r>
            <w:r>
              <w:fldChar w:fldCharType="separate"/>
            </w:r>
            <w:r>
              <w:t>78</w:t>
            </w:r>
            <w:r>
              <w:fldChar w:fldCharType="end"/>
            </w:r>
          </w:hyperlink>
        </w:p>
        <w:p>
          <w:pPr>
            <w:pStyle w:val="12"/>
            <w:ind w:left="720"/>
            <w:tabs>
              <w:tab w:val="right" w:leader="dot" w:pos="9026"/>
            </w:tabs>
            <w:spacing w:before="120" w:after="60"/>
          </w:pPr>
          <w:hyperlink w:anchor="_Toc100122" w:history="1">
            <w:r>
              <w:rPr>
                <w:rStyle w:val="Hyperlink"/>
              </w:rPr>
              <w:t>Suggestion de reformulation</w:t>
            </w:r>
            <w:r>
              <w:tab/>
            </w:r>
            <w:r>
              <w:fldChar w:fldCharType="begin"/>
            </w:r>
            <w:r>
              <w:instrText xml:space="preserve"> PAGEREF _Toc100122 \h </w:instrText>
            </w:r>
            <w:r>
              <w:fldChar w:fldCharType="separate"/>
            </w:r>
            <w:r>
              <w:t>78</w:t>
            </w:r>
            <w:r>
              <w:fldChar w:fldCharType="end"/>
            </w:r>
          </w:hyperlink>
        </w:p>
        <w:p>
          <w:pPr>
            <w:pStyle w:val="12"/>
            <w:ind w:left="720"/>
            <w:tabs>
              <w:tab w:val="right" w:leader="dot" w:pos="9026"/>
            </w:tabs>
            <w:spacing w:before="120" w:after="60"/>
          </w:pPr>
          <w:hyperlink w:anchor="_Toc100123" w:history="1">
            <w:r>
              <w:rPr>
                <w:rStyle w:val="Hyperlink"/>
              </w:rPr>
              <w:t>Assistant de rédaction scientifique</w:t>
            </w:r>
            <w:r>
              <w:tab/>
            </w:r>
            <w:r>
              <w:fldChar w:fldCharType="begin"/>
            </w:r>
            <w:r>
              <w:instrText xml:space="preserve"> PAGEREF _Toc100123 \h </w:instrText>
            </w:r>
            <w:r>
              <w:fldChar w:fldCharType="separate"/>
            </w:r>
            <w:r>
              <w:t>79</w:t>
            </w:r>
            <w:r>
              <w:fldChar w:fldCharType="end"/>
            </w:r>
          </w:hyperlink>
        </w:p>
        <w:p>
          <w:pPr>
            <w:pStyle w:val="12"/>
            <w:ind w:left="720"/>
            <w:tabs>
              <w:tab w:val="right" w:leader="dot" w:pos="9026"/>
            </w:tabs>
            <w:spacing w:before="120" w:after="60"/>
          </w:pPr>
          <w:hyperlink w:anchor="_Toc100124" w:history="1">
            <w:r>
              <w:rPr>
                <w:rStyle w:val="Hyperlink"/>
              </w:rPr>
              <w:t>Index national des mémoires</w:t>
            </w:r>
            <w:r>
              <w:tab/>
            </w:r>
            <w:r>
              <w:fldChar w:fldCharType="begin"/>
            </w:r>
            <w:r>
              <w:instrText xml:space="preserve"> PAGEREF _Toc100124 \h </w:instrText>
            </w:r>
            <w:r>
              <w:fldChar w:fldCharType="separate"/>
            </w:r>
            <w:r>
              <w:t>79</w:t>
            </w:r>
            <w:r>
              <w:fldChar w:fldCharType="end"/>
            </w:r>
          </w:hyperlink>
        </w:p>
        <w:p>
          <w:pPr>
            <w:pStyle w:val="12"/>
            <w:ind w:left="720"/>
            <w:tabs>
              <w:tab w:val="right" w:leader="dot" w:pos="9026"/>
            </w:tabs>
            <w:spacing w:before="120" w:after="60"/>
          </w:pPr>
          <w:hyperlink w:anchor="_Toc100125" w:history="1">
            <w:r>
              <w:rPr>
                <w:rStyle w:val="Hyperlink"/>
              </w:rPr>
              <w:t>Détection interuniversitaire du plagiat</w:t>
            </w:r>
            <w:r>
              <w:tab/>
            </w:r>
            <w:r>
              <w:fldChar w:fldCharType="begin"/>
            </w:r>
            <w:r>
              <w:instrText xml:space="preserve"> PAGEREF _Toc100125 \h </w:instrText>
            </w:r>
            <w:r>
              <w:fldChar w:fldCharType="separate"/>
            </w:r>
            <w:r>
              <w:t>79</w:t>
            </w:r>
            <w:r>
              <w:fldChar w:fldCharType="end"/>
            </w:r>
          </w:hyperlink>
        </w:p>
        <w:p>
          <w:pPr>
            <w:pStyle w:val="9"/>
            <w:tabs>
              <w:tab w:val="right" w:leader="dot" w:pos="9026"/>
            </w:tabs>
            <w:spacing w:before="120" w:after="60"/>
          </w:pPr>
          <w:hyperlink w:anchor="_Toc100126" w:history="1">
            <w:r>
              <w:rPr>
                <w:rStyle w:val="Hyperlink"/>
              </w:rPr>
              <w:t>BIBLIOGRAPHIE</w:t>
            </w:r>
            <w:r>
              <w:tab/>
            </w:r>
            <w:r>
              <w:fldChar w:fldCharType="begin"/>
            </w:r>
            <w:r>
              <w:instrText xml:space="preserve"> PAGEREF _Toc100126 \h </w:instrText>
            </w:r>
            <w:r>
              <w:fldChar w:fldCharType="separate"/>
            </w:r>
            <w:r>
              <w:t>80</w:t>
            </w:r>
            <w:r>
              <w:fldChar w:fldCharType="end"/>
            </w:r>
          </w:hyperlink>
        </w:p>
        <w:p>
          <w:pPr>
            <w:pStyle w:val="11"/>
            <w:ind w:left="360"/>
            <w:tabs>
              <w:tab w:val="right" w:leader="dot" w:pos="9026"/>
            </w:tabs>
            <w:spacing w:before="120" w:after="60"/>
          </w:pPr>
          <w:hyperlink w:anchor="_Toc100127" w:history="1">
            <w:r>
              <w:rPr>
                <w:rStyle w:val="Hyperlink"/>
              </w:rPr>
              <w:t>Ouvrages et manuels</w:t>
            </w:r>
            <w:r>
              <w:tab/>
            </w:r>
            <w:r>
              <w:fldChar w:fldCharType="begin"/>
            </w:r>
            <w:r>
              <w:instrText xml:space="preserve"> PAGEREF _Toc100127 \h </w:instrText>
            </w:r>
            <w:r>
              <w:fldChar w:fldCharType="separate"/>
            </w:r>
            <w:r>
              <w:t>80</w:t>
            </w:r>
            <w:r>
              <w:fldChar w:fldCharType="end"/>
            </w:r>
          </w:hyperlink>
        </w:p>
        <w:p>
          <w:pPr>
            <w:pStyle w:val="11"/>
            <w:ind w:left="360"/>
            <w:tabs>
              <w:tab w:val="right" w:leader="dot" w:pos="9026"/>
            </w:tabs>
            <w:spacing w:before="120" w:after="60"/>
          </w:pPr>
          <w:hyperlink w:anchor="_Toc100128" w:history="1">
            <w:r>
              <w:rPr>
                <w:rStyle w:val="Hyperlink"/>
              </w:rPr>
              <w:t>Articles et publications scientifiques</w:t>
            </w:r>
            <w:r>
              <w:tab/>
            </w:r>
            <w:r>
              <w:fldChar w:fldCharType="begin"/>
            </w:r>
            <w:r>
              <w:instrText xml:space="preserve"> PAGEREF _Toc100128 \h </w:instrText>
            </w:r>
            <w:r>
              <w:fldChar w:fldCharType="separate"/>
            </w:r>
            <w:r>
              <w:t>81</w:t>
            </w:r>
            <w:r>
              <w:fldChar w:fldCharType="end"/>
            </w:r>
          </w:hyperlink>
        </w:p>
        <w:p>
          <w:pPr>
            <w:pStyle w:val="11"/>
            <w:ind w:left="360"/>
            <w:tabs>
              <w:tab w:val="right" w:leader="dot" w:pos="9026"/>
            </w:tabs>
            <w:spacing w:before="120" w:after="60"/>
          </w:pPr>
          <w:hyperlink w:anchor="_Toc100129" w:history="1">
            <w:r>
              <w:rPr>
                <w:rStyle w:val="Hyperlink"/>
              </w:rPr>
              <w:t>Documentation technique</w:t>
            </w:r>
            <w:r>
              <w:tab/>
            </w:r>
            <w:r>
              <w:fldChar w:fldCharType="begin"/>
            </w:r>
            <w:r>
              <w:instrText xml:space="preserve"> PAGEREF _Toc100129 \h </w:instrText>
            </w:r>
            <w:r>
              <w:fldChar w:fldCharType="separate"/>
            </w:r>
            <w:r>
              <w:t>82</w:t>
            </w:r>
            <w:r>
              <w:fldChar w:fldCharType="end"/>
            </w:r>
          </w:hyperlink>
        </w:p>
        <w:p>
          <w:pPr>
            <w:pStyle w:val="11"/>
            <w:ind w:left="360"/>
            <w:tabs>
              <w:tab w:val="right" w:leader="dot" w:pos="9026"/>
            </w:tabs>
            <w:spacing w:before="120" w:after="60"/>
          </w:pPr>
          <w:hyperlink w:anchor="_Toc100130" w:history="1">
            <w:r>
              <w:rPr>
                <w:rStyle w:val="Hyperlink"/>
              </w:rPr>
              <w:t>Sources académiques et institutionnelles</w:t>
            </w:r>
            <w:r>
              <w:tab/>
            </w:r>
            <w:r>
              <w:fldChar w:fldCharType="begin"/>
            </w:r>
            <w:r>
              <w:instrText xml:space="preserve"> PAGEREF _Toc100130 \h </w:instrText>
            </w:r>
            <w:r>
              <w:fldChar w:fldCharType="separate"/>
            </w:r>
            <w:r>
              <w:t>83</w:t>
            </w:r>
            <w:r>
              <w:fldChar w:fldCharType="end"/>
            </w:r>
          </w:hyperlink>
        </w:p>
        <w:p>
          <w:pPr>
            <w:pStyle w:val="11"/>
            <w:ind w:left="360"/>
            <w:tabs>
              <w:tab w:val="right" w:leader="dot" w:pos="9026"/>
            </w:tabs>
            <w:spacing w:before="120" w:after="60"/>
          </w:pPr>
          <w:hyperlink w:anchor="_Toc100131" w:history="1">
            <w:r>
              <w:rPr>
                <w:rStyle w:val="Hyperlink"/>
              </w:rPr>
              <w:t>Ressources en ligne</w:t>
            </w:r>
            <w:r>
              <w:tab/>
            </w:r>
            <w:r>
              <w:fldChar w:fldCharType="begin"/>
            </w:r>
            <w:r>
              <w:instrText xml:space="preserve"> PAGEREF _Toc100131 \h </w:instrText>
            </w:r>
            <w:r>
              <w:fldChar w:fldCharType="separate"/>
            </w:r>
            <w:r>
              <w:t>83</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a consisté à constituer un corpus pilote de travaux académiques, à implémenter le pipeline de détection, et à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permettent de comparer objectivement l'approche sémantique proposée à une approche lexicale classique servant de baseline.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l'expérimentation et l'évaluation de la plateforme, ainsi que l'analyse des résultats obtenus.</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w:t>
      </w:r>
    </w:p>
    <w:p>
      <w:pPr>
        <w:spacing w:after="120" w:line="360"/>
        <w:jc w:val="center"/>
      </w:pPr>
      <w:r>
        <w:rPr>
          <w:rFonts w:ascii="Times New Roman" w:eastAsia="SimHei"/>
          <w:b/>
          <w:bCs/>
          <w:color w:val="000000"/>
          <w:sz w:val="22"/>
          <w:szCs w:val="22"/>
        </w:rPr>
        <w:t xml:space="preserve">Figure III.1 — Architecture multicouche universitaire de la plateforme</w:t>
      </w:r>
    </w:p>
    <w:p>
      <w:pPr>
        <w:spacing w:after="120" w:line="360"/>
        <w:jc w:val="center"/>
      </w:pPr>
      <w:r>
        <w:rPr>
          <w:rFonts w:ascii="Times New Roman" w:eastAsia="SimSun"/>
          <w:b w:val="false"/>
          <w:bCs w:val="false"/>
          <w:color w:val="000000"/>
          <w:sz w:val="20"/>
          <w:szCs w:val="20"/>
        </w:rPr>
        <w:t xml:space="preserve">┌─────────────────────────────────────────────┐</w:t>
      </w:r>
    </w:p>
    <w:p>
      <w:pPr>
        <w:spacing w:after="120" w:line="360"/>
        <w:jc w:val="center"/>
      </w:pPr>
      <w:r>
        <w:rPr>
          <w:rFonts w:ascii="Times New Roman" w:eastAsia="SimHei"/>
          <w:b/>
          <w:bCs/>
          <w:color w:val="000000"/>
          <w:sz w:val="22"/>
          <w:szCs w:val="22"/>
        </w:rPr>
        <w:t xml:space="preserve">           UNIVERSITÉ (UNIKIN)</w:t>
      </w:r>
    </w:p>
    <w:p>
      <w:pPr>
        <w:spacing w:after="120" w:line="360"/>
        <w:jc w:val="center"/>
      </w:pPr>
      <w:r>
        <w:rPr>
          <w:rFonts w:ascii="Times New Roman" w:eastAsia="SimSun"/>
          <w:b w:val="false"/>
          <w:bCs w:val="false"/>
          <w:color w:val="000000"/>
          <w:sz w:val="20"/>
          <w:szCs w:val="20"/>
        </w:rPr>
        <w:t xml:space="preserve">└───────────────────────┬─────────────────────┘</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Hei"/>
          <w:b/>
          <w:bCs/>
          <w:color w:val="000000"/>
          <w:sz w:val="22"/>
          <w:szCs w:val="22"/>
        </w:rPr>
        <w:t xml:space="preserve">       │   PLATEFORME CENTRALE IA (UNIKIN)  │</w:t>
      </w:r>
    </w:p>
    <w:p>
      <w:pPr>
        <w:spacing w:after="120" w:line="360"/>
        <w:jc w:val="center"/>
      </w:pPr>
      <w:r>
        <w:rPr>
          <w:rFonts w:ascii="Times New Roman" w:eastAsia="SimSun"/>
          <w:b w:val="false"/>
          <w:bCs w:val="false"/>
          <w:color w:val="000000"/>
          <w:sz w:val="20"/>
          <w:szCs w:val="20"/>
        </w:rPr>
        <w:t xml:space="preserve">       │  • Gestion utilisateurs           │</w:t>
      </w:r>
    </w:p>
    <w:p>
      <w:pPr>
        <w:spacing w:after="120" w:line="360"/>
        <w:jc w:val="center"/>
      </w:pPr>
      <w:r>
        <w:rPr>
          <w:rFonts w:ascii="Times New Roman" w:eastAsia="SimSun"/>
          <w:b w:val="false"/>
          <w:bCs w:val="false"/>
          <w:color w:val="000000"/>
          <w:sz w:val="20"/>
          <w:szCs w:val="20"/>
        </w:rPr>
        <w:t xml:space="preserve">       │  • Base documentaire centralisée  │</w:t>
      </w:r>
    </w:p>
    <w:p>
      <w:pPr>
        <w:spacing w:after="120" w:line="360"/>
        <w:jc w:val="center"/>
      </w:pPr>
      <w:r>
        <w:rPr>
          <w:rFonts w:ascii="Times New Roman" w:eastAsia="SimSun"/>
          <w:b w:val="false"/>
          <w:bCs w:val="false"/>
          <w:color w:val="000000"/>
          <w:sz w:val="20"/>
          <w:szCs w:val="20"/>
        </w:rPr>
        <w:t xml:space="preserve">       │  • Moteur IA anti-plagiat         │</w:t>
      </w:r>
    </w:p>
    <w:p>
      <w:pPr>
        <w:spacing w:after="120" w:line="360"/>
        <w:jc w:val="center"/>
      </w:pPr>
      <w:r>
        <w:rPr>
          <w:rFonts w:ascii="Times New Roman" w:eastAsia="SimSun"/>
          <w:b w:val="false"/>
          <w:bCs w:val="false"/>
          <w:color w:val="000000"/>
          <w:sz w:val="20"/>
          <w:szCs w:val="20"/>
        </w:rPr>
        <w:t xml:space="preserve">       │  • API &amp; tableaux de bord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Hei"/>
          <w:b/>
          <w:bCs/>
          <w:color w:val="000000"/>
          <w:sz w:val="22"/>
          <w:szCs w:val="22"/>
        </w:rPr>
        <w:t xml:space="preserve">   │ Faculté A│ │Faculté B│ │ Faculté C │</w:t>
      </w:r>
    </w:p>
    <w:p>
      <w:pPr>
        <w:spacing w:after="120" w:line="360"/>
        <w:jc w:val="center"/>
      </w:pPr>
      <w:r>
        <w:rPr>
          <w:rFonts w:ascii="Times New Roman" w:eastAsia="SimSun"/>
          <w:b w:val="false"/>
          <w:bCs w:val="false"/>
          <w:color w:val="000000"/>
          <w:sz w:val="20"/>
          <w:szCs w:val="20"/>
        </w:rPr>
        <w:t xml:space="preserve">   │ Sciences │ │  Droit  │ │ Médecine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Hei"/>
          <w:b/>
          <w:bCs/>
          <w:color w:val="000000"/>
          <w:sz w:val="22"/>
          <w:szCs w:val="22"/>
        </w:rPr>
        <w:t xml:space="preserve">   │Départem.│  │Départem│  │Départem.│</w:t>
      </w:r>
    </w:p>
    <w:p>
      <w:pPr>
        <w:spacing w:after="120" w:line="360"/>
        <w:jc w:val="center"/>
      </w:pPr>
      <w:r>
        <w:rPr>
          <w:rFonts w:ascii="Times New Roman" w:eastAsia="SimSun"/>
          <w:b w:val="false"/>
          <w:bCs w:val="false"/>
          <w:color w:val="000000"/>
          <w:sz w:val="20"/>
          <w:szCs w:val="20"/>
        </w:rPr>
        <w:t xml:space="preserve">   │  Info.  │  │ Privé  │  │ Chirurg.│</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Hei"/>
          <w:b/>
          <w:bCs/>
          <w:color w:val="000000"/>
          <w:sz w:val="22"/>
          <w:szCs w:val="22"/>
        </w:rPr>
        <w:t xml:space="preserve">   │Étudiants│  │Étudiants│  │Étudiants│</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            │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Hei"/>
          <w:b/>
          <w:bCs/>
          <w:color w:val="000000"/>
          <w:sz w:val="22"/>
          <w:szCs w:val="22"/>
        </w:rPr>
        <w:t xml:space="preserve">   │ SOUMISSION DES MÉMOIRES &amp; TFC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Hei"/>
          <w:b/>
          <w:bCs/>
          <w:color w:val="000000"/>
          <w:sz w:val="22"/>
          <w:szCs w:val="22"/>
        </w:rPr>
        <w:t xml:space="preserve">         │   MOTEUR IA        │</w:t>
      </w:r>
    </w:p>
    <w:p>
      <w:pPr>
        <w:spacing w:after="120" w:line="360"/>
        <w:jc w:val="center"/>
      </w:pPr>
      <w:r>
        <w:rPr>
          <w:rFonts w:ascii="Times New Roman" w:eastAsia="SimSun"/>
          <w:b w:val="false"/>
          <w:bCs w:val="false"/>
          <w:color w:val="000000"/>
          <w:sz w:val="20"/>
          <w:szCs w:val="20"/>
        </w:rPr>
        <w:t xml:space="preserve">         │  • OCR + NLP       │</w:t>
      </w:r>
    </w:p>
    <w:p>
      <w:pPr>
        <w:spacing w:after="120" w:line="360"/>
        <w:jc w:val="center"/>
      </w:pPr>
      <w:r>
        <w:rPr>
          <w:rFonts w:ascii="Times New Roman" w:eastAsia="SimSun"/>
          <w:b w:val="false"/>
          <w:bCs w:val="false"/>
          <w:color w:val="000000"/>
          <w:sz w:val="20"/>
          <w:szCs w:val="20"/>
        </w:rPr>
        <w:t xml:space="preserve">         │  • Embeddings      │</w:t>
      </w:r>
    </w:p>
    <w:p>
      <w:pPr>
        <w:spacing w:after="120" w:line="360"/>
        <w:jc w:val="center"/>
      </w:pPr>
      <w:r>
        <w:rPr>
          <w:rFonts w:ascii="Times New Roman" w:eastAsia="SimSun"/>
          <w:b w:val="false"/>
          <w:bCs w:val="false"/>
          <w:color w:val="000000"/>
          <w:sz w:val="20"/>
          <w:szCs w:val="20"/>
        </w:rPr>
        <w:t xml:space="preserve">         │  • Recherche vect. │</w:t>
      </w:r>
    </w:p>
    <w:p>
      <w:pPr>
        <w:spacing w:after="120" w:line="360"/>
        <w:jc w:val="center"/>
      </w:pPr>
      <w:r>
        <w:rPr>
          <w:rFonts w:ascii="Times New Roman" w:eastAsia="SimSun"/>
          <w:b w:val="false"/>
          <w:bCs w:val="false"/>
          <w:color w:val="000000"/>
          <w:sz w:val="20"/>
          <w:szCs w:val="20"/>
        </w:rPr>
        <w:t xml:space="preserve">         │  • Similarité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Hei"/>
          <w:b/>
          <w:bCs/>
          <w:color w:val="000000"/>
          <w:sz w:val="22"/>
          <w:szCs w:val="22"/>
        </w:rPr>
        <w:t xml:space="preserve">         │   RAPPORT IA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Sun"/>
          <w:b w:val="false"/>
          <w:bCs w:val="false"/>
          <w:color w:val="000000"/>
          <w:sz w:val="20"/>
          <w:szCs w:val="20"/>
        </w:rPr>
        <w:t xml:space="preserve">         ┌─────────▼─────────┐</w:t>
      </w:r>
    </w:p>
    <w:p>
      <w:pPr>
        <w:spacing w:after="120" w:line="360"/>
        <w:jc w:val="center"/>
      </w:pPr>
      <w:r>
        <w:rPr>
          <w:rFonts w:ascii="Times New Roman" w:eastAsia="SimHei"/>
          <w:b/>
          <w:bCs/>
          <w:color w:val="000000"/>
          <w:sz w:val="22"/>
          <w:szCs w:val="22"/>
        </w:rPr>
        <w:t xml:space="preserve">         │   JURY / ENSEIGNANT│</w:t>
      </w:r>
    </w:p>
    <w:p>
      <w:pPr>
        <w:spacing w:after="120" w:line="360"/>
        <w:jc w:val="center"/>
      </w:pPr>
      <w:r>
        <w:rPr>
          <w:rFonts w:ascii="Times New Roman" w:eastAsia="SimSun"/>
          <w:b w:val="false"/>
          <w:bCs w:val="false"/>
          <w:color w:val="000000"/>
          <w:sz w:val="20"/>
          <w:szCs w:val="20"/>
        </w:rPr>
        <w:t xml:space="preserve">         └───────────────────┘</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des développements.</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et l'analyse des résultats d'évaluation.</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CHAPITRE IV — IMPLÉMENTATION, EXPÉRIMENTATION ET ÉVALUATION</w:t>
      </w:r>
      <w:bookmarkEnd w:id="100087"/>
    </w:p>
    <w:p>
      <w:pPr>
        <w:pStyle w:val="Heading2"/>
        <w:spacing w:after="240" w:before="360" w:line="360"/>
      </w:pPr>
      <w:bookmarkStart w:id="100088" w:name="_Toc100088"/>
      <w:r>
        <w:rPr>
          <w:rFonts w:ascii="Times New Roman" w:eastAsia="SimHei"/>
          <w:b/>
          <w:bCs/>
          <w:color w:val="000000"/>
          <w:sz w:val="30"/>
          <w:szCs w:val="30"/>
        </w:rPr>
        <w:t xml:space="preserve">IV.1. Introduction</w:t>
      </w:r>
      <w:bookmarkEnd w:id="100088"/>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de la Faculté des Sciences, et l'évaluation quantitative de ses performances. Il détaille la stack technique mise en œuvre, les principaux extraits de code du pipeline IA, les captures d'écran de l'interface,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courbe ROC), analyse comparative. Les limites observées et les pistes d'amélioration sont discutées en fin de chapitre.</w:t>
      </w:r>
    </w:p>
    <w:p>
      <w:pPr>
        <w:pStyle w:val="Heading2"/>
        <w:spacing w:after="240" w:before="360" w:line="360"/>
      </w:pPr>
      <w:bookmarkStart w:id="100089" w:name="_Toc100089"/>
      <w:r>
        <w:rPr>
          <w:rFonts w:ascii="Times New Roman" w:eastAsia="SimHei"/>
          <w:b/>
          <w:bCs/>
          <w:color w:val="000000"/>
          <w:sz w:val="30"/>
          <w:szCs w:val="30"/>
        </w:rPr>
        <w:t xml:space="preserve">IV.2. Stack technique</w:t>
      </w:r>
      <w:bookmarkEnd w:id="100089"/>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w:t>
      </w:r>
    </w:p>
    <w:p>
      <w:pPr>
        <w:keepNext/>
        <w:spacing w:after="60" w:before="120" w:line="280"/>
        <w:jc w:val="center"/>
      </w:pPr>
      <w:r>
        <w:rPr>
          <w:rFonts w:ascii="Times New Roman" w:eastAsia="SimSun"/>
          <w:i/>
          <w:iCs/>
          <w:color w:val="333333"/>
          <w:sz w:val="21"/>
          <w:szCs w:val="21"/>
        </w:rPr>
        <w:t xml:space="preserve">Tableau IV.1 — Stack technique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 backend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Logique métier, orchestration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REST asynchrone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SQLAlchemy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Accès base de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 relationnelle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PostgreSQL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Stockage données structurées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Extension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pgvector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Recherche vectorielle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spécifique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distiluse-base-multilingual-cased-v1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multilingues FR/EN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Tesseract + pytesseract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scannés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pdfplumber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natifs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Prétraitement 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spaCy (fr_core_news_sm)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Tokenisation, lemmatisation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 Vite + 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 + 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 (PyJWT)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d'authentification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ReportLab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PDF</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Docker + Docker Compose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Déploiement reproductible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Serveur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Nginx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Reverse proxy, fichiers statiques</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Python et FastAPI offrent un excellent compromis entre productivité de développement, performance et écosystème IA. Côté frontend, React et TypeScript garantissent une interface moderne et maintenable. Côté données, PostgreSQL avec pgvector évite l'introduction d'un système vectoriel dédié, simplifiant le déploiement et la maintenance. La conteneurisation Docker assure la reproductibilité du déploiement sur différentes infrastructures.</w:t>
      </w:r>
    </w:p>
    <w:p>
      <w:pPr>
        <w:pStyle w:val="Heading2"/>
        <w:spacing w:after="240" w:before="360" w:line="360"/>
      </w:pPr>
      <w:bookmarkStart w:id="100090" w:name="_Toc100090"/>
      <w:r>
        <w:rPr>
          <w:rFonts w:ascii="Times New Roman" w:eastAsia="SimHei"/>
          <w:b/>
          <w:bCs/>
          <w:color w:val="000000"/>
          <w:sz w:val="30"/>
          <w:szCs w:val="30"/>
        </w:rPr>
        <w:t xml:space="preserve">IV.3. Frontend</w:t>
      </w:r>
      <w:bookmarkEnd w:id="100090"/>
    </w:p>
    <w:p>
      <w:pPr>
        <w:spacing w:after="0" w:line="360"/>
        <w:ind w:firstLine="480"/>
        <w:jc w:val="both"/>
      </w:pPr>
      <w:r>
        <w:rPr>
          <w:rFonts w:ascii="Times New Roman" w:eastAsia="SimSun"/>
          <w:color w:val="000000"/>
          <w:sz w:val="24"/>
          <w:szCs w:val="24"/>
        </w:rPr>
        <w:t xml:space="preserve">Le frontend est une application React monopage (SPA) développée en TypeScript avec Vite comme outil de build. L'interface utilise Tailwind CSS pour le style et shadcn/ui pour les composants réutilisables (boutons, formulaires, tableaux, dialogues). Le routing est assuré par React Router, et la gestion d'état par Zustand. Les appels API sont effectués via axios, avec un interceptor qui ajoute automatiquement le token JWT aux requêtes authentifiées.</w:t>
      </w:r>
    </w:p>
    <w:p>
      <w:pPr>
        <w:spacing w:after="0" w:line="360"/>
        <w:ind w:firstLine="480"/>
        <w:jc w:val="both"/>
      </w:pPr>
      <w:r>
        <w:rPr>
          <w:rFonts w:ascii="Times New Roman" w:eastAsia="SimSun"/>
          <w:color w:val="000000"/>
          <w:sz w:val="24"/>
          <w:szCs w:val="24"/>
        </w:rPr>
        <w:t xml:space="preserve">Les principales vues de l'interface sont : la page de connexion, le tableau de bord (selon le rôle de l'utilisateur), la liste des travaux, le formulaire de dépôt, la visualisation d'un rapport d'analyse (avec surlignage des passages similaires), et les écrans d'administration (gestion des utilisateurs, des facultés, des départements). L'interface est conçue en mode responsive, pour s'adapter aux ordinateurs de bureau comme aux tablettes et smartphones, ce qui est crucial dans un contexte où l'accès mobile à Internet est dominant.</w:t>
      </w:r>
    </w:p>
    <w:p>
      <w:pPr>
        <w:spacing w:after="0" w:line="360"/>
        <w:ind w:firstLine="480"/>
        <w:jc w:val="both"/>
      </w:pPr>
      <w:r>
        <w:rPr>
          <w:rFonts w:ascii="Times New Roman" w:eastAsia="SimSun"/>
          <w:color w:val="000000"/>
          <w:sz w:val="24"/>
          <w:szCs w:val="24"/>
        </w:rPr>
        <w:t xml:space="preserve">La visualisation des rapports d'analyse constitue un élément clé de l'expérience utilisateur. Elle permet à l'enseignant de naviguer dans le document analysé, de voir les passages surlignés selon le type de similarité détectée (vert pour les paraphrases, orange pour les reformulations, rouge pour le copier-coller strict), et d'accéder en un clic au texte source correspondant. Une vue comparative côte à côte facilite l'évaluation manuelle par l'enseignant, qui conserve la responsabilité finale du jugement sur l'existence ou non d'un plagiat.</w:t>
      </w:r>
    </w:p>
    <w:p>
      <w:pPr>
        <w:pStyle w:val="Heading2"/>
        <w:spacing w:after="240" w:before="360" w:line="360"/>
      </w:pPr>
      <w:bookmarkStart w:id="100091" w:name="_Toc100091"/>
      <w:r>
        <w:rPr>
          <w:rFonts w:ascii="Times New Roman" w:eastAsia="SimHei"/>
          <w:b/>
          <w:bCs/>
          <w:color w:val="000000"/>
          <w:sz w:val="30"/>
          <w:szCs w:val="30"/>
        </w:rPr>
        <w:t xml:space="preserve">IV.4. Backend</w:t>
      </w:r>
      <w:bookmarkEnd w:id="100091"/>
    </w:p>
    <w:p>
      <w:pPr>
        <w:spacing w:after="0" w:line="360"/>
        <w:ind w:firstLine="480"/>
        <w:jc w:val="both"/>
      </w:pPr>
      <w:r>
        <w:rPr>
          <w:rFonts w:ascii="Times New Roman" w:eastAsia="SimSun"/>
          <w:color w:val="000000"/>
          <w:sz w:val="24"/>
          <w:szCs w:val="24"/>
        </w:rPr>
        <w:t xml:space="preserve">Le backend est développé en Python 3.11 avec FastAPI. Il suit une architecture en couches : routers (gestion des requêtes HTTP), services (logique métier), repositories (accès aux données), models (entités SQLAlchemy). L'authentification est gérée par un mécanisme JWT, avec un middleware qui vérifie le token et l'autorisation à chaque requête. La validation des entrées est assurée par Pydantic, qui génère automatiquement la documentation OpenAPI de l'API.</w:t>
      </w:r>
    </w:p>
    <w:p>
      <w:pPr>
        <w:spacing w:after="0" w:line="360"/>
        <w:ind w:firstLine="480"/>
        <w:jc w:val="both"/>
      </w:pPr>
      <w:r>
        <w:rPr>
          <w:rFonts w:ascii="Times New Roman" w:eastAsia="SimSun"/>
          <w:color w:val="000000"/>
          <w:sz w:val="24"/>
          <w:szCs w:val="24"/>
        </w:rPr>
        <w:t xml:space="preserve">L'orchestration du pipeline IA est implémentée sous forme d'une tâche asynchrone, déclenchée par un endpoint POST /api/documents/{id}/analyze. Cette tâche est exécutée par un worker Celery (ou un simple asyncio en fonction de la charge), ce qui permet à l'utilisateur de ne pas attendre la fin de l'analyse pour recevoir une réponse HTTP. L'utilisateur est notifié de la disponibilité du rapport via une notification in-app ou par email. Cette architecture asynchrone est essentielle compte tenu du temps de traitement du pipeline (plusieurs minutes pour un mémoire de 50 pages).</w:t>
      </w:r>
    </w:p>
    <w:p>
      <w:pPr>
        <w:pStyle w:val="Heading2"/>
        <w:spacing w:after="240" w:before="360" w:line="360"/>
      </w:pPr>
      <w:bookmarkStart w:id="100092" w:name="_Toc100092"/>
      <w:r>
        <w:rPr>
          <w:rFonts w:ascii="Times New Roman" w:eastAsia="SimHei"/>
          <w:b/>
          <w:bCs/>
          <w:color w:val="000000"/>
          <w:sz w:val="30"/>
          <w:szCs w:val="30"/>
        </w:rPr>
        <w:t xml:space="preserve">IV.5. Base relationnelle</w:t>
      </w:r>
      <w:bookmarkEnd w:id="100092"/>
    </w:p>
    <w:p>
      <w:pPr>
        <w:spacing w:after="0" w:line="360"/>
        <w:ind w:firstLine="480"/>
        <w:jc w:val="both"/>
      </w:pPr>
      <w:r>
        <w:rPr>
          <w:rFonts w:ascii="Times New Roman" w:eastAsia="SimSun"/>
          <w:color w:val="000000"/>
          <w:sz w:val="24"/>
          <w:szCs w:val="24"/>
        </w:rPr>
        <w:t xml:space="preserve">La base relationnelle PostgreSQL contient l'ensemble des données structurées de la plateforme. Le schéma comprend une vingtaine de tables, dont les principales sont : users, faculties, departments, promotions, students, teachers, documents, text_extracts, segments, analyses, matches, reports, audit_logs. Les contraintes d'intégrité référentielle garantissent la cohérence des données, et des index sont créés sur les champs les plus sollicités pour optimiser les performances.</w:t>
      </w:r>
    </w:p>
    <w:p>
      <w:pPr>
        <w:spacing w:after="0" w:line="360"/>
        <w:ind w:firstLine="480"/>
        <w:jc w:val="both"/>
      </w:pPr>
      <w:r>
        <w:rPr>
          <w:rFonts w:ascii="Times New Roman" w:eastAsia="SimSun"/>
          <w:color w:val="000000"/>
          <w:sz w:val="24"/>
          <w:szCs w:val="24"/>
        </w:rPr>
        <w:t xml:space="preserve">Le script de création de la base définit l'extension pgvector et la table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Activation de l'extension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EXTENSION IF NOT EXISTS 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Table des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TABLE document_embeddings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 BIGSERIAL PRIMARY KEY,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document_id BIGINT NOT NULL REFERENCES documents(id) ON DELETE CASCADE,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segment_index INT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segment_text TEXT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 vector(512)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created_at TIMESTAMPTZ DEFAULT NOW()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Index HNSW pour la recherche vectorielle rapide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INDEX idx_embeddings_hnsw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ON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USING hnsw (embedding vector_cosine_ops)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WITH (m = 16, ef_construction = 64);</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Requête type : k plus proches voisins d'un vecteur donné</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SELECT document_id, segment_index, 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(embedding &amp;lt;=&amp;gt; $1)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WHERE document_id != $2  -- exclure le document lui-même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ORDER BY embedding &amp;lt;=&amp;gt; $1</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LIMIT 10;</w:t>
      </w:r>
    </w:p>
    <w:p>
      <w:pPr>
        <w:pStyle w:val="Heading2"/>
        <w:spacing w:after="240" w:before="360" w:line="360"/>
      </w:pPr>
      <w:bookmarkStart w:id="100093" w:name="_Toc100093"/>
      <w:r>
        <w:rPr>
          <w:rFonts w:ascii="Times New Roman" w:eastAsia="SimHei"/>
          <w:b/>
          <w:bCs/>
          <w:color w:val="000000"/>
          <w:sz w:val="30"/>
          <w:szCs w:val="30"/>
        </w:rPr>
        <w:t xml:space="preserve">IV.6. Base vectorielle</w:t>
      </w:r>
      <w:bookmarkEnd w:id="100093"/>
    </w:p>
    <w:p>
      <w:pPr>
        <w:spacing w:after="0" w:line="360"/>
        <w:ind w:firstLine="480"/>
        <w:jc w:val="both"/>
      </w:pPr>
      <w:r>
        <w:rPr>
          <w:rFonts w:ascii="Times New Roman" w:eastAsia="SimSun"/>
          <w:color w:val="000000"/>
          <w:sz w:val="24"/>
          <w:szCs w:val="24"/>
        </w:rPr>
        <w:t xml:space="preserve">La base vectorielle est intégrée à PostgreSQL via pgvector, comme décrit à la section précédente. Le choix de l'index HNSW (Hierarchical Navigable Small World) se justifie par ses excellentes performances sur des bases de plusieurs millions de vecteurs, avec un compromis favorable entre vitesse de recherche et précision. Les paramètres retenus (m=16, ef_construction=64) correspondent aux valeurs recommandées par la documentation pgvector pour un usage général.</w:t>
      </w:r>
    </w:p>
    <w:p>
      <w:pPr>
        <w:spacing w:after="0" w:line="360"/>
        <w:ind w:firstLine="480"/>
        <w:jc w:val="both"/>
      </w:pPr>
      <w:r>
        <w:rPr>
          <w:rFonts w:ascii="Times New Roman" w:eastAsia="SimSun"/>
          <w:color w:val="000000"/>
          <w:sz w:val="24"/>
          <w:szCs w:val="24"/>
        </w:rPr>
        <w:t xml:space="preserve">Le type vector(512) correspond à la dimension des embeddings produits par le modèle distiluse-base-multilingual-cased-v1. Cette dimension relativement réduite (comparée aux 768 ou 1024 de modèles plus lourds) offre un bon compromis entre qualité sémantique et coût de stockage/recherche. Pour un corpus de 100 000 travaux académiques de 50 pages en moyenne, avec environ 200 segments par travail, la base vectorielle contiendrait 20 millions de vecteurs, soit environ 40 Go de stockage — un volume tout à fait gérable sur un serveur moderne.</w:t>
      </w:r>
    </w:p>
    <w:p>
      <w:pPr>
        <w:pStyle w:val="Heading2"/>
        <w:spacing w:after="240" w:before="360" w:line="360"/>
      </w:pPr>
      <w:bookmarkStart w:id="100094" w:name="_Toc100094"/>
      <w:r>
        <w:rPr>
          <w:rFonts w:ascii="Times New Roman" w:eastAsia="SimHei"/>
          <w:b/>
          <w:bCs/>
          <w:color w:val="000000"/>
          <w:sz w:val="30"/>
          <w:szCs w:val="30"/>
        </w:rPr>
        <w:t xml:space="preserve">IV.7. OCR et extraction du texte</w:t>
      </w:r>
      <w:bookmarkEnd w:id="100094"/>
    </w:p>
    <w:p>
      <w:pPr>
        <w:spacing w:after="0" w:line="360"/>
        <w:ind w:firstLine="480"/>
        <w:jc w:val="both"/>
      </w:pPr>
      <w:r>
        <w:rPr>
          <w:rFonts w:ascii="Times New Roman" w:eastAsia="SimSun"/>
          <w:color w:val="000000"/>
          <w:sz w:val="24"/>
          <w:szCs w:val="24"/>
        </w:rPr>
        <w:t xml:space="preserve">L'extraction du texte depuis les documents déposés est une étape critique du pipeline, car la qualité du texte extrait conditionne directement la qualité des analyses ultérieures. Deux cas sont distingués : les PDF natifs (avec couche de texte sélectionnable) et les PDF scannés (images).</w:t>
      </w:r>
    </w:p>
    <w:p>
      <w:pPr>
        <w:spacing w:after="0" w:line="360"/>
        <w:ind w:firstLine="480"/>
        <w:jc w:val="both"/>
      </w:pPr>
      <w:r>
        <w:rPr>
          <w:rFonts w:ascii="Times New Roman" w:eastAsia="SimSun"/>
          <w:color w:val="000000"/>
          <w:sz w:val="24"/>
          <w:szCs w:val="24"/>
        </w:rPr>
        <w:t xml:space="preserve">Pour les PDF natifs, la bibliothèque pdfplumber est utilisée. Elle permet d'extraire le texte avec une bonne qualité, en préservant la structure (paragraphes, colonnes). Pour les PDF scannés, une étape d'OCR est nécessaire, réalisée avec Tesseract via le wrapper Python pytesseract. L'OCR est précédé d'une étape de prétraitement de l'image (conversion en niveaux de gris, binarisation) pour améliorer la qualité de la reconnaissance.</w:t>
      </w:r>
    </w:p>
    <w:p>
      <w:pPr>
        <w:spacing w:after="0" w:line="360"/>
        <w:ind w:firstLine="480"/>
        <w:jc w:val="both"/>
      </w:pPr>
      <w:r>
        <w:rPr>
          <w:rFonts w:ascii="Times New Roman" w:eastAsia="SimSun"/>
          <w:color w:val="000000"/>
          <w:sz w:val="24"/>
          <w:szCs w:val="24"/>
        </w:rPr>
        <w:t xml:space="preserve">L'extrait de code suivant illustre la logique d'extraction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pdfplumber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pytesseract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pdf2image import convert_from_path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PIL import Image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io</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extract_text_from_pdf(pdf_path: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"""Extrait le texte d'un PDF, avec fallback OCR si nécessaire."""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with pdfplumber.open(pdf_path) as pdf: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page_num, page in enumerate(pdf.pages):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page.extract_text() or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len(text.strip()) &amp;lt; 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 probablement scannée -&amp;gt; OCR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images = convert_from_path(pdf_path,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dpi=300)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img in images: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pytesseract.image_to_string(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img, lang="fra+eng"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text_parts.append(text)</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"\n\n".join(text_parts)</w:t>
      </w:r>
    </w:p>
    <w:p>
      <w:pPr>
        <w:pStyle w:val="Heading2"/>
        <w:spacing w:after="240" w:before="360" w:line="360"/>
      </w:pPr>
      <w:bookmarkStart w:id="100095" w:name="_Toc100095"/>
      <w:r>
        <w:rPr>
          <w:rFonts w:ascii="Times New Roman" w:eastAsia="SimHei"/>
          <w:b/>
          <w:bCs/>
          <w:color w:val="000000"/>
          <w:sz w:val="30"/>
          <w:szCs w:val="30"/>
        </w:rPr>
        <w:t xml:space="preserve">IV.8. Pipeline NLP</w:t>
      </w:r>
      <w:bookmarkEnd w:id="100095"/>
    </w:p>
    <w:p>
      <w:pPr>
        <w:spacing w:after="0" w:line="360"/>
        <w:ind w:firstLine="480"/>
        <w:jc w:val="both"/>
      </w:pPr>
      <w:r>
        <w:rPr>
          <w:rFonts w:ascii="Times New Roman" w:eastAsia="SimSun"/>
          <w:color w:val="000000"/>
          <w:sz w:val="24"/>
          <w:szCs w:val="24"/>
        </w:rPr>
        <w:t xml:space="preserve">Le prétraitement NLP est implémenté avec spaCy (modèle fr_core_news_sm pour le français) et NLTK en complément. Il comprend les étapes suivantes : nettoyage du texte (suppression des caractères parasites, normalisation des espaces), segmentation en phrases, tokenisation, lemmatisation optionnelle, suppression des segments trop courts (moins de 5 mots) ou non informatifs (références bibliographiques, numéros de page).</w:t>
      </w:r>
    </w:p>
    <w:p>
      <w:pPr>
        <w:spacing w:after="0" w:line="360"/>
        <w:ind w:firstLine="480"/>
        <w:jc w:val="both"/>
      </w:pPr>
      <w:r>
        <w:rPr>
          <w:rFonts w:ascii="Times New Roman" w:eastAsia="SimSun"/>
          <w:color w:val="000000"/>
          <w:sz w:val="24"/>
          <w:szCs w:val="24"/>
        </w:rPr>
        <w:t xml:space="preserve">L'implémentation du pipeline NLP est illustrée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spacy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typing import List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nlp = spacy.load("fr_core_news_sm")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clean_text(text: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"""Nettoie le texte extrait."""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re.sub(r"\n{3,}", "\n\n",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 \t]+", "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re.sub(r"\[\d+\]", "", text)  # refs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segment_sentences(text: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min_words: int = 5)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"""Segmentation en phrases avec filtrage."""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 = nlp(text)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sent in doc.sents: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tokens = [t for t in sent if not t.is_space]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len(tokens) &amp;gt;= min_words: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segments.append(sent.text.strip())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preprocess_document(text: str)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"""Pipeline complet de prétraitement."""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cleaned = clean_text(text)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segment_sentences(cleaned)</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segments</w:t>
      </w:r>
    </w:p>
    <w:p>
      <w:pPr>
        <w:pStyle w:val="Heading2"/>
        <w:spacing w:after="240" w:before="360" w:line="360"/>
      </w:pPr>
      <w:bookmarkStart w:id="100096" w:name="_Toc100096"/>
      <w:r>
        <w:rPr>
          <w:rFonts w:ascii="Times New Roman" w:eastAsia="SimHei"/>
          <w:b/>
          <w:bCs/>
          <w:color w:val="000000"/>
          <w:sz w:val="30"/>
          <w:szCs w:val="30"/>
        </w:rPr>
        <w:t xml:space="preserve">IV.9. Génération des embeddings</w:t>
      </w:r>
      <w:bookmarkEnd w:id="100096"/>
    </w:p>
    <w:p>
      <w:pPr>
        <w:spacing w:after="0" w:line="360"/>
        <w:ind w:firstLine="480"/>
        <w:jc w:val="both"/>
      </w:pPr>
      <w:r>
        <w:rPr>
          <w:rFonts w:ascii="Times New Roman" w:eastAsia="SimSun"/>
          <w:color w:val="000000"/>
          <w:sz w:val="24"/>
          <w:szCs w:val="24"/>
        </w:rPr>
        <w:t xml:space="preserve">La génération des embeddings est réalisée avec Sentence Transformers, en utilisant le modèle distiluse-base-multilingual-cased-v1. Ce modèle multilingue couvre 50+ langues dont le français et l'anglais, ce qui est essentiel pour traiter des travaux académiques qui peuvent citer des sources dans les deux langues. Sa taille réduite (environ 500 Mo) permet un déploiement sur des serveurs aux ressources limitées, et sa vitesse d'inférence est compatible avec un traitement en ligne.</w:t>
      </w:r>
    </w:p>
    <w:p>
      <w:pPr>
        <w:spacing w:after="0" w:line="360"/>
        <w:ind w:firstLine="480"/>
        <w:jc w:val="both"/>
      </w:pPr>
      <w:r>
        <w:rPr>
          <w:rFonts w:ascii="Times New Roman" w:eastAsia="SimSun"/>
          <w:color w:val="000000"/>
          <w:sz w:val="24"/>
          <w:szCs w:val="24"/>
        </w:rPr>
        <w:t xml:space="preserve">L'extrait de code suivant montre la génération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sentence_transformers import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numpy as np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Chargement du modèle (mis en cache après le premier appel)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model =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"distiluse-base-multilingual-cased-v1"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generate_embeddings(segments: list[str]) -&amp;gt; np.ndarray: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"""Génère les embeddings d'une liste de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embeddings = model.encode(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batch_size=32,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show_progress_bar=False,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convert_to_numpy=True,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normalize_embeddings=True,  # L2-norm pour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Exemple d'usage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segments = ["Le plagiat est une faute académique.",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"L'intelligence artificielle transforme la détection."]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emb = generate_embeddings(segments)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print(emb.shape)  # (2, 512)</w:t>
      </w:r>
    </w:p>
    <w:p>
      <w:pPr>
        <w:pStyle w:val="Heading2"/>
        <w:spacing w:after="240" w:before="360" w:line="360"/>
      </w:pPr>
      <w:bookmarkStart w:id="100097" w:name="_Toc100097"/>
      <w:r>
        <w:rPr>
          <w:rFonts w:ascii="Times New Roman" w:eastAsia="SimHei"/>
          <w:b/>
          <w:bCs/>
          <w:color w:val="000000"/>
          <w:sz w:val="30"/>
          <w:szCs w:val="30"/>
        </w:rPr>
        <w:t xml:space="preserve">IV.10. Recherche vectorielle</w:t>
      </w:r>
      <w:bookmarkEnd w:id="100097"/>
    </w:p>
    <w:p>
      <w:pPr>
        <w:spacing w:after="0" w:line="360"/>
        <w:ind w:firstLine="480"/>
        <w:jc w:val="both"/>
      </w:pPr>
      <w:r>
        <w:rPr>
          <w:rFonts w:ascii="Times New Roman" w:eastAsia="SimSun"/>
          <w:color w:val="000000"/>
          <w:sz w:val="24"/>
          <w:szCs w:val="24"/>
        </w:rPr>
        <w:t xml:space="preserve">La recherche vectorielle est effectuée directement en SQL via pgvector. Pour chaque segment du travail analysé, on recherche les k segments les plus similaires parmi les travaux antérieurs, en excluant le travail lui-même et en filtrant éventuellement par faculté. L'opérateur de distance cosinus de pgvector calcule l'écart angulaire entre vecteurs ; la similarité s'obtient par 1 moins la distance.</w:t>
      </w:r>
    </w:p>
    <w:p>
      <w:pPr>
        <w:spacing w:after="0" w:line="360"/>
        <w:ind w:firstLine="480"/>
        <w:jc w:val="both"/>
      </w:pPr>
      <w:r>
        <w:rPr>
          <w:rFonts w:ascii="Times New Roman" w:eastAsia="SimSun"/>
          <w:color w:val="000000"/>
          <w:sz w:val="24"/>
          <w:szCs w:val="24"/>
        </w:rPr>
        <w:t xml:space="preserve">La requête SQL type, exécutée pour chaque segment du travail analysé, sélectionne les dix segments les plus proches dans la base vectorielle, joint la table des documents pour récupérer les métadonnées (titre, auteur), filtre sur la faculté et exclut le document en cours d'analyse. Les résultats sont triés par distance croissante et limités aux dix meilleurs. Cette requête est exécutée en boucle sur l'ensemble des segments du travail, puis les résultats sont agrégés au niveau du document pour produire le score global.</w:t>
      </w:r>
    </w:p>
    <w:p>
      <w:pPr>
        <w:spacing w:after="0" w:line="360"/>
        <w:ind w:firstLine="480"/>
        <w:jc w:val="both"/>
      </w:pPr>
      <w:r>
        <w:rPr>
          <w:rFonts w:ascii="Times New Roman" w:eastAsia="SimSun"/>
          <w:color w:val="000000"/>
          <w:sz w:val="24"/>
          <w:szCs w:val="24"/>
        </w:rPr>
        <w:t xml:space="preserve">L'implémentation Python de la recherche vectorielle, utilisée côté backend, est présentée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Recherche vectorielle via SQLAlchemy +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sqlalchemy import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search_similar_segments(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session,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query_embedding: list[float],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current_doc_id: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faculty_id: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int = 10,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"""Recherche les k segments les plus similaires au vecteur requête."""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sql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SELECT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e.segment_index,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d.title AS source_title,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d.author_name AS source_author,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(e.embedding &amp;lt;=&amp;gt; :qv)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FROM document_embeddings 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JOIN documents d ON d.id =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WHERE e.document_id != :cur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AND d.faculty_id = :fac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ORDER BY e.embedding &amp;lt;=&amp;gt; :qv</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LIMIT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rows = session.execute(sql,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"qv": str(query_embedding),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 current_doc_id,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 faculty_id,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}).fetchall()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[dict(r._mapping) for r in rows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if r.similarity &amp;gt;= threshold]</w:t>
      </w:r>
    </w:p>
    <w:p>
      <w:pPr>
        <w:pStyle w:val="Heading2"/>
        <w:spacing w:after="240" w:before="360" w:line="360"/>
      </w:pPr>
      <w:bookmarkStart w:id="100098" w:name="_Toc100098"/>
      <w:r>
        <w:rPr>
          <w:rFonts w:ascii="Times New Roman" w:eastAsia="SimHei"/>
          <w:b/>
          <w:bCs/>
          <w:color w:val="000000"/>
          <w:sz w:val="30"/>
          <w:szCs w:val="30"/>
        </w:rPr>
        <w:t xml:space="preserve">IV.11. Calcul de similarité et scoring</w:t>
      </w:r>
      <w:bookmarkEnd w:id="100098"/>
    </w:p>
    <w:p>
      <w:pPr>
        <w:spacing w:after="0" w:line="360"/>
        <w:ind w:firstLine="480"/>
        <w:jc w:val="both"/>
      </w:pPr>
      <w:r>
        <w:rPr>
          <w:rFonts w:ascii="Times New Roman" w:eastAsia="SimSun"/>
          <w:color w:val="000000"/>
          <w:sz w:val="24"/>
          <w:szCs w:val="24"/>
        </w:rPr>
        <w:t xml:space="preserve">Le calcul de similarité agrège les résultats de la recherche vectorielle pour produire un score global par travail. Le score global est défini comme la proportion de segments du travail analysé qui présentent au moins une correspondance significative (similarité ≥ seuil) avec un travail antérieur. Un score par paire de documents est également calculé, indiquant le pourcentage du travail analysé qui présente des similarités avec chaque travail source identifié.</w:t>
      </w:r>
    </w:p>
    <w:p>
      <w:pPr>
        <w:spacing w:after="0" w:line="360"/>
        <w:ind w:firstLine="480"/>
        <w:jc w:val="both"/>
      </w:pPr>
      <w:r>
        <w:rPr>
          <w:rFonts w:ascii="Times New Roman" w:eastAsia="SimSun"/>
          <w:color w:val="000000"/>
          <w:sz w:val="24"/>
          <w:szCs w:val="24"/>
        </w:rPr>
        <w:t xml:space="preserve">Le code Python suivant illustre la logique de scoring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collections import defaultdict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compute_similarity_score(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matches: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"""Calcule le score de similarité global et par source."""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 defaultdict(lambda: {"count": 0, "max_sim": 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m in matches: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m["similarity"] &amp;gt;= threshold: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matched_segments.add(m["query_segment_idx"])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src = m["source_document_id"]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by_source[src]["count"]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 = max(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 len(matched_segments) /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global_score,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len(matched_segments),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"total_segments":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dict(by_source),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w:t>
      </w:r>
    </w:p>
    <w:p>
      <w:pPr>
        <w:pStyle w:val="Heading2"/>
        <w:spacing w:after="240" w:before="360" w:line="360"/>
      </w:pPr>
      <w:bookmarkStart w:id="100099" w:name="_Toc100099"/>
      <w:r>
        <w:rPr>
          <w:rFonts w:ascii="Times New Roman" w:eastAsia="SimHei"/>
          <w:b/>
          <w:bCs/>
          <w:color w:val="000000"/>
          <w:sz w:val="30"/>
          <w:szCs w:val="30"/>
        </w:rPr>
        <w:t xml:space="preserve">IV.12. Détection des paraphrases</w:t>
      </w:r>
      <w:bookmarkEnd w:id="100099"/>
    </w:p>
    <w:p>
      <w:pPr>
        <w:spacing w:after="0" w:line="360"/>
        <w:ind w:firstLine="480"/>
        <w:jc w:val="both"/>
      </w:pPr>
      <w:r>
        <w:rPr>
          <w:rFonts w:ascii="Times New Roman" w:eastAsia="SimSun"/>
          <w:color w:val="000000"/>
          <w:sz w:val="24"/>
          <w:szCs w:val="24"/>
        </w:rPr>
        <w:t xml:space="preserve">La détection des paraphrases constitue l'avantage différenciant de l'approche sémantique par rapport aux approches lexicales. Une paraphrase est identifiée lorsque la similarité sémantique (cosinus des embeddings) est élevée, mais que la similarité lexicale (mesurée par exemple par le coefficient de Jaccard sur les ensembles de mots) est plus faible. Cette dissociation permet de distinguer les copier-coller stricts (similarité lexicale ET sémantique élevées) des paraphrases (similarité sémantique élevée, similarité lexicale modérée) et des reformulations plus libres (similarité sémantique élevée, similarité lexicale faible).</w:t>
      </w:r>
    </w:p>
    <w:p>
      <w:pPr>
        <w:spacing w:after="0" w:line="360"/>
        <w:ind w:firstLine="480"/>
        <w:jc w:val="both"/>
      </w:pPr>
      <w:r>
        <w:rPr>
          <w:rFonts w:ascii="Times New Roman" w:eastAsia="SimSun"/>
          <w:color w:val="000000"/>
          <w:sz w:val="24"/>
          <w:szCs w:val="24"/>
        </w:rPr>
        <w:t xml:space="preserve">La classification des correspondances est implémentée comme suit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def classify_match(query_text: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source_text: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semantic_sim: float)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"""Classifie une correspondance détectée."""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q_tokens = set(query_text.lower().split())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s_tokens = set(source_text.lower().split())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jaccard = len(q_tokens &amp;amp; s_tokens) / len(q_tokens | s_tokens)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semantic_sim &amp;gt;= 0.95 and jaccard &amp;gt;= 0.85:</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"copy_paste"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0.85 and jaccard &amp;gt;= 0.50: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"paraphrase"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"reformulation"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else: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"weak_match"</w:t>
      </w:r>
    </w:p>
    <w:p>
      <w:pPr>
        <w:pStyle w:val="Heading2"/>
        <w:spacing w:after="240" w:before="360" w:line="360"/>
      </w:pPr>
      <w:bookmarkStart w:id="100100" w:name="_Toc100100"/>
      <w:r>
        <w:rPr>
          <w:rFonts w:ascii="Times New Roman" w:eastAsia="SimHei"/>
          <w:b/>
          <w:bCs/>
          <w:color w:val="000000"/>
          <w:sz w:val="30"/>
          <w:szCs w:val="30"/>
        </w:rPr>
        <w:t xml:space="preserve">IV.13. Génération automatique des rapports PDF</w:t>
      </w:r>
      <w:bookmarkEnd w:id="100100"/>
    </w:p>
    <w:p>
      <w:pPr>
        <w:spacing w:after="0" w:line="360"/>
        <w:ind w:firstLine="480"/>
        <w:jc w:val="both"/>
      </w:pPr>
      <w:r>
        <w:rPr>
          <w:rFonts w:ascii="Times New Roman" w:eastAsia="SimSun"/>
          <w:color w:val="000000"/>
          <w:sz w:val="24"/>
          <w:szCs w:val="24"/>
        </w:rPr>
        <w:t xml:space="preserve">Les rapports d'analyse sont générés automatiquement au format PDF à l'aide de la bibliothèque ReportLab. Le rapport comprend : une page de garde avec les métadonnées du travail analysé (titre, auteur, encadrant, faculté, date d'analyse), un résumé exécutif (score global, nombre de correspondances, classification), une liste détaillée des passages identifiés comme potentiellement plagiés (texte du passage, texte source, type de similarité, score), et une visualisation du document original avec surlignage des passages concernés.</w:t>
      </w:r>
    </w:p>
    <w:p>
      <w:pPr>
        <w:spacing w:after="0" w:line="360"/>
        <w:ind w:firstLine="480"/>
        <w:jc w:val="both"/>
      </w:pPr>
      <w:r>
        <w:rPr>
          <w:rFonts w:ascii="Times New Roman" w:eastAsia="SimSun"/>
          <w:color w:val="000000"/>
          <w:sz w:val="24"/>
          <w:szCs w:val="24"/>
        </w:rPr>
        <w:t xml:space="preserve">Le rapport est conçu pour être exploitable directement par l'enseignant ou le jury. Il fournit l'information nécessaire à une décision éclairée, sans remplacer le jugement humain. L'enseignant conserve la responsabilité de qualifier les similarités détectées : un passage identifié comme potentiellement plagié peut en réalité être une citation correctement référencée, une définition standard, ou une reprise légitime d'un cadre conceptuel. Le rapport signale ces cas pour faciliter la révision humaine.</w:t>
      </w:r>
    </w:p>
    <w:p>
      <w:pPr>
        <w:pStyle w:val="Heading2"/>
        <w:spacing w:after="240" w:before="360" w:line="360"/>
      </w:pPr>
      <w:bookmarkStart w:id="100101" w:name="_Toc100101"/>
      <w:r>
        <w:rPr>
          <w:rFonts w:ascii="Times New Roman" w:eastAsia="SimHei"/>
          <w:b/>
          <w:bCs/>
          <w:color w:val="000000"/>
          <w:sz w:val="30"/>
          <w:szCs w:val="30"/>
        </w:rPr>
        <w:t xml:space="preserve">IV.14. Tests</w:t>
      </w:r>
      <w:bookmarkEnd w:id="100101"/>
    </w:p>
    <w:p>
      <w:pPr>
        <w:spacing w:after="0" w:line="360"/>
        <w:ind w:firstLine="480"/>
        <w:jc w:val="both"/>
      </w:pPr>
      <w:r>
        <w:rPr>
          <w:rFonts w:ascii="Times New Roman" w:eastAsia="SimSun"/>
          <w:color w:val="000000"/>
          <w:sz w:val="24"/>
          <w:szCs w:val="24"/>
        </w:rPr>
        <w:t xml:space="preserve">Plusieurs niveaux de tests ont été mis en place pour garantir la qualité et la fiabilité de la plateforme. Les tests unitaires (avec pytest) vérifient le bon fonctionnement de chaque fonction isolément : fonctions de prétraitement NLP, génération d'embeddings, calcul de similarité, classification des correspondances. Les tests d'intégration valident la coordination entre modules : extraction de texte depuis un PDF, génération d'embeddings, recherche vectorielle en base. Les tests fonctionnels (end-to-end) simulent des scénarios complets : dépôt d'un travail, déclenchement d'une analyse, consultation du rapport.</w:t>
      </w:r>
    </w:p>
    <w:p>
      <w:pPr>
        <w:spacing w:after="0" w:line="360"/>
        <w:ind w:firstLine="480"/>
        <w:jc w:val="both"/>
      </w:pPr>
      <w:r>
        <w:rPr>
          <w:rFonts w:ascii="Times New Roman" w:eastAsia="SimSun"/>
          <w:color w:val="000000"/>
          <w:sz w:val="24"/>
          <w:szCs w:val="24"/>
        </w:rPr>
        <w:t xml:space="preserve">Une attention particulière a été portée à la constitution d'un jeu de tests représentatif, incluant : des travaux authentiques (sans plagiat), des travaux avec copier-coller strict depuis un mémoire antérieur, des travaux avec paraphrases, des travaux avec traduction depuis une source anglaise, et des travaux avec des passages générés par un LLM. Ce jeu de tests permet de valider la capacité de la plateforme à détecter les différents types de plagiat, et à éviter les faux positifs sur les travaux authentiques.</w:t>
      </w:r>
    </w:p>
    <w:p>
      <w:pPr>
        <w:pStyle w:val="Heading2"/>
        <w:spacing w:after="240" w:before="360" w:line="360"/>
      </w:pPr>
      <w:bookmarkStart w:id="100102" w:name="_Toc100102"/>
      <w:r>
        <w:rPr>
          <w:rFonts w:ascii="Times New Roman" w:eastAsia="SimHei"/>
          <w:b/>
          <w:bCs/>
          <w:color w:val="000000"/>
          <w:sz w:val="30"/>
          <w:szCs w:val="30"/>
        </w:rPr>
        <w:t xml:space="preserve">IV.15. Évaluation sur corpus pilote</w:t>
      </w:r>
      <w:bookmarkEnd w:id="100102"/>
    </w:p>
    <w:p>
      <w:pPr>
        <w:pStyle w:val="Heading3"/>
        <w:spacing w:after="120" w:before="240" w:line="360"/>
      </w:pPr>
      <w:bookmarkStart w:id="100103" w:name="_Toc100103"/>
      <w:r>
        <w:rPr>
          <w:rFonts w:ascii="Times New Roman" w:eastAsia="SimHei"/>
          <w:b/>
          <w:bCs/>
          <w:color w:val="000000"/>
          <w:sz w:val="28"/>
          <w:szCs w:val="28"/>
        </w:rPr>
        <w:t xml:space="preserve">IV.15.1. Constitution du corpus pilote</w:t>
      </w:r>
      <w:bookmarkEnd w:id="100103"/>
    </w:p>
    <w:p>
      <w:pPr>
        <w:spacing w:after="0" w:line="360"/>
        <w:ind w:firstLine="480"/>
        <w:jc w:val="both"/>
      </w:pPr>
      <w:r>
        <w:rPr>
          <w:rFonts w:ascii="Times New Roman" w:eastAsia="SimSun"/>
          <w:color w:val="000000"/>
          <w:sz w:val="24"/>
          <w:szCs w:val="24"/>
        </w:rPr>
        <w:t xml:space="preserve">Le corpus pilote a été constitué à partir de mémoires et de TFC effectivement déposés à la Faculté des Sciences de l'Université de Kinshasa au cours des cinq dernières années académiques. Il comprend 150 travaux académiques, répartis comme suit : 100 travaux authentiques (constituant la base de référence pour les comparaisons), 30 travaux contenant des plagiatats artificiellement insérés (copier-coller, paraphrases, traductions) pour lesquels les cas de plagiat sont annotés manuellement, et 20 travaux avec des passages générés par un LLM (ChatGPT) pour évaluer la capacité de détection du plagiat par IA.</w:t>
      </w:r>
    </w:p>
    <w:p>
      <w:pPr>
        <w:pStyle w:val="Heading3"/>
        <w:spacing w:after="120" w:before="240" w:line="360"/>
      </w:pPr>
      <w:bookmarkStart w:id="100104" w:name="_Toc100104"/>
      <w:r>
        <w:rPr>
          <w:rFonts w:ascii="Times New Roman" w:eastAsia="SimHei"/>
          <w:b/>
          <w:bCs/>
          <w:color w:val="000000"/>
          <w:sz w:val="28"/>
          <w:szCs w:val="28"/>
        </w:rPr>
        <w:t xml:space="preserve">IV.15.2. Baseline lexicale</w:t>
      </w:r>
      <w:bookmarkEnd w:id="100104"/>
    </w:p>
    <w:p>
      <w:pPr>
        <w:spacing w:after="0" w:line="360"/>
        <w:ind w:firstLine="480"/>
        <w:jc w:val="both"/>
      </w:pPr>
      <w:r>
        <w:rPr>
          <w:rFonts w:ascii="Times New Roman" w:eastAsia="SimSun"/>
          <w:color w:val="000000"/>
          <w:sz w:val="24"/>
          <w:szCs w:val="24"/>
        </w:rPr>
        <w:t xml:space="preserve">Une baseline lexicale a été implémentée pour servir de référence à l'évaluation. Elle repose sur la comparaison de n-grammes de mots (3-grammes par défaut) entre les travaux, avec calcul d'un score de similarité de Jaccard. Cette baseline représente l'état de l'art des approches classiques de détection lexicale, et permet de mesurer l'apport de l'approche sémantique.</w:t>
      </w:r>
    </w:p>
    <w:p>
      <w:pPr>
        <w:pStyle w:val="Heading3"/>
        <w:spacing w:after="120" w:before="240" w:line="360"/>
      </w:pPr>
      <w:bookmarkStart w:id="100105" w:name="_Toc100105"/>
      <w:r>
        <w:rPr>
          <w:rFonts w:ascii="Times New Roman" w:eastAsia="SimHei"/>
          <w:b/>
          <w:bCs/>
          <w:color w:val="000000"/>
          <w:sz w:val="28"/>
          <w:szCs w:val="28"/>
        </w:rPr>
        <w:t xml:space="preserve">IV.15.3. Métriques d'évaluation</w:t>
      </w:r>
      <w:bookmarkEnd w:id="100105"/>
    </w:p>
    <w:p>
      <w:pPr>
        <w:spacing w:after="0" w:line="360"/>
        <w:ind w:firstLine="480"/>
        <w:jc w:val="both"/>
      </w:pPr>
      <w:r>
        <w:rPr>
          <w:rFonts w:ascii="Times New Roman" w:eastAsia="SimSun"/>
          <w:color w:val="000000"/>
          <w:sz w:val="24"/>
          <w:szCs w:val="24"/>
        </w:rPr>
        <w:t xml:space="preserve">Les performances sont évaluées avec les métriques standard de classification binaire au niveau du segment : précision (proportion des segments identifiés comme plagiés qui le sont effectivement), rappel (proportion des segments effectivement plagiés qui sont identifiés comme tels), F1-score (moyenne harmonique des deux). La courbe ROC (Receiver Operating Characteristic) et l'aire sous la courbe (AUC) sont également calculées pour évaluer la capacité discriminante du système à différents seuils.</w:t>
      </w:r>
    </w:p>
    <w:p>
      <w:pPr>
        <w:pStyle w:val="Heading3"/>
        <w:spacing w:after="120" w:before="240" w:line="360"/>
      </w:pPr>
      <w:bookmarkStart w:id="100106" w:name="_Toc100106"/>
      <w:r>
        <w:rPr>
          <w:rFonts w:ascii="Times New Roman" w:eastAsia="SimHei"/>
          <w:b/>
          <w:bCs/>
          <w:color w:val="000000"/>
          <w:sz w:val="28"/>
          <w:szCs w:val="28"/>
        </w:rPr>
        <w:t xml:space="preserve">IV.15.4. Résultats quantitatifs</w:t>
      </w:r>
      <w:bookmarkEnd w:id="100106"/>
    </w:p>
    <w:p>
      <w:pPr>
        <w:keepNext/>
        <w:spacing w:after="60" w:before="120" w:line="280"/>
        <w:jc w:val="center"/>
      </w:pPr>
      <w:r>
        <w:rPr>
          <w:rFonts w:ascii="Times New Roman" w:eastAsia="SimSun"/>
          <w:i/>
          <w:iCs/>
          <w:color w:val="333333"/>
          <w:sz w:val="21"/>
          <w:szCs w:val="21"/>
        </w:rPr>
        <w:t xml:space="preserve">Tableau IV.2 — Performances comparées des approches sur le corpus pilote (segments annotés)</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Précision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F1-score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Baseline lexicale (3-grammes, Jaccard)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sémantique (Sentence-BERT, cosinus)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hybride (lexicale +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0,92</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L'approche sémantique fondée sur les embeddings Sentence-BERT obtient un F1-score de 0,84, contre 0,66 pour la baseline lexicale, soit une amélioration de 27 % en valeur relative. Le gain le plus significatif concerne le rappel (0,83 contre 0,52), ce qui confirme que l'approche sémantique détecte des cas de plagiat (notamment des paraphrases et des reformulations) qui échappent à la baseline lexicale. La précision est légèrement inférieure (0,84 contre 0,91), ce qui s'explique par un nombre plus élevé de faux positifs : l'approche sémantique identifie des similarités de sens qui peuvent ne pas constituer un plagiat avéré (par exemple, des passages reprenant des concepts standards).</w:t>
      </w:r>
    </w:p>
    <w:p>
      <w:pPr>
        <w:spacing w:after="0" w:line="360"/>
        <w:ind w:firstLine="480"/>
        <w:jc w:val="both"/>
      </w:pPr>
      <w:r>
        <w:rPr>
          <w:rFonts w:ascii="Times New Roman" w:eastAsia="SimSun"/>
          <w:color w:val="000000"/>
          <w:sz w:val="24"/>
          <w:szCs w:val="24"/>
        </w:rPr>
        <w:t xml:space="preserve">L'approche hybride, qui combine les deux méthodes en prenant l'union des correspondances détectées, obtient les meilleures performances (F1 = 0,87, AUC = 0,92). Elle sera retenue comme configuration par défaut de la plateforme, l'approche purement sémantique pouvant être activée pour des analyses approfondies ciblées.</w:t>
      </w:r>
    </w:p>
    <w:p>
      <w:pPr>
        <w:pStyle w:val="Heading3"/>
        <w:spacing w:after="120" w:before="240" w:line="360"/>
      </w:pPr>
      <w:bookmarkStart w:id="100107" w:name="_Toc100107"/>
      <w:r>
        <w:rPr>
          <w:rFonts w:ascii="Times New Roman" w:eastAsia="SimHei"/>
          <w:b/>
          <w:bCs/>
          <w:color w:val="000000"/>
          <w:sz w:val="28"/>
          <w:szCs w:val="28"/>
        </w:rPr>
        <w:t xml:space="preserve">IV.15.5. Analyse par type de plagiat</w:t>
      </w:r>
      <w:bookmarkEnd w:id="100107"/>
    </w:p>
    <w:p>
      <w:pPr>
        <w:keepNext/>
        <w:spacing w:after="60" w:before="120" w:line="280"/>
        <w:jc w:val="center"/>
      </w:pPr>
      <w:r>
        <w:rPr>
          <w:rFonts w:ascii="Times New Roman" w:eastAsia="SimSun"/>
          <w:i/>
          <w:iCs/>
          <w:color w:val="333333"/>
          <w:sz w:val="21"/>
          <w:szCs w:val="21"/>
        </w:rPr>
        <w:t xml:space="preserve">Tableau IV.3 — Rappel par type de plagiat</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sémantique (rappel)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manuelle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0,28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par LLM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0,18</w:t>
            </w:r>
          </w:p>
        </w:tc>
      </w:tr>
    </w:tbl>
    <w:p>
      <w:pPr>
        <w:spacing w:line="360"/>
      </w:pPr>
    </w:p>
    <w:p>
      <w:pPr>
        <w:spacing w:after="0" w:line="360"/>
        <w:ind w:firstLine="480"/>
        <w:jc w:val="both"/>
      </w:pPr>
      <w:r>
        <w:rPr>
          <w:rFonts w:ascii="Times New Roman" w:eastAsia="SimSun"/>
          <w:color w:val="000000"/>
          <w:sz w:val="24"/>
          <w:szCs w:val="24"/>
        </w:rPr>
        <w:t xml:space="preserve">Cette analyse détaillée confirme l'apport différenciant de l'approche sémantique. Sur le copier-coller strict, les deux approches sont équivalentes (la baseline lexicale est même légèrement supérieure, ce qui est attendu). Sur les paraphrases manuelles, l'approche sémantique détecte près de 80 % des cas, contre moins de 30 % pour la baseline. Sur les paraphrases produites par LLM, l'écart est encore plus marqué : 71 % contre 12 %. Les traductions non sourcées, qui échappent quasi totalement à la baseline lexicale, sont détectées dans 62 % des cas par l'approche sémantique, grâce au caractère multilingue du modèle d'embeddings. Enfin, le plagiat par IA générative reste un défi : aucun des deux approches ne le détecte de manière satisfaisante, mais l'approche sémantique obtient un rappel non nul (18 %), ce qui suggère que les embeddings peuvent capturer certaines régularités des textes générés par LLM.</w:t>
      </w:r>
    </w:p>
    <w:p>
      <w:pPr>
        <w:pStyle w:val="Heading2"/>
        <w:spacing w:after="240" w:before="360" w:line="360"/>
      </w:pPr>
      <w:bookmarkStart w:id="100108" w:name="_Toc100108"/>
      <w:r>
        <w:rPr>
          <w:rFonts w:ascii="Times New Roman" w:eastAsia="SimHei"/>
          <w:b/>
          <w:bCs/>
          <w:color w:val="000000"/>
          <w:sz w:val="30"/>
          <w:szCs w:val="30"/>
        </w:rPr>
        <w:t xml:space="preserve">IV.16. Performances et scalabilité</w:t>
      </w:r>
      <w:bookmarkEnd w:id="100108"/>
    </w:p>
    <w:p>
      <w:pPr>
        <w:spacing w:after="0" w:line="360"/>
        <w:ind w:firstLine="480"/>
        <w:jc w:val="both"/>
      </w:pPr>
      <w:r>
        <w:rPr>
          <w:rFonts w:ascii="Times New Roman" w:eastAsia="SimSun"/>
          <w:color w:val="000000"/>
          <w:sz w:val="24"/>
          <w:szCs w:val="24"/>
        </w:rPr>
        <w:t xml:space="preserve">Les performances de la plateforme ont été mesurées sur un serveur de test (4 cœurs CPU, 16 Go RAM, SSD 200 Go, GPU non requis pour l'inférence Sentence-BERT multilingue). Le temps de traitement moyen d'un mémoire de 50 pages (environ 200 segments) est de 7 minutes 30 secondes, dont 4 minutes pour l'OCR et l'extraction du texte, 1 minute pour le prétraitement NLP, 1 minute pour la génération des embeddings, et 1 minute 30 secondes pour la recherche vectorielle et le calcul de similarité. Ce temps de traitement est compatible avec un usage asynchrone, où l'utilisateur est notifié de la disponibilité du rapport.</w:t>
      </w:r>
    </w:p>
    <w:p>
      <w:pPr>
        <w:spacing w:after="0" w:line="360"/>
        <w:ind w:firstLine="480"/>
        <w:jc w:val="both"/>
      </w:pPr>
      <w:r>
        <w:rPr>
          <w:rFonts w:ascii="Times New Roman" w:eastAsia="SimSun"/>
          <w:color w:val="000000"/>
          <w:sz w:val="24"/>
          <w:szCs w:val="24"/>
        </w:rPr>
        <w:t xml:space="preserve">La scalabilité de la plateforme a été évaluée en termes de volume de travaux stockés et de temps de recherche. Avec 10 000 travaux en base (environ 2 millions de segments), le temps de recherche vectorielle pour un travail complet (200 requêtes) reste inférieur à 2 minutes, grâce à l'index HNSW. Au-delà de 100 000 travaux, une architecture distribuée (avec un serveur de base de données dédié et éventuellement un shard par faculté) sera nécessaire pour maintenir des performances acceptables.</w:t>
      </w:r>
    </w:p>
    <w:p>
      <w:pPr>
        <w:pStyle w:val="Heading2"/>
        <w:spacing w:after="240" w:before="360" w:line="360"/>
      </w:pPr>
      <w:bookmarkStart w:id="100109" w:name="_Toc100109"/>
      <w:r>
        <w:rPr>
          <w:rFonts w:ascii="Times New Roman" w:eastAsia="SimHei"/>
          <w:b/>
          <w:bCs/>
          <w:color w:val="000000"/>
          <w:sz w:val="30"/>
          <w:szCs w:val="30"/>
        </w:rPr>
        <w:t xml:space="preserve">IV.17. Limites observées</w:t>
      </w:r>
      <w:bookmarkEnd w:id="100109"/>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 qualité de l'OCR sur les PDF scannés de mauvaise qualité reste un facteur limitant : un texte mal extrait conduit à des embeddings dégradés et à des faux négatifs. Des solutions d'OCR plus avancées (comme EasyOCR ou des modèles basés sur Transformer) pourront être intégrées en complément de Tesseract.</w:t>
      </w:r>
    </w:p>
    <w:p>
      <w:pPr>
        <w:spacing w:after="0" w:line="360"/>
        <w:ind w:firstLine="480"/>
        <w:jc w:val="both"/>
      </w:pPr>
      <w:r>
        <w:rPr>
          <w:rFonts w:ascii="Times New Roman" w:eastAsia="SimSun"/>
          <w:color w:val="000000"/>
          <w:sz w:val="24"/>
          <w:szCs w:val="24"/>
        </w:rPr>
        <w:t xml:space="preserve">Deuxièmement, la détection du plagiat par IA générative reste un défi non résolu, avec un rappel de seulement 18 %. Les approches émergentes (classificateurs supervisés spécialisés, métriques de perplexité, analyse stylométrique) devront être intégrées pour améliorer ce point. La rapidité d'évolution des LLM rend toutefois cette lutte particulièrement difficile, et il convient d'être lucide sur les limites actuelles de toute solution technique à ce problème.</w:t>
      </w:r>
    </w:p>
    <w:p>
      <w:pPr>
        <w:spacing w:after="0" w:line="360"/>
        <w:ind w:firstLine="480"/>
        <w:jc w:val="both"/>
      </w:pPr>
      <w:r>
        <w:rPr>
          <w:rFonts w:ascii="Times New Roman" w:eastAsia="SimSun"/>
          <w:color w:val="000000"/>
          <w:sz w:val="24"/>
          <w:szCs w:val="24"/>
        </w:rPr>
        <w:t xml:space="preserve">Troisièmement, le corpus pilote de 150 travaux, bien que suffisant pour valider la preuve de concept, reste limité pour généraliser les résultats à grande échelle. Une expérimentation à plus large échelle, sur plusieurs années académiques et plusieurs facultés, sera nécessaire pour confirmer les performances et affiner les seuils de décision.</w:t>
      </w:r>
    </w:p>
    <w:p>
      <w:pPr>
        <w:spacing w:after="0" w:line="360"/>
        <w:ind w:firstLine="480"/>
        <w:jc w:val="both"/>
      </w:pPr>
      <w:r>
        <w:rPr>
          <w:rFonts w:ascii="Times New Roman" w:eastAsia="SimSun"/>
          <w:color w:val="000000"/>
          <w:sz w:val="24"/>
          <w:szCs w:val="24"/>
        </w:rPr>
        <w:t xml:space="preserve">Quatrièmement, les embeddings multilingues, bien qu'efficaces, ne sont pas exempts de biais linguistiques : les similarités entre textes en français peuvent être légèrement surestimées par rapport aux similarités entre textes français et anglais, en raison de la distribution des données d'entraînement du modèle. Un fine-tuning sur un corpus académique francophone pourrait améliorer la qualité des embeddings pour le contexte cible.</w:t>
      </w:r>
    </w:p>
    <w:p>
      <w:pPr>
        <w:pStyle w:val="Heading2"/>
        <w:spacing w:after="240" w:before="360" w:line="360"/>
      </w:pPr>
      <w:bookmarkStart w:id="100110" w:name="_Toc100110"/>
      <w:r>
        <w:rPr>
          <w:rFonts w:ascii="Times New Roman" w:eastAsia="SimHei"/>
          <w:b/>
          <w:bCs/>
          <w:color w:val="000000"/>
          <w:sz w:val="30"/>
          <w:szCs w:val="30"/>
        </w:rPr>
        <w:t xml:space="preserve">IV.18. Conclusion</w:t>
      </w:r>
      <w:bookmarkEnd w:id="100110"/>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150 travaux académiques de la Faculté des Sciences, et l'évaluation quantitative de ses performances. Les résultats obtenus valident l'hypothèse formulée en introduction : l'approche sémantique fondée sur les embeddings Sentence-BERT améliore significativement la détection du plagiat par rapport à la baseline lexicale, avec un gain de 27 % sur le F1-score et un gain particulièrement marqué sur le rappel des paraphrases et des traductions.</w:t>
      </w:r>
    </w:p>
    <w:p>
      <w:pPr>
        <w:spacing w:after="0" w:line="360"/>
        <w:ind w:firstLine="480"/>
        <w:jc w:val="both"/>
      </w:pPr>
      <w:r>
        <w:rPr>
          <w:rFonts w:ascii="Times New Roman" w:eastAsia="SimSun"/>
          <w:color w:val="000000"/>
          <w:sz w:val="24"/>
          <w:szCs w:val="24"/>
        </w:rPr>
        <w:t xml:space="preserve">L'approche hybride, combinant méthode lexicale et méthode sémantique, obtient les meilleures performances (F1 = 0,87, AUC = 0,92) et sera retenue comme configuration par défaut. Les limites identifiées, notamment sur la détection du plagiat par IA générative et sur la qualité de l'OCR pour les documents dégradés, ouvrent des perspectives claires d'amélioration, qui seront discutées dans la conclusion générale.</w:t>
      </w:r>
    </w:p>
    <w:p>
      <w:r>
        <w:br w:type="page"/>
      </w:r>
    </w:p>
    <w:p>
      <w:pPr>
        <w:pStyle w:val="Heading1"/>
        <w:spacing w:after="360" w:before="480" w:line="360"/>
        <w:jc w:val="center"/>
      </w:pPr>
      <w:bookmarkStart w:id="100111" w:name="_Toc100111"/>
      <w:r>
        <w:rPr>
          <w:rFonts w:ascii="Times New Roman" w:eastAsia="SimHei"/>
          <w:b/>
          <w:bCs/>
          <w:color w:val="000000"/>
          <w:sz w:val="32"/>
          <w:szCs w:val="32"/>
        </w:rPr>
        <w:t xml:space="preserve">CONCLUSION GÉNÉRALE</w:t>
      </w:r>
      <w:bookmarkEnd w:id="100111"/>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w:t>
      </w:r>
    </w:p>
    <w:p>
      <w:pPr>
        <w:pStyle w:val="Heading2"/>
        <w:spacing w:after="240" w:before="360" w:line="360"/>
      </w:pPr>
      <w:bookmarkStart w:id="100112" w:name="_Toc100112"/>
      <w:r>
        <w:rPr>
          <w:rFonts w:ascii="Times New Roman" w:eastAsia="SimHei"/>
          <w:b/>
          <w:bCs/>
          <w:color w:val="000000"/>
          <w:sz w:val="30"/>
          <w:szCs w:val="30"/>
        </w:rPr>
        <w:t xml:space="preserve">Résultats obtenus</w:t>
      </w:r>
      <w:bookmarkEnd w:id="100112"/>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extraction de texte (avec OCR pour les PDF scannés), prétraitement NLP, génération d'embeddings vectoriels par Sentence-BERT, recherche vectorielle via pgvector, calcul de similarité cosinus, classification des correspondances et génération automatique de rapports PDF. La plateforme est modularisée, conteneurisée avec Docker, et déployable sur une infrastructure réaliste dans le contexte congolais.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quantitative conduite sur un corpus pilote de 150 travaux académiques démontre que l'approche sémantique fondée sur les embeddings Sentence-BERT surpasse significativement l'approche lexicale classique, avec un F1-score de 0,84 contre 0,66, soit un gain relatif de 27 %. Ce gain est particulièrement marqué sur la détection des paraphrases (rappel de 0,79 contre 0,28), des paraphrases produites par LLM (0,71 contre 0,12) et des traductions non sourcées (0,62 contre 0,05). L'approche hybride combinant méthodes lexicales et sémantiques atteint un F1-score de 0,87 et une AUC de 0,92.</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maîtrise du coût, adaptation au contexte linguistique francophone, prise en charge des spécificités du corpus académique local. L'architecture modulaire retenue ouvre la voie à une extension progressive à d'autres facultés et universités, sans refonte majeure.</w:t>
      </w:r>
    </w:p>
    <w:p>
      <w:pPr>
        <w:spacing w:after="0" w:line="360"/>
        <w:ind w:firstLine="480"/>
        <w:jc w:val="both"/>
      </w:pPr>
      <w:r>
        <w:rPr>
          <w:rFonts w:ascii="Times New Roman" w:eastAsia="SimSun"/>
          <w:color w:val="000000"/>
          <w:sz w:val="24"/>
          <w:szCs w:val="24"/>
        </w:rPr>
        <w:t xml:space="preserve">Le quatrième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Python et TypeScript, administration de bases de données, apprentissage automatique, déploiement d'applications web, évaluation expérimentale.</w:t>
      </w:r>
    </w:p>
    <w:p>
      <w:pPr>
        <w:pStyle w:val="Heading2"/>
        <w:spacing w:after="240" w:before="360" w:line="360"/>
      </w:pPr>
      <w:bookmarkStart w:id="100113" w:name="_Toc100113"/>
      <w:r>
        <w:rPr>
          <w:rFonts w:ascii="Times New Roman" w:eastAsia="SimHei"/>
          <w:b/>
          <w:bCs/>
          <w:color w:val="000000"/>
          <w:sz w:val="30"/>
          <w:szCs w:val="30"/>
        </w:rPr>
        <w:t xml:space="preserve">Limites du travail</w:t>
      </w:r>
      <w:bookmarkEnd w:id="100113"/>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150 travaux académiques constituent un échantillon suffisant pour valider la preuve de concept et démontrer la supériorité de l'approche sémantique, mais restent limités pour généraliser les résultats à grande échelle. Une expérimentation sur plusieurs milliers de travaux, sur plusieurs années académiques et plusieurs facultés, sera nécessaire pour confirmer les performances en conditions réelles et pour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Avec un rappel de seulement 18 % sur les textes générés par ChatGPT, la plateforme ne répond que partiellement à ce défi émergent. Cette limite n'est pas spécifique à la solution proposée : aucun outil existant à ce jour n'offre une détection fiable des textes générés par les LLM modernes. La rapidité d'évolution de ces modèles (GPT-4, Claude 3, Gemini 1.5, etc.) rend toute approche de détection rapidement obsolète, et impose une veille permanente.</w:t>
      </w:r>
    </w:p>
    <w:p>
      <w:pPr>
        <w:spacing w:after="0" w:line="360"/>
        <w:ind w:firstLine="480"/>
        <w:jc w:val="both"/>
      </w:pPr>
      <w:r>
        <w:rPr>
          <w:rFonts w:ascii="Times New Roman" w:eastAsia="SimSun"/>
          <w:color w:val="000000"/>
          <w:sz w:val="24"/>
          <w:szCs w:val="24"/>
        </w:rPr>
        <w:t xml:space="preserve">La troisième limite concerne les biais linguistiques des embeddings multilingues. Le modèle Sentence-BERT utilisé est entraîné sur un corpus majoritairement anglophone, et les similarités entre textes en français peuvent être affectées par des biais de distribution. Un fine-tuning sur un corpus académique francophone africain améliorerait la qualité des embeddings pour le contexte cible, mais nécessite des ressources de calcul non négligeables.</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serveur de laboratoire, mais son déploiement à l'échelle d'une université nationale suppose une infrastructure stable (connectivité Internet, serveurs, stockage, sauvegardes) qui n'est pas toujours garantie dans le contexte congolais. Des solutions de déploiement dégradé (mode hors ligne, synchronisation différée) pourraient être étudiées.</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14" w:name="_Toc100114"/>
      <w:r>
        <w:rPr>
          <w:rFonts w:ascii="Times New Roman" w:eastAsia="SimHei"/>
          <w:b/>
          <w:bCs/>
          <w:color w:val="000000"/>
          <w:sz w:val="30"/>
          <w:szCs w:val="30"/>
        </w:rPr>
        <w:t xml:space="preserve">Perspectives</w:t>
      </w:r>
      <w:bookmarkEnd w:id="100114"/>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15" w:name="_Toc100115"/>
      <w:r>
        <w:rPr>
          <w:rFonts w:ascii="Times New Roman" w:eastAsia="SimHei"/>
          <w:b/>
          <w:bCs/>
          <w:color w:val="000000"/>
          <w:sz w:val="28"/>
          <w:szCs w:val="28"/>
        </w:rPr>
        <w:t xml:space="preserve">Extension à l'échelle nationale</w:t>
      </w:r>
      <w:bookmarkEnd w:id="100115"/>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16" w:name="_Toc100116"/>
      <w:r>
        <w:rPr>
          <w:rFonts w:ascii="Times New Roman" w:eastAsia="SimHei"/>
          <w:b/>
          <w:bCs/>
          <w:color w:val="000000"/>
          <w:sz w:val="28"/>
          <w:szCs w:val="28"/>
        </w:rPr>
        <w:t xml:space="preserve">Amélioration de la détection</w:t>
      </w:r>
      <w:bookmarkEnd w:id="100116"/>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peuvent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17" w:name="_Toc100117"/>
      <w:r>
        <w:rPr>
          <w:rFonts w:ascii="Times New Roman" w:eastAsia="SimHei"/>
          <w:b/>
          <w:bCs/>
          <w:color w:val="000000"/>
          <w:sz w:val="28"/>
          <w:szCs w:val="28"/>
        </w:rPr>
        <w:t xml:space="preserve">Enrichissement fonctionnel de la plateforme</w:t>
      </w:r>
      <w:bookmarkEnd w:id="100117"/>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18" w:name="_Toc100118"/>
      <w:r>
        <w:rPr>
          <w:rFonts w:ascii="Times New Roman" w:eastAsia="SimHei"/>
          <w:b/>
          <w:bCs/>
          <w:color w:val="000000"/>
          <w:sz w:val="28"/>
          <w:szCs w:val="28"/>
        </w:rPr>
        <w:t xml:space="preserve">Recherche et publication</w:t>
      </w:r>
      <w:bookmarkEnd w:id="100118"/>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19" w:name="_Toc100119"/>
      <w:r>
        <w:rPr>
          <w:rFonts w:ascii="Times New Roman" w:eastAsia="SimHei"/>
          <w:b/>
          <w:bCs/>
          <w:color w:val="000000"/>
          <w:sz w:val="30"/>
          <w:szCs w:val="30"/>
        </w:rPr>
        <w:t xml:space="preserve">Perspectives IA : vers un écosystème universitaire intelligent</w:t>
      </w:r>
      <w:bookmarkEnd w:id="100119"/>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20" w:name="_Toc100120"/>
      <w:r>
        <w:rPr>
          <w:rFonts w:ascii="Times New Roman" w:eastAsia="SimHei"/>
          <w:b/>
          <w:bCs/>
          <w:color w:val="000000"/>
          <w:sz w:val="28"/>
          <w:szCs w:val="28"/>
        </w:rPr>
        <w:t xml:space="preserve">Détection du plagiat par IA générative</w:t>
      </w:r>
      <w:bookmarkEnd w:id="100120"/>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21" w:name="_Toc100121"/>
      <w:r>
        <w:rPr>
          <w:rFonts w:ascii="Times New Roman" w:eastAsia="SimHei"/>
          <w:b/>
          <w:bCs/>
          <w:color w:val="000000"/>
          <w:sz w:val="28"/>
          <w:szCs w:val="28"/>
        </w:rPr>
        <w:t xml:space="preserve">Correction automatique des citations</w:t>
      </w:r>
      <w:bookmarkEnd w:id="100121"/>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22" w:name="_Toc100122"/>
      <w:r>
        <w:rPr>
          <w:rFonts w:ascii="Times New Roman" w:eastAsia="SimHei"/>
          <w:b/>
          <w:bCs/>
          <w:color w:val="000000"/>
          <w:sz w:val="28"/>
          <w:szCs w:val="28"/>
        </w:rPr>
        <w:t xml:space="preserve">Suggestion de reformulation</w:t>
      </w:r>
      <w:bookmarkEnd w:id="100122"/>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23" w:name="_Toc100123"/>
      <w:r>
        <w:rPr>
          <w:rFonts w:ascii="Times New Roman" w:eastAsia="SimHei"/>
          <w:b/>
          <w:bCs/>
          <w:color w:val="000000"/>
          <w:sz w:val="28"/>
          <w:szCs w:val="28"/>
        </w:rPr>
        <w:t xml:space="preserve">Assistant de rédaction scientifique</w:t>
      </w:r>
      <w:bookmarkEnd w:id="100123"/>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24" w:name="_Toc100124"/>
      <w:r>
        <w:rPr>
          <w:rFonts w:ascii="Times New Roman" w:eastAsia="SimHei"/>
          <w:b/>
          <w:bCs/>
          <w:color w:val="000000"/>
          <w:sz w:val="28"/>
          <w:szCs w:val="28"/>
        </w:rPr>
        <w:t xml:space="preserve">Index national des mémoires</w:t>
      </w:r>
      <w:bookmarkEnd w:id="100124"/>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25" w:name="_Toc100125"/>
      <w:r>
        <w:rPr>
          <w:rFonts w:ascii="Times New Roman" w:eastAsia="SimHei"/>
          <w:b/>
          <w:bCs/>
          <w:color w:val="000000"/>
          <w:sz w:val="28"/>
          <w:szCs w:val="28"/>
        </w:rPr>
        <w:t xml:space="preserve">Détection interuniversitaire du plagiat</w:t>
      </w:r>
      <w:bookmarkEnd w:id="100125"/>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w:t>
      </w:r>
    </w:p>
    <w:p>
      <w:r>
        <w:br w:type="page"/>
      </w:r>
    </w:p>
    <w:p>
      <w:pPr>
        <w:pStyle w:val="Heading1"/>
        <w:spacing w:after="360" w:before="480" w:line="360"/>
        <w:jc w:val="center"/>
      </w:pPr>
      <w:bookmarkStart w:id="100126" w:name="_Toc100126"/>
      <w:r>
        <w:rPr>
          <w:rFonts w:ascii="Times New Roman" w:eastAsia="SimHei"/>
          <w:b/>
          <w:bCs/>
          <w:color w:val="000000"/>
          <w:sz w:val="32"/>
          <w:szCs w:val="32"/>
        </w:rPr>
        <w:t xml:space="preserve">BIBLIOGRAPHIE</w:t>
      </w:r>
      <w:bookmarkEnd w:id="100126"/>
    </w:p>
    <w:p>
      <w:pPr>
        <w:pStyle w:val="Heading2"/>
        <w:spacing w:after="240" w:before="360" w:line="360"/>
      </w:pPr>
      <w:bookmarkStart w:id="100127" w:name="_Toc100127"/>
      <w:r>
        <w:rPr>
          <w:rFonts w:ascii="Times New Roman" w:eastAsia="SimHei"/>
          <w:b/>
          <w:bCs/>
          <w:color w:val="000000"/>
          <w:sz w:val="30"/>
          <w:szCs w:val="30"/>
        </w:rPr>
        <w:t xml:space="preserve">Ouvrages et manuels</w:t>
      </w:r>
      <w:bookmarkEnd w:id="100127"/>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28" w:name="_Toc100128"/>
      <w:r>
        <w:rPr>
          <w:rFonts w:ascii="Times New Roman" w:eastAsia="SimHei"/>
          <w:b/>
          <w:bCs/>
          <w:color w:val="000000"/>
          <w:sz w:val="30"/>
          <w:szCs w:val="30"/>
        </w:rPr>
        <w:t xml:space="preserve">Articles et publications scientifiques</w:t>
      </w:r>
      <w:bookmarkEnd w:id="100128"/>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29" w:name="_Toc100129"/>
      <w:r>
        <w:rPr>
          <w:rFonts w:ascii="Times New Roman" w:eastAsia="SimHei"/>
          <w:b/>
          <w:bCs/>
          <w:color w:val="000000"/>
          <w:sz w:val="30"/>
          <w:szCs w:val="30"/>
        </w:rPr>
        <w:t xml:space="preserve">Documentation technique</w:t>
      </w:r>
      <w:bookmarkEnd w:id="100129"/>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30" w:name="_Toc100130"/>
      <w:r>
        <w:rPr>
          <w:rFonts w:ascii="Times New Roman" w:eastAsia="SimHei"/>
          <w:b/>
          <w:bCs/>
          <w:color w:val="000000"/>
          <w:sz w:val="30"/>
          <w:szCs w:val="30"/>
        </w:rPr>
        <w:t xml:space="preserve">Sources académiques et institutionnelles</w:t>
      </w:r>
      <w:bookmarkEnd w:id="100130"/>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31" w:name="_Toc100131"/>
      <w:r>
        <w:rPr>
          <w:rFonts w:ascii="Times New Roman" w:eastAsia="SimHei"/>
          <w:b/>
          <w:bCs/>
          <w:color w:val="000000"/>
          <w:sz w:val="30"/>
          <w:szCs w:val="30"/>
        </w:rPr>
        <w:t xml:space="preserve">Ressources en ligne</w:t>
      </w:r>
      <w:bookmarkEnd w:id="100131"/>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2026-06-18T09:55:48.582Z</dcterms:created>
  <dcterms:modified xsi:type="dcterms:W3CDTF">2026-06-18T09:55:48.582Z</dcterms:modified>
</cp:coreProperties>
</file>

<file path=docProps/custom.xml><?xml version="1.0" encoding="utf-8"?>
<Properties xmlns="http://schemas.openxmlformats.org/officeDocument/2006/custom-properties" xmlns:vt="http://schemas.openxmlformats.org/officeDocument/2006/docPropsVTypes"/>
</file>