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Upgrading MikeOssAzure to 1.0.11</w:t>
      </w:r>
    </w:p>
    <w:p>
      <w:pPr>
        <w:pStyle w:val="Subtitle"/>
        <w:keepNext/>
      </w:pPr>
      <w:r>
        <w:t>Customer upgrade guide | Starting from Marketplace version 1.0.9 or 1.0.10</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FF7E0"/>
            <w:tcBorders>
              <w:top w:val="single" w:sz="8" w:space="0" w:color="C89319"/>
              <w:start w:val="single" w:sz="8" w:space="0" w:color="C89319"/>
              <w:bottom w:val="single" w:sz="8" w:space="0" w:color="C89319"/>
              <w:end w:val="single" w:sz="8" w:space="0" w:color="C89319"/>
              <w:insideH w:val="single" w:sz="8" w:space="0" w:color="C89319"/>
              <w:insideV w:val="single" w:sz="8" w:space="0" w:color="C89319"/>
            </w:tcBorders>
          </w:tcPr>
          <w:p>
            <w:pPr>
              <w:spacing w:before="40" w:after="40"/>
            </w:pPr>
            <w:r>
              <w:rPr>
                <w:rFonts w:ascii="Calibri" w:hAnsi="Calibri"/>
                <w:b/>
                <w:color w:val="0B2545"/>
                <w:sz w:val="21"/>
              </w:rPr>
              <w:t xml:space="preserve">Important: </w:t>
            </w:r>
            <w:r>
              <w:rPr>
                <w:rFonts w:ascii="Calibri" w:hAnsi="Calibri"/>
                <w:color w:val="344054"/>
                <w:sz w:val="21"/>
              </w:rPr>
              <w:t>Azure Marketplace does not automatically update an existing Mike deployment. Run the supplied upgrade script once. Do not edit the db-migrate job or backend Container App manually, and do not redeploy the complete Marketplace template.</w:t>
            </w:r>
          </w:p>
        </w:tc>
      </w:tr>
    </w:tbl>
    <w:p>
      <w:pPr>
        <w:spacing w:after="0"/>
      </w:pPr>
    </w:p>
    <w:tbl>
      <w:tblPr>
        <w:tblW w:type="dxa" w:w="9026"/>
        <w:jc w:val="left"/>
        <w:tblLayout w:type="fixed"/>
        <w:tblLook w:firstColumn="1" w:firstRow="1" w:lastColumn="0" w:lastRow="0" w:noHBand="0" w:noVBand="1" w:val="04A0"/>
        <w:tblInd w:w="120" w:type="dxa"/>
      </w:tblPr>
      <w:tblGrid>
        <w:gridCol w:w="1700"/>
        <w:gridCol w:w="7326"/>
      </w:tblGrid>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Supported from</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MikeOssAzure Marketplace 1.0.9 or 1.0.10</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Target</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MikeOssAzure 1.0.11</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Allow</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Up to 30 minutes, including validation</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Service impact</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No planned downtime; a brief interruption is possible while the new revision activates</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Required access</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Contributor, or equivalent, on the Mike resource group</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Required tools</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Azure CLI 2.60 or later with Container Apps commands, and PowerShell 7</w:t>
            </w:r>
          </w:p>
        </w:tc>
      </w:tr>
    </w:tbl>
    <w:p>
      <w:pPr>
        <w:spacing w:after="0"/>
      </w:pPr>
    </w:p>
    <w:p>
      <w:pPr>
        <w:pStyle w:val="Heading1"/>
      </w:pPr>
      <w:r>
        <w:t>What the upgrade command does</w:t>
      </w:r>
    </w:p>
    <w:tbl>
      <w:tblPr>
        <w:tblW w:type="dxa" w:w="9026"/>
        <w:tblLayout w:type="fixed"/>
        <w:tblLook w:firstColumn="1" w:firstRow="1" w:lastColumn="0" w:lastRow="0" w:noHBand="0" w:noVBand="1" w:val="04A0"/>
        <w:jc w:val="left"/>
        <w:tblInd w:w="120" w:type="dxa"/>
      </w:tblPr>
      <w:tblGrid>
        <w:gridCol w:w="900"/>
        <w:gridCol w:w="2450"/>
        <w:gridCol w:w="5676"/>
      </w:tblGrid>
      <w:tr>
        <w:trPr>
          <w:tblHeader w:val="true"/>
        </w:trPr>
        <w:tc>
          <w:tcPr>
            <w:tcW w:type="dxa" w:w="900"/>
            <w:tcMar>
              <w:top w:w="80" w:type="dxa"/>
              <w:start w:w="120" w:type="dxa"/>
              <w:bottom w:w="80" w:type="dxa"/>
              <w:end w:w="120" w:type="dxa"/>
            </w:tcMar>
            <w:vAlign w:val="center"/>
            <w:shd w:fill="E8EEF5"/>
            <w:tcBorders>
              <w:top w:val="single" w:sz="6" w:space="0" w:color="B6CBD9"/>
              <w:start w:val="single" w:sz="6" w:space="0" w:color="B6CBD9"/>
              <w:bottom w:val="single" w:sz="6" w:space="0" w:color="B6CBD9"/>
              <w:end w:val="single" w:sz="6" w:space="0" w:color="B6CBD9"/>
              <w:insideH w:val="single" w:sz="6" w:space="0" w:color="B6CBD9"/>
              <w:insideV w:val="single" w:sz="6" w:space="0" w:color="B6CBD9"/>
            </w:tcBorders>
          </w:tcPr>
          <w:p>
            <w:pPr>
              <w:spacing w:after="0"/>
              <w:jc w:val="center"/>
            </w:pPr>
            <w:r>
              <w:rPr>
                <w:rFonts w:ascii="Calibri" w:hAnsi="Calibri"/>
                <w:b/>
                <w:color w:val="0B2545"/>
                <w:sz w:val="19"/>
              </w:rPr>
              <w:t>Stage</w:t>
            </w:r>
          </w:p>
        </w:tc>
        <w:tc>
          <w:tcPr>
            <w:tcW w:type="dxa" w:w="2450"/>
            <w:tcMar>
              <w:top w:w="80" w:type="dxa"/>
              <w:start w:w="120" w:type="dxa"/>
              <w:bottom w:w="80" w:type="dxa"/>
              <w:end w:w="120" w:type="dxa"/>
            </w:tcMar>
            <w:vAlign w:val="center"/>
            <w:shd w:fill="E8EEF5"/>
            <w:tcBorders>
              <w:top w:val="single" w:sz="6" w:space="0" w:color="B6CBD9"/>
              <w:start w:val="single" w:sz="6" w:space="0" w:color="B6CBD9"/>
              <w:bottom w:val="single" w:sz="6" w:space="0" w:color="B6CBD9"/>
              <w:end w:val="single" w:sz="6" w:space="0" w:color="B6CBD9"/>
              <w:insideH w:val="single" w:sz="6" w:space="0" w:color="B6CBD9"/>
              <w:insideV w:val="single" w:sz="6" w:space="0" w:color="B6CBD9"/>
            </w:tcBorders>
          </w:tcPr>
          <w:p>
            <w:pPr>
              <w:spacing w:after="0"/>
              <w:jc w:val="left"/>
            </w:pPr>
            <w:r>
              <w:rPr>
                <w:rFonts w:ascii="Calibri" w:hAnsi="Calibri"/>
                <w:b/>
                <w:color w:val="0B2545"/>
                <w:sz w:val="19"/>
              </w:rPr>
              <w:t>Action</w:t>
            </w:r>
          </w:p>
        </w:tc>
        <w:tc>
          <w:tcPr>
            <w:tcW w:type="dxa" w:w="5676"/>
            <w:tcMar>
              <w:top w:w="80" w:type="dxa"/>
              <w:start w:w="120" w:type="dxa"/>
              <w:bottom w:w="80" w:type="dxa"/>
              <w:end w:w="120" w:type="dxa"/>
            </w:tcMar>
            <w:vAlign w:val="center"/>
            <w:shd w:fill="E8EEF5"/>
            <w:tcBorders>
              <w:top w:val="single" w:sz="6" w:space="0" w:color="B6CBD9"/>
              <w:start w:val="single" w:sz="6" w:space="0" w:color="B6CBD9"/>
              <w:bottom w:val="single" w:sz="6" w:space="0" w:color="B6CBD9"/>
              <w:end w:val="single" w:sz="6" w:space="0" w:color="B6CBD9"/>
              <w:insideH w:val="single" w:sz="6" w:space="0" w:color="B6CBD9"/>
              <w:insideV w:val="single" w:sz="6" w:space="0" w:color="B6CBD9"/>
            </w:tcBorders>
          </w:tcPr>
          <w:p>
            <w:pPr>
              <w:spacing w:after="0"/>
              <w:jc w:val="left"/>
            </w:pPr>
            <w:r>
              <w:rPr>
                <w:rFonts w:ascii="Calibri" w:hAnsi="Calibri"/>
                <w:b/>
                <w:color w:val="0B2545"/>
                <w:sz w:val="19"/>
              </w:rPr>
              <w:t>Outcome</w:t>
            </w:r>
          </w:p>
        </w:tc>
      </w:tr>
      <w:tr>
        <w:trPr>
          <w:cantSplit/>
        </w:trPr>
        <w:tc>
          <w:tcPr>
            <w:tcW w:type="dxa" w:w="9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center"/>
            </w:pPr>
            <w:r>
              <w:rPr>
                <w:rFonts w:ascii="Calibri" w:hAnsi="Calibri"/>
                <w:color w:val="344054"/>
                <w:sz w:val="18"/>
              </w:rPr>
              <w:t>1</w:t>
            </w:r>
          </w:p>
        </w:tc>
        <w:tc>
          <w:tcPr>
            <w:tcW w:type="dxa" w:w="245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b/>
                <w:color w:val="344054"/>
                <w:sz w:val="18"/>
              </w:rPr>
              <w:t>Provision monitoring</w:t>
            </w:r>
          </w:p>
        </w:tc>
        <w:tc>
          <w:tcPr>
            <w:tcW w:type="dxa" w:w="567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color w:val="344054"/>
                <w:sz w:val="18"/>
              </w:rPr>
              <w:t>Create or update Log Analytics and Application Insights.</w:t>
            </w:r>
          </w:p>
        </w:tc>
      </w:tr>
      <w:tr>
        <w:trPr>
          <w:cantSplit/>
        </w:trPr>
        <w:tc>
          <w:tcPr>
            <w:tcW w:type="dxa" w:w="9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center"/>
            </w:pPr>
            <w:r>
              <w:rPr>
                <w:rFonts w:ascii="Calibri" w:hAnsi="Calibri"/>
                <w:color w:val="344054"/>
                <w:sz w:val="18"/>
              </w:rPr>
              <w:t>2</w:t>
            </w:r>
          </w:p>
        </w:tc>
        <w:tc>
          <w:tcPr>
            <w:tcW w:type="dxa" w:w="245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b/>
                <w:color w:val="344054"/>
                <w:sz w:val="18"/>
              </w:rPr>
              <w:t>Connect platform logs</w:t>
            </w:r>
          </w:p>
        </w:tc>
        <w:tc>
          <w:tcPr>
            <w:tcW w:type="dxa" w:w="567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color w:val="344054"/>
                <w:sz w:val="18"/>
              </w:rPr>
              <w:t>Send Container Apps console and system logs to Log Analytics.</w:t>
            </w:r>
          </w:p>
        </w:tc>
      </w:tr>
      <w:tr>
        <w:trPr>
          <w:cantSplit/>
        </w:trPr>
        <w:tc>
          <w:tcPr>
            <w:tcW w:type="dxa" w:w="9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center"/>
            </w:pPr>
            <w:r>
              <w:rPr>
                <w:rFonts w:ascii="Calibri" w:hAnsi="Calibri"/>
                <w:color w:val="344054"/>
                <w:sz w:val="18"/>
              </w:rPr>
              <w:t>3</w:t>
            </w:r>
          </w:p>
        </w:tc>
        <w:tc>
          <w:tcPr>
            <w:tcW w:type="dxa" w:w="245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b/>
                <w:color w:val="344054"/>
                <w:sz w:val="18"/>
              </w:rPr>
              <w:t>Wire backend telemetry</w:t>
            </w:r>
          </w:p>
        </w:tc>
        <w:tc>
          <w:tcPr>
            <w:tcW w:type="dxa" w:w="567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color w:val="344054"/>
                <w:sz w:val="18"/>
              </w:rPr>
              <w:t>Reference the Application Insights connection through Key Vault.</w:t>
            </w:r>
          </w:p>
        </w:tc>
      </w:tr>
      <w:tr>
        <w:trPr>
          <w:cantSplit/>
        </w:trPr>
        <w:tc>
          <w:tcPr>
            <w:tcW w:type="dxa" w:w="9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center"/>
            </w:pPr>
            <w:r>
              <w:rPr>
                <w:rFonts w:ascii="Calibri" w:hAnsi="Calibri"/>
                <w:color w:val="344054"/>
                <w:sz w:val="18"/>
              </w:rPr>
              <w:t>4</w:t>
            </w:r>
          </w:p>
        </w:tc>
        <w:tc>
          <w:tcPr>
            <w:tcW w:type="dxa" w:w="245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b/>
                <w:color w:val="344054"/>
                <w:sz w:val="18"/>
              </w:rPr>
              <w:t>Run database migrations</w:t>
            </w:r>
          </w:p>
        </w:tc>
        <w:tc>
          <w:tcPr>
            <w:tcW w:type="dxa" w:w="567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color w:val="344054"/>
                <w:sz w:val="18"/>
              </w:rPr>
              <w:t>Apply every migration required from either 1.0.9 or 1.0.10.</w:t>
            </w:r>
          </w:p>
        </w:tc>
      </w:tr>
      <w:tr>
        <w:trPr>
          <w:cantSplit/>
        </w:trPr>
        <w:tc>
          <w:tcPr>
            <w:tcW w:type="dxa" w:w="9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center"/>
            </w:pPr>
            <w:r>
              <w:rPr>
                <w:rFonts w:ascii="Calibri" w:hAnsi="Calibri"/>
                <w:color w:val="344054"/>
                <w:sz w:val="18"/>
              </w:rPr>
              <w:t>5</w:t>
            </w:r>
          </w:p>
        </w:tc>
        <w:tc>
          <w:tcPr>
            <w:tcW w:type="dxa" w:w="245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b/>
                <w:color w:val="344054"/>
                <w:sz w:val="18"/>
              </w:rPr>
              <w:t>Promote the backend</w:t>
            </w:r>
          </w:p>
        </w:tc>
        <w:tc>
          <w:tcPr>
            <w:tcW w:type="dxa" w:w="567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color w:val="344054"/>
                <w:sz w:val="18"/>
              </w:rPr>
              <w:t>Switch to backend image 1.0.11 only after migrations succeed.</w:t>
            </w:r>
          </w:p>
        </w:tc>
      </w:tr>
      <w:tr>
        <w:trPr>
          <w:cantSplit/>
        </w:trPr>
        <w:tc>
          <w:tcPr>
            <w:tcW w:type="dxa" w:w="9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center"/>
            </w:pPr>
            <w:r>
              <w:rPr>
                <w:rFonts w:ascii="Calibri" w:hAnsi="Calibri"/>
                <w:color w:val="344054"/>
                <w:sz w:val="18"/>
              </w:rPr>
              <w:t>6</w:t>
            </w:r>
          </w:p>
        </w:tc>
        <w:tc>
          <w:tcPr>
            <w:tcW w:type="dxa" w:w="245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b/>
                <w:color w:val="344054"/>
                <w:sz w:val="18"/>
              </w:rPr>
              <w:t>Verify or restore</w:t>
            </w:r>
          </w:p>
        </w:tc>
        <w:tc>
          <w:tcPr>
            <w:tcW w:type="dxa" w:w="567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jc w:val="left"/>
            </w:pPr>
            <w:r>
              <w:rPr>
                <w:rFonts w:ascii="Calibri" w:hAnsi="Calibri"/>
                <w:color w:val="344054"/>
                <w:sz w:val="18"/>
              </w:rPr>
              <w:t>Check health and telemetry; restore the previous image if verification fails.</w:t>
            </w:r>
          </w:p>
        </w:tc>
      </w:tr>
    </w:tbl>
    <w:p>
      <w:pPr>
        <w:spacing w:after="0"/>
      </w:pP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EEF7F0"/>
            <w:tcBorders>
              <w:top w:val="single" w:sz="8" w:space="0" w:color="4F8A5B"/>
              <w:start w:val="single" w:sz="8" w:space="0" w:color="4F8A5B"/>
              <w:bottom w:val="single" w:sz="8" w:space="0" w:color="4F8A5B"/>
              <w:end w:val="single" w:sz="8" w:space="0" w:color="4F8A5B"/>
              <w:insideH w:val="single" w:sz="8" w:space="0" w:color="4F8A5B"/>
              <w:insideV w:val="single" w:sz="8" w:space="0" w:color="4F8A5B"/>
            </w:tcBorders>
          </w:tcPr>
          <w:p>
            <w:pPr>
              <w:spacing w:before="40" w:after="40"/>
            </w:pPr>
            <w:r>
              <w:rPr>
                <w:rFonts w:ascii="Calibri" w:hAnsi="Calibri"/>
                <w:b/>
                <w:color w:val="0B2545"/>
                <w:sz w:val="21"/>
              </w:rPr>
              <w:t xml:space="preserve">Safety: </w:t>
            </w:r>
            <w:r>
              <w:rPr>
                <w:rFonts w:ascii="Calibri" w:hAnsi="Calibri"/>
                <w:color w:val="344054"/>
                <w:sz w:val="21"/>
              </w:rPr>
              <w:t>Database migrations complete before the backend image changes. If migration fails, the backend is not promoted. If immediate health or telemetry verification fails, the script restores the previous backend image.</w:t>
            </w:r>
          </w:p>
        </w:tc>
      </w:tr>
    </w:tbl>
    <w:p>
      <w:pPr>
        <w:spacing w:after="0"/>
      </w:pPr>
    </w:p>
    <w:p>
      <w:pPr>
        <w:spacing w:after="0"/>
      </w:pPr>
      <w:r>
        <w:br w:type="page"/>
      </w:r>
    </w:p>
    <w:p>
      <w:pPr>
        <w:pStyle w:val="Heading1"/>
      </w:pPr>
      <w:r>
        <w:t>Phase 1 - Prepare</w:t>
      </w:r>
    </w:p>
    <w:p>
      <w:r>
        <w:t>Complete these checks before changing the installation. Record the resource group and starting image; the procedure supports 1.0.9 and 1.0.10 only.</w:t>
      </w:r>
    </w:p>
    <w:p>
      <w:pPr>
        <w:pStyle w:val="Heading2"/>
      </w:pPr>
      <w:r>
        <w:t>Step 1 - Download the release asset</w:t>
      </w:r>
    </w:p>
    <w:p>
      <w:r>
        <w:t>Download upgrade-marketplace-1.0.11.ps1 from the 1.0.11 release supplied by Mike support. Save it to a known local folder.</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01</w:t>
            </w:r>
            <w:r>
              <w:br/>
            </w:r>
            <w:r>
              <w:rPr>
                <w:rFonts w:ascii="Calibri" w:hAnsi="Calibri"/>
                <w:color w:val="0B2545"/>
                <w:sz w:val="20"/>
              </w:rPr>
              <w:t>Capture: the downloaded upgrade-marketplace-1.0.11.ps1 file in File Explorer</w:t>
            </w:r>
            <w:r>
              <w:br/>
            </w:r>
            <w:r>
              <w:rPr>
                <w:rFonts w:ascii="Calibri" w:hAnsi="Calibri"/>
                <w:i/>
                <w:color w:val="667085"/>
                <w:sz w:val="17"/>
              </w:rPr>
              <w:t>Redact: user profile paths if they identify an individual.</w:t>
            </w:r>
            <w:r>
              <w:br/>
            </w:r>
            <w:r>
              <w:rPr>
                <w:rFonts w:ascii="Calibri" w:hAnsi="Calibri"/>
                <w:color w:val="667085"/>
                <w:sz w:val="17"/>
              </w:rPr>
              <w:t>Replace this box during the mike.altien.com rehearsal.</w:t>
            </w:r>
          </w:p>
        </w:tc>
      </w:tr>
    </w:tbl>
    <w:p>
      <w:pPr>
        <w:spacing w:after="0"/>
      </w:pPr>
    </w:p>
    <w:p>
      <w:pPr>
        <w:pStyle w:val="Heading2"/>
      </w:pPr>
      <w:r>
        <w:t>Step 2 - Open PowerShell 7</w:t>
      </w:r>
    </w:p>
    <w:p>
      <w:r>
        <w:t>Open PowerShell 7 in the folder containing the script. Windows PowerShell 5 is not supported by this upgrade command.</w:t>
      </w:r>
    </w:p>
    <w:p>
      <w:pPr>
        <w:pStyle w:val="Heading2"/>
      </w:pPr>
      <w:r>
        <w:t>Step 3 - Sign in to the correct Azure subscription</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2F4F7"/>
            <w:tcBorders>
              <w:top w:val="single" w:sz="6" w:space="0" w:color="D0D5DD"/>
              <w:start w:val="single" w:sz="6" w:space="0" w:color="D0D5DD"/>
              <w:bottom w:val="single" w:sz="6" w:space="0" w:color="D0D5DD"/>
              <w:end w:val="single" w:sz="6" w:space="0" w:color="D0D5DD"/>
              <w:insideH w:val="single" w:sz="6" w:space="0" w:color="D0D5DD"/>
              <w:insideV w:val="single" w:sz="6" w:space="0" w:color="D0D5DD"/>
            </w:tcBorders>
          </w:tcPr>
          <w:p>
            <w:pPr>
              <w:spacing w:before="60" w:after="60" w:line="240" w:lineRule="auto"/>
            </w:pPr>
            <w:r>
              <w:rPr>
                <w:rFonts w:ascii="Consolas" w:hAnsi="Consolas"/>
                <w:color w:val="101828"/>
                <w:sz w:val="18"/>
              </w:rPr>
              <w:t>az login</w:t>
            </w:r>
            <w:r>
              <w:br/>
            </w:r>
            <w:r>
              <w:rPr>
                <w:rFonts w:ascii="Consolas" w:hAnsi="Consolas"/>
                <w:color w:val="101828"/>
                <w:sz w:val="18"/>
              </w:rPr>
              <w:t>az account set --subscription "&lt;SUBSCRIPTION-NAME-OR-ID&gt;"</w:t>
            </w:r>
            <w:r>
              <w:br/>
            </w:r>
            <w:r>
              <w:rPr>
                <w:rFonts w:ascii="Consolas" w:hAnsi="Consolas"/>
                <w:color w:val="101828"/>
                <w:sz w:val="18"/>
              </w:rPr>
              <w:t>az account show --output table</w:t>
            </w:r>
          </w:p>
        </w:tc>
      </w:tr>
    </w:tbl>
    <w:p>
      <w:pPr>
        <w:spacing w:after="0"/>
      </w:pPr>
    </w:p>
    <w:p>
      <w:r>
        <w:t>Check the subscription name carefully before continuing. The signed-in identity must have Contributor access, or equivalent, on the Mike resource group.</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02</w:t>
            </w:r>
            <w:r>
              <w:br/>
            </w:r>
            <w:r>
              <w:rPr>
                <w:rFonts w:ascii="Calibri" w:hAnsi="Calibri"/>
                <w:color w:val="0B2545"/>
                <w:sz w:val="20"/>
              </w:rPr>
              <w:t>Capture: PowerShell showing the correct Azure subscription name after az account show</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p>
      <w:pPr>
        <w:pStyle w:val="Heading2"/>
      </w:pPr>
      <w:r>
        <w:t>Step 4 - Confirm the starting version and application health</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2F4F7"/>
            <w:tcBorders>
              <w:top w:val="single" w:sz="6" w:space="0" w:color="D0D5DD"/>
              <w:start w:val="single" w:sz="6" w:space="0" w:color="D0D5DD"/>
              <w:bottom w:val="single" w:sz="6" w:space="0" w:color="D0D5DD"/>
              <w:end w:val="single" w:sz="6" w:space="0" w:color="D0D5DD"/>
              <w:insideH w:val="single" w:sz="6" w:space="0" w:color="D0D5DD"/>
              <w:insideV w:val="single" w:sz="6" w:space="0" w:color="D0D5DD"/>
            </w:tcBorders>
          </w:tcPr>
          <w:p>
            <w:pPr>
              <w:spacing w:before="60" w:after="60" w:line="240" w:lineRule="auto"/>
            </w:pPr>
            <w:r>
              <w:rPr>
                <w:rFonts w:ascii="Consolas" w:hAnsi="Consolas"/>
                <w:color w:val="101828"/>
                <w:sz w:val="18"/>
              </w:rPr>
              <w:t>$ResourceGroup = "&lt;MIKE-RESOURCE-GROUP&gt;"</w:t>
            </w:r>
            <w:r>
              <w:br/>
            </w:r>
            <w:r>
              <w:rPr>
                <w:rFonts w:ascii="Consolas" w:hAnsi="Consolas"/>
                <w:color w:val="101828"/>
                <w:sz w:val="18"/>
              </w:rPr>
            </w:r>
            <w:r>
              <w:br/>
            </w:r>
            <w:r>
              <w:rPr>
                <w:rFonts w:ascii="Consolas" w:hAnsi="Consolas"/>
                <w:color w:val="101828"/>
                <w:sz w:val="18"/>
              </w:rPr>
              <w:t>az containerapp show --name backend --resource-group $ResourceGroup `</w:t>
            </w:r>
            <w:r>
              <w:br/>
            </w:r>
            <w:r>
              <w:rPr>
                <w:rFonts w:ascii="Consolas" w:hAnsi="Consolas"/>
                <w:color w:val="101828"/>
                <w:sz w:val="18"/>
              </w:rPr>
              <w:t xml:space="preserve">  --query "properties.template.containers[0].image" --output tsv</w:t>
            </w:r>
          </w:p>
        </w:tc>
      </w:tr>
    </w:tbl>
    <w:p>
      <w:pPr>
        <w:spacing w:after="0"/>
      </w:pPr>
    </w:p>
    <w:p>
      <w:r>
        <w:rPr>
          <w:rFonts w:ascii="Calibri" w:hAnsi="Calibri"/>
          <w:b/>
          <w:color w:val="0B2545"/>
          <w:sz w:val="22"/>
        </w:rPr>
        <w:t xml:space="preserve">Expected: </w:t>
      </w:r>
      <w:r>
        <w:rPr>
          <w:rFonts w:ascii="Calibri" w:hAnsi="Calibri"/>
          <w:color w:val="344054"/>
          <w:sz w:val="22"/>
        </w:rPr>
        <w:t>The image ends with backend:1.0.9 or backend:1.0.10. Stop and contact Mike support if a different version is shown.</w:t>
      </w:r>
    </w:p>
    <w:p>
      <w:r>
        <w:t>Open the normal Mike URL and confirm that the sign-in page or application loads. Also confirm that Azure Database for PostgreSQL point-in-time restore is available under the customer's normal backup policy.</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03</w:t>
            </w:r>
            <w:r>
              <w:br/>
            </w:r>
            <w:r>
              <w:rPr>
                <w:rFonts w:ascii="Calibri" w:hAnsi="Calibri"/>
                <w:color w:val="0B2545"/>
                <w:sz w:val="20"/>
              </w:rPr>
              <w:t>Capture: PowerShell showing the current backend image tag, followed by the working Mike home or sign-in page</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p>
      <w:pPr>
        <w:pStyle w:val="Heading1"/>
      </w:pPr>
      <w:r>
        <w:t>Phase 2 - Run the automated upgrade</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FF7E0"/>
            <w:tcBorders>
              <w:top w:val="single" w:sz="8" w:space="0" w:color="C89319"/>
              <w:start w:val="single" w:sz="8" w:space="0" w:color="C89319"/>
              <w:bottom w:val="single" w:sz="8" w:space="0" w:color="C89319"/>
              <w:end w:val="single" w:sz="8" w:space="0" w:color="C89319"/>
              <w:insideH w:val="single" w:sz="8" w:space="0" w:color="C89319"/>
              <w:insideV w:val="single" w:sz="8" w:space="0" w:color="C89319"/>
            </w:tcBorders>
          </w:tcPr>
          <w:p>
            <w:pPr>
              <w:spacing w:before="40" w:after="40"/>
            </w:pPr>
            <w:r>
              <w:rPr>
                <w:rFonts w:ascii="Calibri" w:hAnsi="Calibri"/>
                <w:b/>
                <w:color w:val="0B2545"/>
                <w:sz w:val="21"/>
              </w:rPr>
              <w:t xml:space="preserve">Do not close the terminal: </w:t>
            </w:r>
            <w:r>
              <w:rPr>
                <w:rFonts w:ascii="Calibri" w:hAnsi="Calibri"/>
                <w:color w:val="344054"/>
                <w:sz w:val="21"/>
              </w:rPr>
              <w:t>The command provisions telemetry, migrates the database, promotes the backend, and verifies the result. Wait for a final success or failure message.</w:t>
            </w:r>
          </w:p>
        </w:tc>
      </w:tr>
    </w:tbl>
    <w:p>
      <w:pPr>
        <w:spacing w:after="0"/>
      </w:pPr>
    </w:p>
    <w:p>
      <w:pPr>
        <w:pStyle w:val="Heading2"/>
      </w:pPr>
      <w:r>
        <w:t>Step 5 - Unblock the downloaded script</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2F4F7"/>
            <w:tcBorders>
              <w:top w:val="single" w:sz="6" w:space="0" w:color="D0D5DD"/>
              <w:start w:val="single" w:sz="6" w:space="0" w:color="D0D5DD"/>
              <w:bottom w:val="single" w:sz="6" w:space="0" w:color="D0D5DD"/>
              <w:end w:val="single" w:sz="6" w:space="0" w:color="D0D5DD"/>
              <w:insideH w:val="single" w:sz="6" w:space="0" w:color="D0D5DD"/>
              <w:insideV w:val="single" w:sz="6" w:space="0" w:color="D0D5DD"/>
            </w:tcBorders>
          </w:tcPr>
          <w:p>
            <w:pPr>
              <w:spacing w:before="60" w:after="60" w:line="240" w:lineRule="auto"/>
            </w:pPr>
            <w:r>
              <w:rPr>
                <w:rFonts w:ascii="Consolas" w:hAnsi="Consolas"/>
                <w:color w:val="101828"/>
                <w:sz w:val="18"/>
              </w:rPr>
              <w:t>Unblock-File ".\upgrade-marketplace-1.0.11.ps1"</w:t>
            </w:r>
          </w:p>
        </w:tc>
      </w:tr>
    </w:tbl>
    <w:p>
      <w:pPr>
        <w:spacing w:after="0"/>
      </w:pPr>
    </w:p>
    <w:p>
      <w:pPr>
        <w:pStyle w:val="Heading2"/>
      </w:pPr>
      <w:r>
        <w:t>Step 6 - Start the upgrade</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2F4F7"/>
            <w:tcBorders>
              <w:top w:val="single" w:sz="6" w:space="0" w:color="D0D5DD"/>
              <w:start w:val="single" w:sz="6" w:space="0" w:color="D0D5DD"/>
              <w:bottom w:val="single" w:sz="6" w:space="0" w:color="D0D5DD"/>
              <w:end w:val="single" w:sz="6" w:space="0" w:color="D0D5DD"/>
              <w:insideH w:val="single" w:sz="6" w:space="0" w:color="D0D5DD"/>
              <w:insideV w:val="single" w:sz="6" w:space="0" w:color="D0D5DD"/>
            </w:tcBorders>
          </w:tcPr>
          <w:p>
            <w:pPr>
              <w:spacing w:before="60" w:after="60" w:line="240" w:lineRule="auto"/>
            </w:pPr>
            <w:r>
              <w:rPr>
                <w:rFonts w:ascii="Consolas" w:hAnsi="Consolas"/>
                <w:color w:val="101828"/>
                <w:sz w:val="18"/>
              </w:rPr>
              <w:t>pwsh -File ".\upgrade-marketplace-1.0.11.ps1" `</w:t>
            </w:r>
            <w:r>
              <w:br/>
            </w:r>
            <w:r>
              <w:rPr>
                <w:rFonts w:ascii="Consolas" w:hAnsi="Consolas"/>
                <w:color w:val="101828"/>
                <w:sz w:val="18"/>
              </w:rPr>
              <w:t xml:space="preserve">  -ResourceGroup "&lt;MIKE-RESOURCE-GROUP&gt;" `</w:t>
            </w:r>
            <w:r>
              <w:br/>
            </w:r>
            <w:r>
              <w:rPr>
                <w:rFonts w:ascii="Consolas" w:hAnsi="Consolas"/>
                <w:color w:val="101828"/>
                <w:sz w:val="18"/>
              </w:rPr>
              <w:t xml:space="preserve">  -TargetVersion "1.0.11"</w:t>
            </w:r>
          </w:p>
        </w:tc>
      </w:tr>
    </w:tbl>
    <w:p>
      <w:pPr>
        <w:spacing w:after="0"/>
      </w:pPr>
    </w:p>
    <w:p>
      <w:r>
        <w:t>Replace only &lt;MIKE-RESOURCE-GROUP&gt;. Do not paste an Application Insights connection string, Key Vault value, registry password, or database credential.</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04</w:t>
            </w:r>
            <w:r>
              <w:br/>
            </w:r>
            <w:r>
              <w:rPr>
                <w:rFonts w:ascii="Calibri" w:hAnsi="Calibri"/>
                <w:color w:val="0B2545"/>
                <w:sz w:val="20"/>
              </w:rPr>
              <w:t>Capture: the completed command with the correct resource group immediately before it is run</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p>
      <w:pPr>
        <w:pStyle w:val="Heading2"/>
      </w:pPr>
      <w:r>
        <w:t>Step 7 - Monitor the six upgrade stages</w:t>
      </w:r>
    </w:p>
    <w:p>
      <w:r>
        <w:t>The script prints stages [1/6] through [6/6]. During stage [4/6], wait until the migration execution reports Succeeded. The backend is promoted only after that result.</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05</w:t>
            </w:r>
            <w:r>
              <w:br/>
            </w:r>
            <w:r>
              <w:rPr>
                <w:rFonts w:ascii="Calibri" w:hAnsi="Calibri"/>
                <w:color w:val="0B2545"/>
                <w:sz w:val="20"/>
              </w:rPr>
              <w:t>Capture: stages [1/6] to [3/6] provisioning Application Insights, Log Analytics, and backend telemetry</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06</w:t>
            </w:r>
            <w:r>
              <w:br/>
            </w:r>
            <w:r>
              <w:rPr>
                <w:rFonts w:ascii="Calibri" w:hAnsi="Calibri"/>
                <w:color w:val="0B2545"/>
                <w:sz w:val="20"/>
              </w:rPr>
              <w:t>Capture: stage [4/6] showing the migration execution status as Succeeded</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07</w:t>
            </w:r>
            <w:r>
              <w:br/>
            </w:r>
            <w:r>
              <w:rPr>
                <w:rFonts w:ascii="Calibri" w:hAnsi="Calibri"/>
                <w:color w:val="0B2545"/>
                <w:sz w:val="20"/>
              </w:rPr>
              <w:t>Capture: the final "Upgrade succeeded" output with backend image 1.0.11 and telemetry resource names</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p>
      <w:pPr>
        <w:pStyle w:val="Heading1"/>
      </w:pPr>
      <w:r>
        <w:t>Phase 3 - Validate</w:t>
      </w:r>
    </w:p>
    <w:p>
      <w:r>
        <w:t>Do not consider the change complete until every check below passes.</w:t>
      </w:r>
    </w:p>
    <w:tbl>
      <w:tblPr>
        <w:tblW w:type="dxa" w:w="9026"/>
        <w:tblLayout w:type="fixed"/>
        <w:tblLook w:firstColumn="1" w:firstRow="1" w:lastColumn="0" w:lastRow="0" w:noHBand="0" w:noVBand="1" w:val="04A0"/>
        <w:jc w:val="left"/>
        <w:tblInd w:w="120" w:type="dxa"/>
      </w:tblPr>
      <w:tblGrid>
        <w:gridCol w:w="2300"/>
        <w:gridCol w:w="6726"/>
      </w:tblGrid>
      <w:tr>
        <w:trPr>
          <w:tblHeader w:val="true"/>
        </w:trPr>
        <w:tc>
          <w:tcPr>
            <w:tcW w:type="dxa" w:w="2300"/>
            <w:tcMar>
              <w:top w:w="80" w:type="dxa"/>
              <w:start w:w="120" w:type="dxa"/>
              <w:bottom w:w="80" w:type="dxa"/>
              <w:end w:w="120" w:type="dxa"/>
            </w:tcMar>
            <w:vAlign w:val="center"/>
            <w:shd w:fill="E8EEF5"/>
            <w:tcBorders>
              <w:top w:val="single" w:sz="6" w:space="0" w:color="B6CBD9"/>
              <w:start w:val="single" w:sz="6" w:space="0" w:color="B6CBD9"/>
              <w:bottom w:val="single" w:sz="6" w:space="0" w:color="B6CBD9"/>
              <w:end w:val="single" w:sz="6" w:space="0" w:color="B6CBD9"/>
              <w:insideH w:val="single" w:sz="6" w:space="0" w:color="B6CBD9"/>
              <w:insideV w:val="single" w:sz="6" w:space="0" w:color="B6CBD9"/>
            </w:tcBorders>
          </w:tcPr>
          <w:p>
            <w:pPr>
              <w:spacing w:after="0"/>
            </w:pPr>
            <w:r>
              <w:rPr>
                <w:rFonts w:ascii="Calibri" w:hAnsi="Calibri"/>
                <w:b/>
                <w:color w:val="0B2545"/>
                <w:sz w:val="19"/>
              </w:rPr>
              <w:t>Verification</w:t>
            </w:r>
          </w:p>
        </w:tc>
        <w:tc>
          <w:tcPr>
            <w:tcW w:type="dxa" w:w="6726"/>
            <w:tcMar>
              <w:top w:w="80" w:type="dxa"/>
              <w:start w:w="120" w:type="dxa"/>
              <w:bottom w:w="80" w:type="dxa"/>
              <w:end w:w="120" w:type="dxa"/>
            </w:tcMar>
            <w:vAlign w:val="center"/>
            <w:shd w:fill="E8EEF5"/>
            <w:tcBorders>
              <w:top w:val="single" w:sz="6" w:space="0" w:color="B6CBD9"/>
              <w:start w:val="single" w:sz="6" w:space="0" w:color="B6CBD9"/>
              <w:bottom w:val="single" w:sz="6" w:space="0" w:color="B6CBD9"/>
              <w:end w:val="single" w:sz="6" w:space="0" w:color="B6CBD9"/>
              <w:insideH w:val="single" w:sz="6" w:space="0" w:color="B6CBD9"/>
              <w:insideV w:val="single" w:sz="6" w:space="0" w:color="B6CBD9"/>
            </w:tcBorders>
          </w:tcPr>
          <w:p>
            <w:pPr>
              <w:spacing w:after="0"/>
            </w:pPr>
            <w:r>
              <w:rPr>
                <w:rFonts w:ascii="Calibri" w:hAnsi="Calibri"/>
                <w:b/>
                <w:color w:val="0B2545"/>
                <w:sz w:val="19"/>
              </w:rPr>
              <w:t>Expected result</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b/>
                <w:color w:val="344054"/>
                <w:sz w:val="19"/>
              </w:rPr>
              <w:t>Upgrade script</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color w:val="344054"/>
                <w:sz w:val="19"/>
              </w:rPr>
              <w:t>Ends with "Upgrade succeeded".</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b/>
                <w:color w:val="344054"/>
                <w:sz w:val="19"/>
              </w:rPr>
              <w:t>Backend image</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color w:val="344054"/>
                <w:sz w:val="19"/>
              </w:rPr>
              <w:t>Ends with /backend:1.0.11.</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b/>
                <w:color w:val="344054"/>
                <w:sz w:val="19"/>
              </w:rPr>
              <w:t>Application</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color w:val="344054"/>
                <w:sz w:val="19"/>
              </w:rPr>
              <w:t>Loads after a hard refresh and accepts sign-in.</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b/>
                <w:color w:val="344054"/>
                <w:sz w:val="19"/>
              </w:rPr>
              <w:t>Projects</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color w:val="344054"/>
                <w:sz w:val="19"/>
              </w:rPr>
              <w:t>An existing project opens normally.</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b/>
                <w:color w:val="344054"/>
                <w:sz w:val="19"/>
              </w:rPr>
              <w:t>Documents</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color w:val="344054"/>
                <w:sz w:val="19"/>
              </w:rPr>
              <w:t>A PDF or DOCX downloads and opens.</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b/>
                <w:color w:val="344054"/>
                <w:sz w:val="19"/>
              </w:rPr>
              <w:t>Telemetry</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pPr>
              <w:spacing w:after="0"/>
            </w:pPr>
            <w:r>
              <w:rPr>
                <w:rFonts w:ascii="Calibri" w:hAnsi="Calibri"/>
                <w:color w:val="344054"/>
                <w:sz w:val="19"/>
              </w:rPr>
              <w:t>Application Insights is configured and receiving activity.</w:t>
            </w:r>
          </w:p>
        </w:tc>
      </w:tr>
      <w:tr>
        <w:trPr>
          <w:cantSplit/>
        </w:trPr>
        <w:tc>
          <w:tcPr>
            <w:tcW w:type="dxa" w:w="2300"/>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r>
              <w:t>External services</w:t>
            </w:r>
          </w:p>
        </w:tc>
        <w:tc>
          <w:tcPr>
            <w:tcW w:type="dxa" w:w="6726"/>
            <w:shd w:fill="FFFFFF"/>
            <w:tcBorders>
              <w:top w:val="single" w:sz="5" w:space="0" w:color="D0D5DD"/>
              <w:start w:val="single" w:sz="5" w:space="0" w:color="D0D5DD"/>
              <w:bottom w:val="single" w:sz="5" w:space="0" w:color="D0D5DD"/>
              <w:end w:val="single" w:sz="5" w:space="0" w:color="D0D5DD"/>
              <w:insideH w:val="single" w:sz="5" w:space="0" w:color="D0D5DD"/>
              <w:insideV w:val="single" w:sz="5" w:space="0" w:color="D0D5DD"/>
            </w:tcBorders>
            <w:tcMar>
              <w:top w:w="80" w:type="dxa"/>
              <w:start w:w="120" w:type="dxa"/>
              <w:bottom w:w="80" w:type="dxa"/>
              <w:end w:w="120" w:type="dxa"/>
            </w:tcMar>
            <w:vAlign w:val="center"/>
          </w:tcPr>
          <w:p>
            <w:r>
              <w:t>Settings &gt; API Keys is read-only; each required provider is configured or clearly requires administrator action through /install.</w:t>
            </w:r>
          </w:p>
        </w:tc>
      </w:tr>
    </w:tbl>
    <w:p>
      <w:pPr>
        <w:spacing w:after="0"/>
      </w:pPr>
    </w:p>
    <w:p>
      <w:pPr>
        <w:pStyle w:val="Heading2"/>
      </w:pPr>
      <w:r>
        <w:t>Step 8 - Confirm the deployed image</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2F4F7"/>
            <w:tcBorders>
              <w:top w:val="single" w:sz="6" w:space="0" w:color="D0D5DD"/>
              <w:start w:val="single" w:sz="6" w:space="0" w:color="D0D5DD"/>
              <w:bottom w:val="single" w:sz="6" w:space="0" w:color="D0D5DD"/>
              <w:end w:val="single" w:sz="6" w:space="0" w:color="D0D5DD"/>
              <w:insideH w:val="single" w:sz="6" w:space="0" w:color="D0D5DD"/>
              <w:insideV w:val="single" w:sz="6" w:space="0" w:color="D0D5DD"/>
            </w:tcBorders>
          </w:tcPr>
          <w:p>
            <w:pPr>
              <w:spacing w:before="60" w:after="60" w:line="240" w:lineRule="auto"/>
            </w:pPr>
            <w:r>
              <w:rPr>
                <w:rFonts w:ascii="Consolas" w:hAnsi="Consolas"/>
                <w:color w:val="101828"/>
                <w:sz w:val="18"/>
              </w:rPr>
              <w:t>az containerapp show --name backend --resource-group "&lt;MIKE-RESOURCE-GROUP&gt;" `</w:t>
            </w:r>
            <w:r>
              <w:br/>
            </w:r>
            <w:r>
              <w:rPr>
                <w:rFonts w:ascii="Consolas" w:hAnsi="Consolas"/>
                <w:color w:val="101828"/>
                <w:sz w:val="18"/>
              </w:rPr>
              <w:t xml:space="preserve">  --query "properties.template.containers[0].image" --output tsv</w:t>
            </w:r>
          </w:p>
        </w:tc>
      </w:tr>
    </w:tbl>
    <w:p>
      <w:pPr>
        <w:spacing w:after="0"/>
      </w:pPr>
    </w:p>
    <w:p>
      <w:r>
        <w:rPr>
          <w:rFonts w:ascii="Calibri" w:hAnsi="Calibri"/>
          <w:b/>
          <w:color w:val="0B2545"/>
          <w:sz w:val="22"/>
        </w:rPr>
        <w:t xml:space="preserve">Expected: </w:t>
      </w:r>
      <w:r>
        <w:rPr>
          <w:rFonts w:ascii="Calibri" w:hAnsi="Calibri"/>
          <w:color w:val="344054"/>
          <w:sz w:val="22"/>
        </w:rPr>
        <w:t>acrmikeoss.azurecr.io/backend:1.0.11</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08</w:t>
            </w:r>
            <w:r>
              <w:br/>
            </w:r>
            <w:r>
              <w:rPr>
                <w:rFonts w:ascii="Calibri" w:hAnsi="Calibri"/>
                <w:color w:val="0B2545"/>
                <w:sz w:val="20"/>
              </w:rPr>
              <w:t>Capture: PowerShell or the Azure Portal showing backend image acrmikeoss.azurecr.io/backend:1.0.11</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p>
      <w:pPr>
        <w:pStyle w:val="Heading2"/>
      </w:pPr>
      <w:r>
        <w:t>Step 9 - Hard-refresh and sign in</w:t>
      </w:r>
    </w:p>
    <w:p>
      <w:r>
        <w:t>Open the customer's Mike URL. Use Ctrl+F5 to discard the cached 1.0.9 or 1.0.10 frontend, then sign in normally.</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09</w:t>
            </w:r>
            <w:r>
              <w:br/>
            </w:r>
            <w:r>
              <w:rPr>
                <w:rFonts w:ascii="Calibri" w:hAnsi="Calibri"/>
                <w:color w:val="0B2545"/>
                <w:sz w:val="20"/>
              </w:rPr>
              <w:t>Capture: mike.altien.com loaded after Ctrl+F5 and a successful sign-in</w:t>
            </w:r>
            <w:r>
              <w:br/>
            </w:r>
            <w:r>
              <w:rPr>
                <w:rFonts w:ascii="Calibri" w:hAnsi="Calibri"/>
                <w:i/>
                <w:color w:val="667085"/>
                <w:sz w:val="17"/>
              </w:rPr>
              <w:t>Redact: personal browser profile details, email addresses, and customer-sensitive project names.</w:t>
            </w:r>
            <w:r>
              <w:br/>
            </w:r>
            <w:r>
              <w:rPr>
                <w:rFonts w:ascii="Calibri" w:hAnsi="Calibri"/>
                <w:color w:val="667085"/>
                <w:sz w:val="17"/>
              </w:rPr>
              <w:t>Replace this box during the mike.altien.com rehearsal.</w:t>
            </w:r>
          </w:p>
        </w:tc>
      </w:tr>
    </w:tbl>
    <w:p>
      <w:pPr>
        <w:spacing w:after="0"/>
      </w:pPr>
    </w:p>
    <w:p>
      <w:pPr>
        <w:pStyle w:val="Heading2"/>
      </w:pPr>
      <w:r>
        <w:t>Step 10 - Exercise an existing project and document</w:t>
      </w:r>
    </w:p>
    <w:p>
      <w:r>
        <w:t>Open an existing project, open the Documents view, and download a real PDF or DOCX. Confirm that the file arrives and opens successfully.</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10</w:t>
            </w:r>
            <w:r>
              <w:br/>
            </w:r>
            <w:r>
              <w:rPr>
                <w:rFonts w:ascii="Calibri" w:hAnsi="Calibri"/>
                <w:color w:val="0B2545"/>
                <w:sz w:val="20"/>
              </w:rPr>
              <w:t>Capture: an existing project open in Mike</w:t>
            </w:r>
            <w:r>
              <w:br/>
            </w:r>
            <w:r>
              <w:rPr>
                <w:rFonts w:ascii="Calibri" w:hAnsi="Calibri"/>
                <w:i/>
                <w:color w:val="667085"/>
                <w:sz w:val="17"/>
              </w:rPr>
              <w:t>Redact: customer names, matter names, project names, and confidential document titles.</w:t>
            </w:r>
            <w:r>
              <w:br/>
            </w:r>
            <w:r>
              <w:rPr>
                <w:rFonts w:ascii="Calibri" w:hAnsi="Calibri"/>
                <w:color w:val="667085"/>
                <w:sz w:val="17"/>
              </w:rPr>
              <w:t>Replace this box during the mike.altien.com rehearsal.</w:t>
            </w:r>
          </w:p>
        </w:tc>
      </w:tr>
    </w:tbl>
    <w:p>
      <w:pPr>
        <w:spacing w:after="0"/>
      </w:pP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11</w:t>
            </w:r>
            <w:r>
              <w:br/>
            </w:r>
            <w:r>
              <w:rPr>
                <w:rFonts w:ascii="Calibri" w:hAnsi="Calibri"/>
                <w:color w:val="0B2545"/>
                <w:sz w:val="20"/>
              </w:rPr>
              <w:t>Capture: a document Download action and the successfully downloaded file</w:t>
            </w:r>
            <w:r>
              <w:br/>
            </w:r>
            <w:r>
              <w:rPr>
                <w:rFonts w:ascii="Calibri" w:hAnsi="Calibri"/>
                <w:i/>
                <w:color w:val="667085"/>
                <w:sz w:val="17"/>
              </w:rPr>
              <w:t>Redact: customer-sensitive filenames and document content.</w:t>
            </w:r>
            <w:r>
              <w:br/>
            </w:r>
            <w:r>
              <w:rPr>
                <w:rFonts w:ascii="Calibri" w:hAnsi="Calibri"/>
                <w:color w:val="667085"/>
                <w:sz w:val="17"/>
              </w:rPr>
              <w:t>Replace this box during the mike.altien.com rehearsal.</w:t>
            </w:r>
          </w:p>
        </w:tc>
      </w:tr>
    </w:tbl>
    <w:p>
      <w:pPr>
        <w:spacing w:after="0"/>
      </w:pPr>
    </w:p>
    <w:p>
      <w:pPr>
        <w:pStyle w:val="Heading2"/>
      </w:pPr>
      <w:r>
        <w:t>Step 11 - Confirm telemetry</w:t>
      </w:r>
    </w:p>
    <w:p>
      <w:r>
        <w:t>Open /install and confirm that Application Insights (telemetry / monitoring) passes. Then open the Application Insights resource in Azure and confirm that recent activity appears after using the application; allow several minutes for new telemetry to arrive.</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12</w:t>
            </w:r>
            <w:r>
              <w:br/>
            </w:r>
            <w:r>
              <w:rPr>
                <w:rFonts w:ascii="Calibri" w:hAnsi="Calibri"/>
                <w:color w:val="0B2545"/>
                <w:sz w:val="20"/>
              </w:rPr>
              <w:t>Capture: the /install Application Insights row shown as configured</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13</w:t>
            </w:r>
            <w:r>
              <w:br/>
            </w:r>
            <w:r>
              <w:rPr>
                <w:rFonts w:ascii="Calibri" w:hAnsi="Calibri"/>
                <w:color w:val="0B2545"/>
                <w:sz w:val="20"/>
              </w:rPr>
              <w:t>Capture: recent requests or activity visible in the Application Insights resource</w:t>
            </w:r>
            <w:r>
              <w:br/>
            </w:r>
            <w:r>
              <w:rPr>
                <w:rFonts w:ascii="Calibri" w:hAnsi="Calibri"/>
                <w:i/>
                <w:color w:val="667085"/>
                <w:sz w:val="17"/>
              </w:rPr>
              <w:t>Redact: subscription and tenant identifiers, email addresses, tokens, and secret values.</w:t>
            </w:r>
            <w:r>
              <w:br/>
            </w:r>
            <w:r>
              <w:rPr>
                <w:rFonts w:ascii="Calibri" w:hAnsi="Calibri"/>
                <w:color w:val="667085"/>
                <w:sz w:val="17"/>
              </w:rPr>
              <w:t>Replace this box during the mike.altien.com rehearsal.</w:t>
            </w:r>
          </w:p>
        </w:tc>
      </w:tr>
    </w:tbl>
    <w:p>
      <w:pPr>
        <w:spacing w:after="0"/>
      </w:pPr>
    </w:p>
    <w:p>
      <w:pPr>
        <w:pStyle w:val="Heading2"/>
      </w:pPr>
      <w:r>
        <w:t>Step 12 - Confirm organisation external services</w:t>
      </w:r>
    </w:p>
    <w:p>
      <w:pPr/>
      <w:r>
        <w:t>Open Settings &gt; API Keys. This page is read-only: provider credentials are shared by the organisation and stored in Azure Key Vault. Confirm that every provider the customer uses shows Configured for this organisation. If a provider shows Administrator action required, an administrator must open /install and configure it; ordinary users must not paste personal provider keys.</w:t>
      </w:r>
    </w:p>
    <w:p>
      <w:pPr/>
      <w:r>
        <w:t>CourtListener uses the Key Vault secret courtlistener-api-token. The upgrade preserves existing Key Vault secrets, so no manual action is required when the token already exists. If it is missing, the administrator adds it through /install before users enable US legal research.</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14</w:t>
            </w:r>
            <w:r>
              <w:br/>
            </w:r>
            <w:r>
              <w:rPr>
                <w:rFonts w:ascii="Calibri" w:hAnsi="Calibri"/>
                <w:color w:val="0B2545"/>
                <w:sz w:val="20"/>
              </w:rPr>
              <w:t>Capture: Settings &gt; API Keys showing organisation-wide provider status and the CourtListener Key Vault name courtlistener-api-token</w:t>
            </w:r>
            <w:r>
              <w:br/>
            </w:r>
            <w:r>
              <w:rPr>
                <w:rFonts w:ascii="Calibri" w:hAnsi="Calibri"/>
                <w:i/>
                <w:color w:val="667085"/>
                <w:sz w:val="17"/>
              </w:rPr>
              <w:t>Redact: customer URLs, tenant details, account details, and any secret values.</w:t>
            </w:r>
            <w:r>
              <w:br/>
            </w:r>
            <w:r>
              <w:rPr>
                <w:rFonts w:ascii="Calibri" w:hAnsi="Calibri"/>
                <w:color w:val="667085"/>
                <w:sz w:val="17"/>
              </w:rPr>
              <w:t>Replace this box during the mike.altien.com rehearsal.</w:t>
            </w:r>
          </w:p>
        </w:tc>
      </w:tr>
    </w:tbl>
    <w:p>
      <w:pPr>
        <w:pStyle w:val="Heading1"/>
      </w:pPr>
      <w:r>
        <w:t>Additional checks when starting from 1.0.9</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single" w:sz="8" w:space="0" w:color="2E74B5"/>
              <w:start w:val="single" w:sz="8" w:space="0" w:color="2E74B5"/>
              <w:bottom w:val="single" w:sz="8" w:space="0" w:color="2E74B5"/>
              <w:end w:val="single" w:sz="8" w:space="0" w:color="2E74B5"/>
              <w:insideH w:val="single" w:sz="8" w:space="0" w:color="2E74B5"/>
              <w:insideV w:val="single" w:sz="8" w:space="0" w:color="2E74B5"/>
            </w:tcBorders>
          </w:tcPr>
          <w:p>
            <w:pPr>
              <w:spacing w:before="40" w:after="40"/>
            </w:pPr>
            <w:r>
              <w:rPr>
                <w:rFonts w:ascii="Calibri" w:hAnsi="Calibri"/>
                <w:b/>
                <w:color w:val="0B2545"/>
                <w:sz w:val="21"/>
              </w:rPr>
              <w:t xml:space="preserve">Applies only to 1.0.9: </w:t>
            </w:r>
            <w:r>
              <w:rPr>
                <w:rFonts w:ascii="Calibri" w:hAnsi="Calibri"/>
                <w:color w:val="344054"/>
                <w:sz w:val="21"/>
              </w:rPr>
              <w:t>Skip this section when the starting backend image was 1.0.10.</w:t>
            </w:r>
          </w:p>
        </w:tc>
      </w:tr>
    </w:tbl>
    <w:p>
      <w:pPr>
        <w:spacing w:after="0"/>
      </w:pPr>
    </w:p>
    <w:p>
      <w:pPr>
        <w:pStyle w:val="Heading2"/>
      </w:pPr>
      <w:r>
        <w:t>Document downloads</w:t>
      </w:r>
    </w:p>
    <w:p>
      <w:r>
        <w:t>Version 1.0.9 could crash the backend when Download was selected. The test in Phase 3 is therefore mandatory for a 1.0.9 upgrade. The 1.0.11 backend creates its download-signing secret automatically if the older installation does not have one.</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FF7E0"/>
            <w:tcBorders>
              <w:top w:val="single" w:sz="8" w:space="0" w:color="C89319"/>
              <w:start w:val="single" w:sz="8" w:space="0" w:color="C89319"/>
              <w:bottom w:val="single" w:sz="8" w:space="0" w:color="C89319"/>
              <w:end w:val="single" w:sz="8" w:space="0" w:color="C89319"/>
              <w:insideH w:val="single" w:sz="8" w:space="0" w:color="C89319"/>
              <w:insideV w:val="single" w:sz="8" w:space="0" w:color="C89319"/>
            </w:tcBorders>
          </w:tcPr>
          <w:p>
            <w:pPr>
              <w:spacing w:before="40" w:after="40"/>
            </w:pPr>
            <w:r>
              <w:rPr>
                <w:rFonts w:ascii="Calibri" w:hAnsi="Calibri"/>
                <w:b/>
                <w:color w:val="0B2545"/>
                <w:sz w:val="21"/>
              </w:rPr>
              <w:t xml:space="preserve">Known behaviour: </w:t>
            </w:r>
            <w:r>
              <w:rPr>
                <w:rFonts w:ascii="Calibri" w:hAnsi="Calibri"/>
                <w:color w:val="344054"/>
                <w:sz w:val="21"/>
              </w:rPr>
              <w:t>Download links already embedded in old chat history may no longer validate. The files remain intact; download them again from the Documents view.</w:t>
            </w:r>
          </w:p>
        </w:tc>
      </w:tr>
    </w:tbl>
    <w:p>
      <w:pPr>
        <w:spacing w:after="0"/>
      </w:pPr>
    </w:p>
    <w:p>
      <w:pPr>
        <w:pStyle w:val="Heading2"/>
      </w:pPr>
      <w:r>
        <w:t>MCP connector encryption key</w:t>
      </w:r>
    </w:p>
    <w:p>
      <w:r>
        <w:t>The 1.0.9 Marketplace template did not create mcp-connectors-encryption-key. This does not block the upgrade or normal application use. It matters only if the customer uses MCP connectors.</w:t>
      </w:r>
    </w:p>
    <w:p>
      <w:r>
        <w:rPr>
          <w:rFonts w:ascii="Calibri" w:hAnsi="Calibri"/>
          <w:b/>
          <w:color w:val="0B2545"/>
          <w:sz w:val="22"/>
        </w:rPr>
        <w:t xml:space="preserve">If the secret already exists: </w:t>
      </w:r>
      <w:r>
        <w:rPr>
          <w:rFonts w:ascii="Calibri" w:hAnsi="Calibri"/>
          <w:color w:val="344054"/>
          <w:sz w:val="22"/>
        </w:rPr>
        <w:t>Do not replace or rotate it. Existing connector credentials are encrypted with that value.</w:t>
      </w:r>
    </w:p>
    <w:p>
      <w:r>
        <w:rPr>
          <w:rFonts w:ascii="Calibri" w:hAnsi="Calibri"/>
          <w:b/>
          <w:color w:val="0B2545"/>
          <w:sz w:val="22"/>
        </w:rPr>
        <w:t xml:space="preserve">If the secret is absent and MCP connectors are required: </w:t>
      </w:r>
      <w:r>
        <w:rPr>
          <w:rFonts w:ascii="Calibri" w:hAnsi="Calibri"/>
          <w:color w:val="344054"/>
          <w:sz w:val="22"/>
        </w:rPr>
        <w:t>Ask Mike support to create one stable Key Vault secret named mcp-connectors-encryption-key with at least 32 random characters. Never include the value in this guide, screenshots, email, or support logs.</w:t>
      </w: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3F7FA"/>
            <w:tcBorders>
              <w:top w:val="dashed" w:sz="8" w:space="0" w:color="9FBAD0"/>
              <w:start w:val="dashed" w:sz="8" w:space="0" w:color="9FBAD0"/>
              <w:bottom w:val="dashed" w:sz="8" w:space="0" w:color="9FBAD0"/>
              <w:end w:val="dashed" w:sz="8" w:space="0" w:color="9FBAD0"/>
              <w:insideH w:val="dashed" w:sz="8" w:space="0" w:color="9FBAD0"/>
              <w:insideV w:val="dashed" w:sz="8" w:space="0" w:color="9FBAD0"/>
            </w:tcBorders>
          </w:tcPr>
          <w:p>
            <w:pPr>
              <w:pStyle w:val="ScreenshotPlaceholder"/>
              <w:jc w:val="center"/>
            </w:pPr>
            <w:r>
              <w:rPr>
                <w:rFonts w:ascii="Calibri" w:hAnsi="Calibri"/>
                <w:b/>
                <w:color w:val="2E74B5"/>
                <w:sz w:val="21"/>
              </w:rPr>
              <w:t>SCREENSHOT PLACEHOLDER 15</w:t>
            </w:r>
            <w:r>
              <w:br/>
            </w:r>
            <w:r>
              <w:rPr>
                <w:rFonts w:ascii="Calibri" w:hAnsi="Calibri"/>
                <w:color w:val="0B2545"/>
                <w:sz w:val="20"/>
              </w:rPr>
              <w:t>Capture: the Key Vault secret list showing the name mcp-connectors-encryption-key only</w:t>
            </w:r>
            <w:r>
              <w:br/>
            </w:r>
            <w:r>
              <w:rPr>
                <w:rFonts w:ascii="Calibri" w:hAnsi="Calibri"/>
                <w:i/>
                <w:color w:val="667085"/>
                <w:sz w:val="17"/>
              </w:rPr>
              <w:t>Redact: all secret values, versions, identifiers, and access-policy details.</w:t>
            </w:r>
            <w:r>
              <w:br/>
            </w:r>
            <w:r>
              <w:rPr>
                <w:rFonts w:ascii="Calibri" w:hAnsi="Calibri"/>
                <w:color w:val="667085"/>
                <w:sz w:val="17"/>
              </w:rPr>
              <w:t>Replace this box during the mike.altien.com rehearsal.</w:t>
            </w:r>
          </w:p>
        </w:tc>
      </w:tr>
    </w:tbl>
    <w:p>
      <w:pPr>
        <w:spacing w:after="0"/>
      </w:pPr>
    </w:p>
    <w:p>
      <w:pPr>
        <w:pStyle w:val="Heading1"/>
      </w:pPr>
      <w:r>
        <w:t>If the upgrade reports a failure</w:t>
      </w:r>
    </w:p>
    <w:p>
      <w:r>
        <w:rPr>
          <w:rFonts w:ascii="Calibri" w:hAnsi="Calibri"/>
          <w:b/>
          <w:color w:val="0B2545"/>
          <w:sz w:val="22"/>
        </w:rPr>
        <w:t xml:space="preserve">Migration failure: </w:t>
      </w:r>
      <w:r>
        <w:rPr>
          <w:rFonts w:ascii="Calibri" w:hAnsi="Calibri"/>
          <w:color w:val="344054"/>
          <w:sz w:val="22"/>
        </w:rPr>
        <w:t>The backend remains on its starting image. Do not promote it manually.</w:t>
      </w:r>
    </w:p>
    <w:p>
      <w:r>
        <w:rPr>
          <w:rFonts w:ascii="Calibri" w:hAnsi="Calibri"/>
          <w:b/>
          <w:color w:val="0B2545"/>
          <w:sz w:val="22"/>
        </w:rPr>
        <w:t xml:space="preserve">Verification failure: </w:t>
      </w:r>
      <w:r>
        <w:rPr>
          <w:rFonts w:ascii="Calibri" w:hAnsi="Calibri"/>
          <w:color w:val="344054"/>
          <w:sz w:val="22"/>
        </w:rPr>
        <w:t>The script attempts to restore the previous backend image automatically.</w:t>
      </w:r>
    </w:p>
    <w:p>
      <w:r>
        <w:rPr>
          <w:rFonts w:ascii="Calibri" w:hAnsi="Calibri"/>
          <w:b/>
          <w:color w:val="0B2545"/>
          <w:sz w:val="22"/>
        </w:rPr>
        <w:t xml:space="preserve">Next action: </w:t>
      </w:r>
      <w:r>
        <w:rPr>
          <w:rFonts w:ascii="Calibri" w:hAnsi="Calibri"/>
          <w:color w:val="344054"/>
          <w:sz w:val="22"/>
        </w:rPr>
        <w:t>Keep the PowerShell window open, save the complete command output, and contact Mike support through the normal support channel. Do not redeploy the Marketplace template or edit Container Apps and Key Vault manually.</w:t>
      </w:r>
    </w:p>
    <w:p>
      <w:pPr>
        <w:pStyle w:val="Heading1"/>
      </w:pPr>
      <w:r>
        <w:t>Completion record</w:t>
      </w:r>
    </w:p>
    <w:tbl>
      <w:tblPr>
        <w:tblW w:type="dxa" w:w="9026"/>
        <w:jc w:val="left"/>
        <w:tblLayout w:type="fixed"/>
        <w:tblLook w:firstColumn="1" w:firstRow="1" w:lastColumn="0" w:lastRow="0" w:noHBand="0" w:noVBand="1" w:val="04A0"/>
        <w:tblInd w:w="120" w:type="dxa"/>
      </w:tblPr>
      <w:tblGrid>
        <w:gridCol w:w="1700"/>
        <w:gridCol w:w="7326"/>
      </w:tblGrid>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Upgrade date</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[Enter date and time]</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Operator</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[Enter name]</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Resource group</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[Enter resource group]</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Starting version</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[1.0.9 or 1.0.10]</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Final version</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1.0.11</w:t>
            </w:r>
          </w:p>
        </w:tc>
      </w:tr>
      <w:tr>
        <w:trPr>
          <w:cantSplit/>
        </w:trPr>
        <w:tc>
          <w:tcPr>
            <w:tcW w:type="dxa" w:w="1700"/>
            <w:tcMar>
              <w:top w:w="80" w:type="dxa"/>
              <w:start w:w="120" w:type="dxa"/>
              <w:bottom w:w="80" w:type="dxa"/>
              <w:end w:w="120" w:type="dxa"/>
            </w:tcMar>
            <w:vAlign w:val="center"/>
            <w:shd w:fill="E8EEF5"/>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b/>
                <w:color w:val="0B2545"/>
                <w:sz w:val="20"/>
              </w:rPr>
              <w:t>Final status</w:t>
            </w:r>
          </w:p>
        </w:tc>
        <w:tc>
          <w:tcPr>
            <w:tcW w:type="dxa" w:w="7326"/>
            <w:tcMar>
              <w:top w:w="80" w:type="dxa"/>
              <w:start w:w="120" w:type="dxa"/>
              <w:bottom w:w="80" w:type="dxa"/>
              <w:end w:w="120" w:type="dxa"/>
            </w:tcMar>
            <w:vAlign w:val="center"/>
            <w:shd w:fill="FFFFFF"/>
            <w:tcBorders>
              <w:top w:val="single" w:sz="5" w:space="0" w:color="C7D7E4"/>
              <w:start w:val="single" w:sz="5" w:space="0" w:color="C7D7E4"/>
              <w:bottom w:val="single" w:sz="5" w:space="0" w:color="C7D7E4"/>
              <w:end w:val="single" w:sz="5" w:space="0" w:color="C7D7E4"/>
              <w:insideH w:val="single" w:sz="5" w:space="0" w:color="C7D7E4"/>
              <w:insideV w:val="single" w:sz="5" w:space="0" w:color="C7D7E4"/>
            </w:tcBorders>
          </w:tcPr>
          <w:p>
            <w:pPr>
              <w:spacing w:after="0"/>
            </w:pPr>
            <w:r>
              <w:rPr>
                <w:rFonts w:ascii="Calibri" w:hAnsi="Calibri"/>
                <w:color w:val="344054"/>
                <w:sz w:val="20"/>
              </w:rPr>
              <w:t>[Successful / Rolled back / Escalated]</w:t>
            </w:r>
          </w:p>
        </w:tc>
      </w:tr>
    </w:tbl>
    <w:p>
      <w:pPr>
        <w:spacing w:after="0"/>
      </w:pPr>
    </w:p>
    <w:tbl>
      <w:tblPr>
        <w:tblW w:type="dxa" w:w="9026"/>
        <w:jc w:val="left"/>
        <w:tblLayout w:type="fixed"/>
        <w:tblLook w:firstColumn="1" w:firstRow="1" w:lastColumn="0" w:lastRow="0" w:noHBand="0" w:noVBand="1" w:val="04A0"/>
        <w:tblInd w:w="120" w:type="dxa"/>
      </w:tblPr>
      <w:tblGrid>
        <w:gridCol w:w="9026"/>
      </w:tblGrid>
      <w:tr>
        <w:trPr>
          <w:cantSplit/>
        </w:trPr>
        <w:tc>
          <w:tcPr>
            <w:tcW w:type="dxa" w:w="9026"/>
            <w:tcMar>
              <w:top w:w="80" w:type="dxa"/>
              <w:start w:w="120" w:type="dxa"/>
              <w:bottom w:w="80" w:type="dxa"/>
              <w:end w:w="120" w:type="dxa"/>
            </w:tcMar>
            <w:vAlign w:val="center"/>
            <w:shd w:fill="FFF7E0"/>
            <w:tcBorders>
              <w:top w:val="single" w:sz="8" w:space="0" w:color="C89319"/>
              <w:start w:val="single" w:sz="8" w:space="0" w:color="C89319"/>
              <w:bottom w:val="single" w:sz="8" w:space="0" w:color="C89319"/>
              <w:end w:val="single" w:sz="8" w:space="0" w:color="C89319"/>
              <w:insideH w:val="single" w:sz="8" w:space="0" w:color="C89319"/>
              <w:insideV w:val="single" w:sz="8" w:space="0" w:color="C89319"/>
            </w:tcBorders>
          </w:tcPr>
          <w:p>
            <w:pPr>
              <w:spacing w:before="40" w:after="40"/>
            </w:pPr>
            <w:r>
              <w:rPr>
                <w:rFonts w:ascii="Calibri" w:hAnsi="Calibri"/>
                <w:b/>
                <w:color w:val="0B2545"/>
                <w:sz w:val="21"/>
              </w:rPr>
              <w:t xml:space="preserve">Before sharing this guide: </w:t>
            </w:r>
            <w:r>
              <w:rPr>
                <w:rFonts w:ascii="Calibri" w:hAnsi="Calibri"/>
                <w:color w:val="344054"/>
                <w:sz w:val="21"/>
              </w:rPr>
              <w:t>Replace every screenshot placeholder captured during the mike.altien.com rehearsal. Crop or redact subscription IDs, tenant IDs, email addresses, access tokens, secret values, customer names, project names, and confidential document titles.</w:t>
            </w:r>
          </w:p>
        </w:tc>
      </w:tr>
    </w:tbl>
    <w:p>
      <w:pPr>
        <w:spacing w:after="0"/>
      </w:pPr>
    </w:p>
    <w:sectPr w:rsidR="00FC693F" w:rsidRPr="0006063C" w:rsidSect="00034616">
      <w:headerReference w:type="default" r:id="rId9"/>
      <w:headerReference w:type="first" r:id="rId10"/>
      <w:footerReference w:type="default" r:id="rId11"/>
      <w:footerReference w:type="first" r:id="rId12"/>
      <w:pgSz w:w="11905" w:h="16838"/>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Calibri" w:hAnsi="Calibri"/>
        <w:color w:val="667085"/>
        <w:sz w:val="17"/>
      </w:rPr>
      <w:t xml:space="preserve">Version 1.0.11  |  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Calibri" w:hAnsi="Calibri"/>
        <w:color w:val="667085"/>
        <w:sz w:val="17"/>
      </w:rPr>
      <w:t xml:space="preserve">Version 1.0.11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Calibri" w:hAnsi="Calibri"/>
        <w:color w:val="667085"/>
        <w:sz w:val="17"/>
      </w:rPr>
      <w:t>MikeOssAzure | Customer upgrade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40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F476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40" w:lineRule="auto"/>
    </w:pPr>
    <w:rPr>
      <w:rFonts w:asciiTheme="majorHAnsi" w:eastAsiaTheme="majorEastAsia" w:hAnsiTheme="majorHAnsi" w:cstheme="majorBidi" w:ascii="Calibri" w:hAnsi="Calibri"/>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Placeholder">
    <w:name w:val="Screenshot Placeholder"/>
    <w:pPr>
      <w:spacing w:before="60" w:after="60" w:line="276" w:lineRule="auto"/>
    </w:pPr>
    <w:rPr>
      <w:rFonts w:ascii="Calibri" w:hAnsi="Calibri"/>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Upgrading MikeOssAzure to 1.0.11</dc:title>
  <dc:subject>Customer upgrade guide for Marketplace installations</dc:subject>
  <dc:creator>python-docx</dc:creator>
  <cp:keywords>MikeOssAzure, upgrade, Azure Marketplace, 1.0.11</cp:keywords>
  <dc:description>generated by python-docx</dc:description>
  <cp:lastModifiedBy/>
  <cp:revision>1</cp:revision>
  <dcterms:created xsi:type="dcterms:W3CDTF">2013-12-23T23:15:00Z</dcterms:created>
  <dcterms:modified xsi:type="dcterms:W3CDTF">2013-12-23T23:15:00Z</dcterms:modified>
  <cp:category/>
</cp:coreProperties>
</file>