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DA34D" w14:textId="77777777" w:rsidR="008D7078" w:rsidRPr="00C613BE" w:rsidRDefault="008D7078" w:rsidP="00C14660">
      <w:pPr>
        <w:pStyle w:val="2"/>
        <w:spacing w:before="156" w:after="156" w:line="240" w:lineRule="auto"/>
        <w:jc w:val="center"/>
        <w:rPr>
          <w:rFonts w:cs="Times New Roman"/>
          <w:bCs/>
          <w:sz w:val="21"/>
          <w:szCs w:val="21"/>
          <w14:ligatures w14:val="standardContextual"/>
        </w:rPr>
      </w:pPr>
      <w:r w:rsidRPr="00C613BE">
        <w:rPr>
          <w:rFonts w:cs="Times New Roman"/>
          <w:bCs/>
          <w:sz w:val="21"/>
          <w:szCs w:val="21"/>
          <w14:ligatures w14:val="standardContextual"/>
        </w:rPr>
        <w:t>Climate Change Exacerbates Inequities in Island Energy System Investments</w:t>
      </w:r>
    </w:p>
    <w:p w14:paraId="353715FD" w14:textId="176914BF" w:rsidR="00843A87" w:rsidRPr="00C613BE" w:rsidRDefault="00BF1577" w:rsidP="00C14660">
      <w:pPr>
        <w:pStyle w:val="2"/>
        <w:spacing w:before="156" w:after="156" w:line="240" w:lineRule="auto"/>
        <w:rPr>
          <w:rFonts w:cs="Times New Roman"/>
          <w:sz w:val="21"/>
          <w:szCs w:val="21"/>
        </w:rPr>
      </w:pPr>
      <w:r w:rsidRPr="00C613BE">
        <w:rPr>
          <w:rFonts w:cs="Times New Roman"/>
          <w:sz w:val="21"/>
          <w:szCs w:val="21"/>
        </w:rPr>
        <w:t>Authors</w:t>
      </w:r>
    </w:p>
    <w:p w14:paraId="24B78EA9" w14:textId="52D72DD2" w:rsidR="002A7A5A" w:rsidRPr="00C613BE" w:rsidRDefault="002A7A5A" w:rsidP="00C14660">
      <w:pPr>
        <w:pStyle w:val="2"/>
        <w:spacing w:before="156" w:after="156" w:line="240" w:lineRule="auto"/>
        <w:rPr>
          <w:rFonts w:cs="Times New Roman"/>
          <w:sz w:val="21"/>
          <w:szCs w:val="21"/>
        </w:rPr>
      </w:pPr>
      <w:bookmarkStart w:id="0" w:name="_Toc197555482"/>
      <w:bookmarkStart w:id="1" w:name="_Toc197894910"/>
      <w:bookmarkStart w:id="2" w:name="_Toc197555525"/>
      <w:bookmarkStart w:id="3" w:name="_Toc197611189"/>
      <w:bookmarkStart w:id="4" w:name="_Toc197620020"/>
      <w:r w:rsidRPr="00C613BE">
        <w:rPr>
          <w:rFonts w:cs="Times New Roman"/>
          <w:sz w:val="21"/>
          <w:szCs w:val="21"/>
        </w:rPr>
        <w:t>Abstract</w:t>
      </w:r>
    </w:p>
    <w:p w14:paraId="0157D0AC" w14:textId="58070860" w:rsidR="002A7A5A" w:rsidRPr="00C613BE" w:rsidRDefault="008D7078" w:rsidP="00C14660">
      <w:pPr>
        <w:ind w:firstLine="420"/>
        <w:rPr>
          <w:rFonts w:ascii="Times New Roman" w:hAnsi="Times New Roman" w:cs="Times New Roman"/>
        </w:rPr>
      </w:pPr>
      <w:r w:rsidRPr="00C613BE">
        <w:rPr>
          <w:rFonts w:ascii="Times New Roman" w:hAnsi="Times New Roman" w:cs="Times New Roman"/>
        </w:rPr>
        <w:t xml:space="preserve">This study analyzes how climate change amplifies global inequities in per capita energy investments across islands. High-latitude islands face elevated investment pressures due to seasonal mismatches between heating demand and renewable resources; disaster-prone regions require substantial additional investments in energy storage and LNG infrastructure. Economically vulnerable islands suffer disproportionately from climate risks, with RCP8.5 scenarios projecting significantly increased energy investment burdens for low-GDP nations. Even with declining technology costs, small island developing states (SIDS) will endure energy investment burdens far exceeding those of developed economies. </w:t>
      </w:r>
      <w:r w:rsidR="00623AF2" w:rsidRPr="00623AF2">
        <w:rPr>
          <w:rFonts w:ascii="Times New Roman" w:hAnsi="Times New Roman" w:cs="Times New Roman" w:hint="eastAsia"/>
        </w:rPr>
        <w:t>This demonstrates that geographic and socioeconomic factors create structural inequities that cannot be addressed by technology alone, necessitating international financing mechanisms and global cooperative frameworks.</w:t>
      </w:r>
    </w:p>
    <w:p w14:paraId="428F7DED" w14:textId="77777777" w:rsidR="002A7A5A" w:rsidRPr="00C613BE" w:rsidRDefault="002A7A5A" w:rsidP="00C14660">
      <w:pPr>
        <w:rPr>
          <w:rFonts w:ascii="Times New Roman" w:hAnsi="Times New Roman" w:cs="Times New Roman"/>
        </w:rPr>
      </w:pPr>
    </w:p>
    <w:p w14:paraId="60D490AF" w14:textId="77777777" w:rsidR="002A7A5A" w:rsidRPr="00C613BE" w:rsidRDefault="002A7A5A" w:rsidP="00C14660">
      <w:pPr>
        <w:rPr>
          <w:rFonts w:ascii="Times New Roman" w:hAnsi="Times New Roman" w:cs="Times New Roman"/>
        </w:rPr>
      </w:pPr>
    </w:p>
    <w:p w14:paraId="70EDC4CE" w14:textId="77777777" w:rsidR="00AB7920" w:rsidRDefault="00AB7920" w:rsidP="00C14660">
      <w:pPr>
        <w:rPr>
          <w:rFonts w:ascii="Times New Roman" w:hAnsi="Times New Roman" w:cs="Times New Roman"/>
        </w:rPr>
      </w:pPr>
    </w:p>
    <w:p w14:paraId="743B4066" w14:textId="2D86BF2F" w:rsidR="00114E98" w:rsidRPr="00CB7146" w:rsidRDefault="00CB7146" w:rsidP="00CB7146">
      <w:pPr>
        <w:pStyle w:val="2"/>
        <w:spacing w:before="156" w:after="156" w:line="240" w:lineRule="auto"/>
        <w:rPr>
          <w:rFonts w:cs="Times New Roman"/>
          <w:sz w:val="21"/>
          <w:szCs w:val="21"/>
        </w:rPr>
      </w:pPr>
      <w:r>
        <w:rPr>
          <w:rFonts w:cs="Times New Roman" w:hint="eastAsia"/>
          <w:sz w:val="21"/>
          <w:szCs w:val="21"/>
        </w:rPr>
        <w:t>Introduction</w:t>
      </w:r>
    </w:p>
    <w:p w14:paraId="6B8E94C7" w14:textId="67888910" w:rsidR="00621DF2"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Island energy systems </w:t>
      </w:r>
      <w:r w:rsidR="00114E98" w:rsidRPr="00114E98">
        <w:rPr>
          <w:rFonts w:ascii="Times New Roman" w:eastAsia="宋体" w:hAnsi="Times New Roman" w:cs="Times New Roman"/>
          <w:szCs w:val="21"/>
        </w:rPr>
        <w:t>face a critical</w:t>
      </w:r>
      <w:r w:rsidRPr="00C613BE">
        <w:rPr>
          <w:rFonts w:ascii="Times New Roman" w:eastAsia="宋体" w:hAnsi="Times New Roman" w:cs="Times New Roman"/>
          <w:szCs w:val="21"/>
        </w:rPr>
        <w:t xml:space="preserve"> triple challenge: high costs, carbon-intensive operations, and climate vulnerability. Fossil fuel-dominated supply models elevate marginal generation costs and amplify carbon lock-in risks due to isolated grid architectures</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{"citationID":"gSA7IB7C","properties":{"formattedCitation":"\\super 1\\uc0\\u8211{}3\\nosupersub{}","plainCitation":"1–3","noteIndex":0},"citationItems":[{"id":310,"uris":["http://zotero.org/users/16842078/items/XJG67D7I"],"itemData":{"id":310,"type":"webpage","abstract":"This special collection of country profiles takes stock of the latest developments in renewables in island settings around the world.","language":"en","title":"Renewable Energy Country Profiles - Special edition on islands","URL":"https://www.irena.org/publications/2012/Sep/Renewable-Energy-Country-Profiles---Special-edition-on-islands","accessed":{"date-parts":[["2025",5,11]]},"issued":{"date-parts":[["2012",9,1]]}},"label":"page"},{"id":353,"uris":["http://zotero.org/users/16842078/items/FEFLZQRK"],"itemData":{"id":353,"type":"article-journal","abstract":"Access to sustainable energy is crucial for achieving the Sustainable Development Goals. A particular challenge for countries like the Philippines, is to provide sustainable energy on its far-flung islands. Renewable energy technologies hold substantial potential for improving sustainability and reliability while decreasing costs. We present a socio-economic impact survey for a case study island: Cobrador represents a typical small Philippine island with a population of approximately 1,000. The implementation of solar power and batteries led to increased service hours, affordability and environmental soundness. We applied a household questionnaire focusing on electricity usage patterns and targeted 170 randomly selected households representing 70% of the population. Our data show a clear positive impact of the intervention on access to education, information, health services, and perceived safety, whereas we found a weaker impact on income generation. Overall, we reveal a beneficial impact on different aspects of the household's daily routine. However, we also identify significant differences in the electricity usage pattern of below-average and above-average income households, specifically with the latter more frequently using electricity for income generation. Future sustainable energy interventions need to be aligned with programs incentivizing poor household's electricity use for enabling all households to equally profit from sustainable energy.","container-title":"Technological Forecasting and Social Change","DOI":"10.1016/j.techfore.2020.119919","ISSN":"00401625","journalAbbreviation":"Technological Forecasting and Social Change","language":"en","page":"119919","source":"DOI.org (Crossref)","title":"Assessing the impact of renewable energy on local development and the Sustainable Development Goals: Insights from a small Philippine island","title-short":"Assessing the impact of renewable energy on local development and the Sustainable Development Goals","volume":"153","author":[{"family":"Bertheau","given":"Paul"}],"issued":{"date-parts":[["2020",4]]}},"label":"page"},{"id":363,"uris":["http://zotero.org/users/16842078/items/ZNG5SDLB"],"itemData":{"id":363,"type":"article-journal","abstract":"This article summarizes the experience gained from the study, the siting, the design and the dimensioning of hybrid power plants in autonomous insular power systems in Greece. Wind parks and photovoltaic stations are employed as the RES units, while Pumped Storage Systems (PSS), electrochemical lead acid batteries and electrolysis units for hydrogen production are alternatively investigated as storage units. The examined hybrid power plants operation aims either at the maximization of the RES penetration or at the power demand peak shaving. The hybrid power plants’ dimensioning is optimized using as a criterion either the RES annual penetration maximization or the optimization of the required investments economic indices. The work is integrated with an economic feasibility study for each investigated hybrid power plant. The hybrid power plants presented in this article refer to insular autonomous systems of very small size (Agios Efstratios, Castellorizo), small size (Karpathos–Kasos, Astypalaia), medium size (Rhodes, Samos) and large size (Crete). The article designates how the size of the insular system affects the hybrid power plant’s synthesis and operating algorithm. The investigated hybrid power plants are proved to be technically and economically feasible, regardless of the size of the hosting insular system. The sensitivity analysis of the required investments’ economic indices indicated that the produced electricity selling prices can be lower than the speciﬁc electricity production costs in the existing systems. In small and very small power systems, the economic feasibility of the introduced hybrid power plants is achieved with annual RES penetration higher than 90% of the annual electricity consumption.","container-title":"Applied Energy","DOI":"10.1016/j.apenergy.2015.11.085","ISSN":"03062619","journalAbbreviation":"Applied Energy","language":"en","page":"268-283","source":"DOI.org (Crossref)","title":"Hybrid power plants in non-interconnected insular systems","volume":"164","author":[{"family":"Katsaprakakis","given":"Dimitris Al."}],"issued":{"date-parts":[["2016",2]]}},"label":"page"}],"schema":"https://github.com/citation-style-language/schema/raw/master/csl-citation.json"}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1–3</w:t>
      </w:r>
      <w:r w:rsidR="00621DF2" w:rsidRPr="00C613BE">
        <w:rPr>
          <w:rFonts w:ascii="Times New Roman" w:hAnsi="Times New Roman" w:cs="Times New Roman"/>
          <w:kern w:val="0"/>
          <w:szCs w:val="21"/>
          <w:vertAlign w:val="superscript"/>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Concurrently, extreme climate events increasingly disrupt energy infrastructure, exposing systemic imbalances in security, sustainability, and equity</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{"citationID":"rUsypgW0","properties":{"formattedCitation":"\\super 4\\uc0\\u8211{}7\\nosupersub{}","plainCitation":"4–7","noteIndex":0},"citationItems":[{"id":351,"uris":["http://zotero.org/users/16842078/items/EI72PH8S"],"itemData":{"id":351,"type":"article-journal","container-title":"Renewable Energy","DOI":"10.1016/j.renene.2020.09.124","ISSN":"09601481","journalAbbreviation":"Renewable Energy","language":"en","page":"1554-1562","source":"DOI.org (Crossref)","title":"Latest progress in Sustainable Development using renewable energy technology","volume":"162","author":[{"family":"Østergaard","given":"Poul Alberg"},{"family":"Duic","given":"Neven"},{"family":"Noorollahi","given":"Younes"},{"family":"Kalogirou","given":"Soteris"}],"issued":{"date-parts":[["2020",12]]}}},{"id":364,"uris":["http://zotero.org/users/16842078/items/YJ3RZKYN"],"itemData":{"id":364,"type":"webpage","abstract":"Analysis in English on World about Climate Change and Environment, Disaster Management, Epidemic and more; published on 15 Sep 2020 by Kindernothilfe, Medico Intl. and 5count other organizations","language":"en","title":"WorldRiskReport 2020 - Focus: Forced Displacement and Migration - World | ReliefWeb","title-short":"WorldRiskReport 2020 - Focus","URL":"https://reliefweb.int/report/world/worldriskreport-2020-focus-forced-displacement-and-migration","accessed":{"date-parts":[["2025",5,11]]},"issued":{"date-parts":[["2020",9,15]]}}},{"id":367,"uris":["http://zotero.org/users/16842078/items/FZ93G2IV"],"itemData":{"id":367,"type":"article-journal","abstract":"Pacific Island Countries and Territories have set ambitious targets for energy access and the transition to sustainable energy. These efforts, however, are being severely impacted by shocks and stresses such as climate change, natural hazards and the COVID-19 pandemic. Resilience is a central pillar for energy policy in the region, but innovative approaches are needed to address these urgent challenges. Here we examine the role of research and innovation in supporting energy resilience in Pacific Island Countries and Territories. We argue that research and innovation in three key areas is needed: energy planning and innovative finance approaches tailored to the particular strengths and challenges in Pacific Island Countries and Territories; greater recognition and inclusion of community responses to energy challenges; and promotion of decentralized approaches to energy in terms of governance and technologies. Emerging from these three areas, we identify 11 research and innovation priorities to build the evidence base that will mobilize stakeholders in a collaborative effort to accelerate action on energy resilience.","container-title":"Nature Energy","DOI":"10.1038/s41560-021-00935-1","ISSN":"2058-7546","issue":"12","journalAbbreviation":"Nat Energy","language":"en","license":"2021 Springer Nature Limited","note":"publisher: Nature Publishing Group","page":"1098-1103","source":"www.nature.com","title":"A research and innovation agenda for energy resilience in Pacific Island Countries and Territories","volume":"6","author":[{"family":"To","given":"Long Seng"},{"family":"Bruce","given":"Anna"},{"family":"Munro","given":"Paul"},{"family":"Santagata","given":"Edoardo"},{"family":"MacGill","given":"Iain"},{"family":"Rawali","given":"Manu"},{"family":"Raturi","given":"Atul"}],"issued":{"date-parts":[["2021",12]]}}},{"id":346,"uris":["http://zotero.org/users/16842078/items/FCSNYNI9"],"itemData":{"id":346,"type":"article-journal","abstract":"Energy system optimization models often incorporate climate change impacts to examine different energy futures and draw insights that inform policy. However, increased risk of extreme weather events from climate change has proven more difficult to model. Here, we present an energy system optimization model that incorporates hurricane risks by combining storm probabilities with infrastructure fragility curves, and demonstrate its utility in the context of Puerto Rico, an island territory of the United States that had its energy system severely damaged by Hurricane Maria in 2017. The model assesses the potential to change grid architecture, fuel mix and grid hardening measures considering hurricane impacts as well as climate mitigation policies. When hurricane trends are included, 2040 electricity cost projections increase by 32% based on historical hurricane frequencies and by 82% for increased hurricane frequencies. Transitioning to renewables and natural gas reduces costs and emissions independent of climate mitigation policies.","container-title":"Nature Energy","DOI":"10.1038/s41560-020-00758-6","ISSN":"2058-7546","issue":"3","journalAbbreviation":"Nat Energy","language":"en","license":"2021 The Author(s), under exclusive licence to Springer Nature Limited","note":"publisher: Nature Publishing Group","page":"240-249","source":"www.nature.com","title":"Extending energy system modelling to include extreme weather risks and application to hurricane events in Puerto Rico","volume":"6","author":[{"family":"Bennett","given":"Jeffrey A."},{"family":"Trevisan","given":"Claire N."},{"family":"DeCarolis","given":"Joseph F."},{"family":"Ortiz-García","given":"Cecilio"},{"family":"Pérez-Lugo","given":"Marla"},{"family":"Etienne","given":"Bevin T."},{"family":"Clarens","given":"Andres F."}],"issued":{"date-parts":[["2021",3]]}}}],"schema":"https://github.com/citation-style-language/schema/raw/master/csl-citation.json"}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4–7</w:t>
      </w:r>
      <w:r w:rsidR="00621DF2" w:rsidRPr="00C613BE">
        <w:rPr>
          <w:rFonts w:ascii="Times New Roman" w:hAnsi="Times New Roman" w:cs="Times New Roman"/>
          <w:kern w:val="0"/>
          <w:szCs w:val="21"/>
          <w:vertAlign w:val="superscript"/>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This complex crisis disproportionately affects SIDS</w:t>
      </w:r>
      <w:r w:rsidR="00621DF2" w:rsidRPr="00C613BE">
        <w:rPr>
          <w:rFonts w:ascii="Times New Roman" w:hAnsi="Times New Roman" w:cs="Times New Roman"/>
          <w:kern w:val="0"/>
          <w:szCs w:val="21"/>
          <w:vertAlign w:val="superscript"/>
        </w:rPr>
        <w:fldChar w:fldCharType="begin"/>
      </w:r>
      <w:r w:rsidR="00621DF2" w:rsidRPr="00C613BE">
        <w:rPr>
          <w:rFonts w:ascii="Times New Roman" w:hAnsi="Times New Roman" w:cs="Times New Roman"/>
          <w:kern w:val="0"/>
          <w:szCs w:val="21"/>
          <w:vertAlign w:val="superscript"/>
        </w:rPr>
        <w:instrText xml:space="preserve"> ADDIN ZOTERO_ITEM CSL_CITATION {"citationID":"8eV3TEE6","properties":{"formattedCitation":"\\super 8\\nosupersub{}","plainCitation":"8","noteIndex":0},"citationItems":[{"id":357,"uris":["http://zotero.org/users/16842078/items/W3XMKYB3"],"itemData":{"id":357,"type":"article-journal","abstract":"Fiji is an island country with just over 300 small islands and approximately 853,000 people. It is a small island developing state (SIDS) that is heavily dependent on imported fossil fuel for its energy needs. The paper attempts to determine the past and current energy situation in Fiji, challenges faced and strategizes to overcome these challenges. In 2014, Fiji generated 859 GW h of grid electricity from 259.8 MW of power plants. Here, 45.4% of grid electricity was produced by hydro, 50.9% by diesel generators and the remaining by biomass. However, Fiji's transport sector is completely dependent on fossil fuels with fuel import bill equivalent to an average 58% of export earnings and taking up 21% of total import bill. The smallness of Fiji and dispersed islands within Fiji group leads to many challenges to have accessible, aﬀordable and sustainable energy supply. These challenges are comprehensively discussed in this paper. Strategies such as increasing private-public partnership in renewable energy projects, changing customer behavior, setting up a credible feed-in tariﬀ structure, developing locally owned business in renewable energy and energy eﬃciency, setting up of risk mitigation facilities and strengthening institutions supporting energy sector are discussed to overcome or minimize challenges.","container-title":"Renewable and Sustainable Energy Reviews","DOI":"10.1016/j.rser.2016.10.070","ISSN":"13640321","journalAbbreviation":"Renewable and Sustainable Energy Reviews","language":"en","page":"278-292","source":"DOI.org (Crossref)","title":"A review of Fiji's energy situation: Challenges and strategies as a small island developing state","title-short":"A review of Fiji's energy situation","volume":"75","author":[{"family":"Prasad","given":"Ravita D."},{"family":"Bansal","given":"R.C."},{"family":"Raturi","given":"Atul"}],"issued":{"date-parts":[["2017",8]]}}}],"schema":"https://github.com/citation-style-language/schema/raw/master/csl-citation.json"} </w:instrText>
      </w:r>
      <w:r w:rsidR="00621DF2" w:rsidRPr="00C613BE">
        <w:rPr>
          <w:rFonts w:ascii="Times New Roman" w:hAnsi="Times New Roman" w:cs="Times New Roman"/>
          <w:kern w:val="0"/>
          <w:szCs w:val="21"/>
          <w:vertAlign w:val="superscript"/>
        </w:rPr>
        <w:fldChar w:fldCharType="separate"/>
      </w:r>
      <w:r w:rsidR="00621DF2" w:rsidRPr="00C613BE">
        <w:rPr>
          <w:rFonts w:ascii="Times New Roman" w:hAnsi="Times New Roman" w:cs="Times New Roman"/>
          <w:kern w:val="0"/>
          <w:szCs w:val="21"/>
          <w:vertAlign w:val="superscript"/>
        </w:rPr>
        <w:t>8</w:t>
      </w:r>
      <w:r w:rsidR="00621DF2" w:rsidRPr="00C613BE">
        <w:rPr>
          <w:rFonts w:ascii="Times New Roman" w:hAnsi="Times New Roman" w:cs="Times New Roman"/>
          <w:kern w:val="0"/>
          <w:szCs w:val="21"/>
          <w:vertAlign w:val="superscript"/>
        </w:rPr>
        <w:fldChar w:fldCharType="end"/>
      </w:r>
      <w:r w:rsidRPr="00C613BE">
        <w:rPr>
          <w:rFonts w:ascii="Times New Roman" w:eastAsia="宋体" w:hAnsi="Times New Roman" w:cs="Times New Roman"/>
          <w:szCs w:val="21"/>
        </w:rPr>
        <w:t>, where generation costs can be 10-fold higher than continental averages. In 2021, island nations faced the world’s highest electricity price</w:t>
      </w:r>
      <w:r w:rsidRPr="00C613BE">
        <w:rPr>
          <w:rFonts w:ascii="Times New Roman" w:hAnsi="Times New Roman" w:cs="Times New Roman"/>
          <w:kern w:val="0"/>
          <w:szCs w:val="21"/>
          <w:vertAlign w:val="superscript"/>
        </w:rPr>
        <w:fldChar w:fldCharType="begin"/>
      </w:r>
      <w:r w:rsidRPr="00C613BE">
        <w:rPr>
          <w:rFonts w:ascii="Times New Roman" w:hAnsi="Times New Roman" w:cs="Times New Roman"/>
          <w:kern w:val="0"/>
          <w:szCs w:val="21"/>
          <w:vertAlign w:val="superscript"/>
        </w:rPr>
        <w:instrText xml:space="preserve"> ADDIN ZOTERO_ITEM CSL_CITATION {"citationID":"UYTeGDlb","properties":{"formattedCitation":"\\super 9\\nosupersub{}","plainCitation":"9","noteIndex":0},"citationItems":[{"id":369,"uris":["http://zotero.org/users/16842078/items/PITXV6DU"],"itemData":{"id":369,"type":"webpage","abstract":"Islands need resilient power systems more than ever. Clean energy can deliver - A commentary by Emi Bertoli, Silvia Laera, Floris van Dedem","container-title":"IEA","language":"en-GB","title":"Islands need resilient power systems more than ever. Clean energy can deliver – Analysis","URL":"https://www.iea.org/commentaries/islands-need-resilient-power-systems-more-than-ever-clean-energy-can-deliver","accessed":{"date-parts":[["2025",5,11]]},"issued":{"date-parts":[["2024",7,12]]}}}],"schema":"https://github.com/citation-style-language/schema/raw/master/csl-citation.json"} </w:instrText>
      </w:r>
      <w:r w:rsidRPr="00C613BE">
        <w:rPr>
          <w:rFonts w:ascii="Times New Roman" w:hAnsi="Times New Roman" w:cs="Times New Roman"/>
          <w:kern w:val="0"/>
          <w:szCs w:val="21"/>
          <w:vertAlign w:val="superscript"/>
        </w:rPr>
        <w:fldChar w:fldCharType="separate"/>
      </w:r>
      <w:r w:rsidRPr="00C613BE">
        <w:rPr>
          <w:rFonts w:ascii="Times New Roman" w:hAnsi="Times New Roman" w:cs="Times New Roman"/>
          <w:kern w:val="0"/>
          <w:szCs w:val="21"/>
          <w:vertAlign w:val="superscript"/>
        </w:rPr>
        <w:t>9</w:t>
      </w:r>
      <w:r w:rsidRPr="00C613BE">
        <w:rPr>
          <w:rFonts w:ascii="Times New Roman" w:hAnsi="Times New Roman" w:cs="Times New Roman"/>
          <w:kern w:val="0"/>
          <w:szCs w:val="21"/>
          <w:vertAlign w:val="superscript"/>
        </w:rPr>
        <w:fldChar w:fldCharType="end"/>
      </w:r>
      <w:r w:rsidRPr="00C613BE">
        <w:rPr>
          <w:rFonts w:ascii="Times New Roman" w:eastAsia="宋体" w:hAnsi="Times New Roman" w:cs="Times New Roman"/>
          <w:szCs w:val="21"/>
        </w:rPr>
        <w:t>. Addressing these challenges to meet island energy demands safely, sustainably, and affordably is imperative.</w:t>
      </w:r>
      <w:bookmarkEnd w:id="0"/>
      <w:bookmarkEnd w:id="1"/>
      <w:bookmarkEnd w:id="2"/>
      <w:bookmarkEnd w:id="3"/>
      <w:bookmarkEnd w:id="4"/>
      <w:r w:rsidRPr="00C613BE">
        <w:rPr>
          <w:rFonts w:ascii="Times New Roman" w:eastAsia="宋体" w:hAnsi="Times New Roman" w:cs="Times New Roman"/>
          <w:szCs w:val="21"/>
        </w:rPr>
        <w:t xml:space="preserve"> </w:t>
      </w:r>
    </w:p>
    <w:p w14:paraId="08D58677" w14:textId="1DB17254" w:rsidR="008D7078" w:rsidRPr="00C613BE" w:rsidRDefault="00696768" w:rsidP="00C14660">
      <w:pPr>
        <w:ind w:firstLineChars="200" w:firstLine="420"/>
        <w:rPr>
          <w:rFonts w:ascii="Times New Roman" w:eastAsia="宋体" w:hAnsi="Times New Roman" w:cs="Times New Roman"/>
          <w:szCs w:val="21"/>
        </w:rPr>
      </w:pPr>
      <w:r w:rsidRPr="00696768">
        <w:rPr>
          <w:rFonts w:ascii="Times New Roman" w:eastAsia="宋体" w:hAnsi="Times New Roman" w:cs="Times New Roman"/>
          <w:szCs w:val="21"/>
        </w:rPr>
        <w:t>Three interconnected constraints characterize</w:t>
      </w:r>
      <w:r>
        <w:rPr>
          <w:rFonts w:ascii="Times New Roman" w:eastAsia="宋体" w:hAnsi="Times New Roman" w:cs="Times New Roman" w:hint="eastAsia"/>
          <w:szCs w:val="21"/>
        </w:rPr>
        <w:t xml:space="preserve"> </w:t>
      </w:r>
      <w:r w:rsidR="008D7078" w:rsidRPr="00C613BE">
        <w:rPr>
          <w:rFonts w:ascii="Times New Roman" w:eastAsia="宋体" w:hAnsi="Times New Roman" w:cs="Times New Roman"/>
          <w:szCs w:val="21"/>
        </w:rPr>
        <w:t>this energy dilemma:</w:t>
      </w:r>
      <w:r w:rsidR="008D7078" w:rsidRPr="00C613BE">
        <w:rPr>
          <w:rFonts w:ascii="Times New Roman" w:hAnsi="Times New Roman" w:cs="Times New Roman"/>
        </w:rPr>
        <w:t xml:space="preserve"> </w:t>
      </w:r>
      <w:r w:rsidR="008D7078" w:rsidRPr="00C613BE">
        <w:rPr>
          <w:rFonts w:ascii="Times New Roman" w:eastAsia="宋体" w:hAnsi="Times New Roman" w:cs="Times New Roman"/>
          <w:szCs w:val="21"/>
        </w:rPr>
        <w:t xml:space="preserve">Spatial isolation elevates energy costs and climate exposure. Maritime supply chains </w:t>
      </w:r>
      <w:r>
        <w:rPr>
          <w:rFonts w:ascii="Times New Roman" w:eastAsia="宋体" w:hAnsi="Times New Roman" w:cs="Times New Roman" w:hint="eastAsia"/>
          <w:szCs w:val="21"/>
        </w:rPr>
        <w:t>increase</w:t>
      </w:r>
      <w:r w:rsidR="008D7078" w:rsidRPr="00C613BE">
        <w:rPr>
          <w:rFonts w:ascii="Times New Roman" w:eastAsia="宋体" w:hAnsi="Times New Roman" w:cs="Times New Roman"/>
          <w:szCs w:val="21"/>
        </w:rPr>
        <w:t xml:space="preserve"> logistics costs (contributing significantly to end-user tariffs) and </w:t>
      </w:r>
      <w:r w:rsidR="00050521" w:rsidRPr="00050521">
        <w:rPr>
          <w:rFonts w:ascii="Times New Roman" w:eastAsia="宋体" w:hAnsi="Times New Roman" w:cs="Times New Roman"/>
          <w:szCs w:val="21"/>
        </w:rPr>
        <w:t xml:space="preserve">heighten </w:t>
      </w:r>
      <w:r w:rsidR="008D7078" w:rsidRPr="00C613BE">
        <w:rPr>
          <w:rFonts w:ascii="Times New Roman" w:eastAsia="宋体" w:hAnsi="Times New Roman" w:cs="Times New Roman"/>
          <w:szCs w:val="21"/>
        </w:rPr>
        <w:t>disruption risks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{"citationID":"o20k11oR","properties":{"formattedCitation":"\\super 10\\nosupersub{}","plainCitation":"10","noteIndex":0},"citationItems":[{"id":370,"uris":["http://zotero.org/users/16842078/items/HSWR77EA"],"itemData":{"id":370,"type":"article-journal","abstract":"Most small islands, with populations of between 1000 and 100,000 inhabitants, have non-interconnected power generation systems consisting of thermal p…","container-title":"Renewable and Sustainable Energy Reviews","DOI":"10.1016/j.rser.2019.109417","ISSN":"1364-0321","language":"en-US","note":"publisher: Pergamon","page":"109417","source":"www.sciencedirect.com","title":"Hybrid renewable mini-grids on non-interconnected small islands: Review of case studies","title-short":"Hybrid renewable mini-grids on non-interconnected small islands","volume":"116","issued":{"date-parts":[["2019",12,1]]}}}],"schema":"https://github.com/citation-style-language/schema/raw/master/csl-citation.json"}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10</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008D7078" w:rsidRPr="00C613BE">
        <w:rPr>
          <w:rFonts w:ascii="Times New Roman" w:eastAsia="宋体" w:hAnsi="Times New Roman" w:cs="Times New Roman"/>
          <w:szCs w:val="21"/>
        </w:rPr>
        <w:t xml:space="preserve">Resource limitations intensify reliance on carbon-intensive facilities and storage, </w:t>
      </w:r>
      <w:r w:rsidR="00050521" w:rsidRPr="00050521">
        <w:rPr>
          <w:rFonts w:ascii="Times New Roman" w:eastAsia="宋体" w:hAnsi="Times New Roman" w:cs="Times New Roman"/>
          <w:szCs w:val="21"/>
        </w:rPr>
        <w:t>preventing economies of scale and inter-regional power exchanges.</w:t>
      </w:r>
      <w:r w:rsidR="008D7078" w:rsidRPr="00C613BE">
        <w:rPr>
          <w:rFonts w:ascii="Times New Roman" w:eastAsia="宋体" w:hAnsi="Times New Roman" w:cs="Times New Roman"/>
          <w:szCs w:val="21"/>
        </w:rPr>
        <w:t xml:space="preserve"> Path dependency </w:t>
      </w:r>
      <w:r w:rsidR="00794452" w:rsidRPr="00794452">
        <w:rPr>
          <w:rFonts w:ascii="Times New Roman" w:eastAsia="宋体" w:hAnsi="Times New Roman" w:cs="Times New Roman"/>
          <w:szCs w:val="21"/>
        </w:rPr>
        <w:t>impedes transition efforts,</w:t>
      </w:r>
      <w:r w:rsidR="008D7078" w:rsidRPr="00C613BE">
        <w:rPr>
          <w:rFonts w:ascii="Times New Roman" w:eastAsia="宋体" w:hAnsi="Times New Roman" w:cs="Times New Roman"/>
          <w:szCs w:val="21"/>
        </w:rPr>
        <w:t xml:space="preserve"> maintaining renewable penetration below global averages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{"citationID":"wREhOTDL","properties":{"formattedCitation":"\\super 11\\nosupersub{}","plainCitation":"11","noteIndex":0},"citationItems":[{"id":359,"uris":["http://zotero.org/users/16842078/items/NJJGYNGS"],"itemData":{"id":359,"type":"article-journal","abstract":"Insular energy systems are critical for efficient energy transition due to their geographic and structural characteristics and their reliance on fossil fuels. The literature indicates that renewable energy can mitigate high operating costs and fossil fuel dependence. However, insular systems in developing countries face specific political, technical, and economic challenges that require further study. The novelty of this study lies in its holistic analysis of Chilean insular energy systems, offering a comprehensive perspective often lacking in research focused on developed countries. Renewable energy penetration in isolated systems remains significantly lower than on the mainland, largely due to market distortions from fossil fuel subsidies. In Magallanes, where gas turbines benefit from government support, renewable integration is below 10 %, while subsidized gas generation maintains a Levelized Cost of Energy (LCOE) of 219 USD/MWh, preserving its advantage over renewables. To address this barrier, policy recommendations include reallocating subsidies, implementing alternative business models, and adopting long-run incremental cost (LRIC) pricing. This study highlights that, although renewable energy can lower operating costs, integration barriers remain the main challenge. The findings provide valuable insights for policymakers, researchers, and investors interested in the feasibility of renewable generation in island systems.","container-title":"Renewable Energy","DOI":"10.1016/j.renene.2025.122967","ISSN":"09601481","journalAbbreviation":"Renewable Energy","language":"en","page":"122967","source":"DOI.org (Crossref)","title":"High energy costs in insular energy systems and the potential for integrating innovative renewable solutions: The case of Chile","title-short":"High energy costs in insular energy systems and the potential for integrating innovative renewable solutions","volume":"246","author":[{"family":"Villarroel","given":"Nicolás"},{"family":"Lazo","given":"Joaquín"},{"family":"Watts","given":"David"}],"issued":{"date-parts":[["2025",6]]}}}],"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11</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008D7078" w:rsidRPr="00C613BE">
        <w:rPr>
          <w:rFonts w:ascii="Times New Roman" w:eastAsia="宋体" w:hAnsi="Times New Roman" w:cs="Times New Roman"/>
          <w:szCs w:val="21"/>
        </w:rPr>
        <w:t>Climate vulnerability complicates structural transitions.</w:t>
      </w:r>
      <w:r w:rsidR="008D7078" w:rsidRPr="00C613BE">
        <w:rPr>
          <w:rFonts w:ascii="Times New Roman" w:hAnsi="Times New Roman" w:cs="Times New Roman"/>
        </w:rPr>
        <w:t xml:space="preserve"> </w:t>
      </w:r>
      <w:r w:rsidR="008D7078" w:rsidRPr="00C613BE">
        <w:rPr>
          <w:rFonts w:ascii="Times New Roman" w:eastAsia="宋体" w:hAnsi="Times New Roman" w:cs="Times New Roman"/>
          <w:szCs w:val="21"/>
        </w:rPr>
        <w:t xml:space="preserve">These constraints create a </w:t>
      </w:r>
      <w:r w:rsidR="00FC2A07" w:rsidRPr="00FC2A07">
        <w:rPr>
          <w:rFonts w:ascii="Times New Roman" w:eastAsia="宋体" w:hAnsi="Times New Roman" w:cs="Times New Roman"/>
          <w:szCs w:val="21"/>
        </w:rPr>
        <w:t>self-reinforcing</w:t>
      </w:r>
      <w:r w:rsidR="008D7078" w:rsidRPr="00C613BE">
        <w:rPr>
          <w:rFonts w:ascii="Times New Roman" w:eastAsia="宋体" w:hAnsi="Times New Roman" w:cs="Times New Roman"/>
          <w:szCs w:val="21"/>
        </w:rPr>
        <w:t xml:space="preserve"> cycle of "</w:t>
      </w:r>
      <w:r w:rsidR="00FC2A07" w:rsidRPr="00FC2A07">
        <w:t xml:space="preserve"> </w:t>
      </w:r>
      <w:r w:rsidR="00FC2A07" w:rsidRPr="00FC2A07">
        <w:rPr>
          <w:rFonts w:ascii="Times New Roman" w:eastAsia="宋体" w:hAnsi="Times New Roman" w:cs="Times New Roman"/>
          <w:szCs w:val="21"/>
        </w:rPr>
        <w:t>increasing marginal costs</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carbon lock-in</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w:t>
      </w:r>
      <w:r w:rsidR="00FC2A07">
        <w:rPr>
          <w:rFonts w:ascii="Times New Roman" w:eastAsia="宋体" w:hAnsi="Times New Roman" w:cs="Times New Roman" w:hint="eastAsia"/>
          <w:szCs w:val="21"/>
        </w:rPr>
        <w:t xml:space="preserve"> </w:t>
      </w:r>
      <w:r w:rsidR="00FC2A07" w:rsidRPr="00FC2A07">
        <w:rPr>
          <w:rFonts w:ascii="Times New Roman" w:eastAsia="宋体" w:hAnsi="Times New Roman" w:cs="Times New Roman"/>
          <w:szCs w:val="21"/>
        </w:rPr>
        <w:t>reduced climate resilience</w:t>
      </w:r>
      <w:r w:rsidR="008D7078" w:rsidRPr="00C613BE">
        <w:rPr>
          <w:rFonts w:ascii="Times New Roman" w:eastAsia="宋体" w:hAnsi="Times New Roman" w:cs="Times New Roman"/>
          <w:szCs w:val="21"/>
        </w:rPr>
        <w:t>"</w:t>
      </w:r>
      <w:r w:rsidR="00FC2A07">
        <w:rPr>
          <w:rFonts w:ascii="Times New Roman" w:eastAsia="宋体" w:hAnsi="Times New Roman" w:cs="Times New Roman" w:hint="eastAsia"/>
          <w:szCs w:val="21"/>
        </w:rPr>
        <w:t>,</w:t>
      </w:r>
      <w:r w:rsidR="008D7078" w:rsidRPr="00C613BE">
        <w:rPr>
          <w:rFonts w:ascii="Times New Roman" w:eastAsia="宋体" w:hAnsi="Times New Roman" w:cs="Times New Roman"/>
          <w:szCs w:val="21"/>
        </w:rPr>
        <w:t xml:space="preserve"> </w:t>
      </w:r>
      <w:r w:rsidR="00FC2A07" w:rsidRPr="00FC2A07">
        <w:rPr>
          <w:rFonts w:ascii="Times New Roman" w:eastAsia="宋体" w:hAnsi="Times New Roman" w:cs="Times New Roman"/>
          <w:szCs w:val="21"/>
        </w:rPr>
        <w:t>positioning island regions as persistent stragglers in the global energy transition landscape</w:t>
      </w:r>
      <w:r w:rsidR="008D7078" w:rsidRPr="00C613BE">
        <w:rPr>
          <w:rFonts w:ascii="Times New Roman" w:eastAsia="宋体" w:hAnsi="Times New Roman" w:cs="Times New Roman"/>
          <w:szCs w:val="21"/>
        </w:rPr>
        <w:t>.</w:t>
      </w:r>
    </w:p>
    <w:p w14:paraId="565ABF02" w14:textId="7624DA58" w:rsidR="008D7078"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While islands possess abundant renewable resources and potential as clean energy innovation hubs</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{"citationID":"QA6w0wbV","properties":{"formattedCitation":"\\super 9\\nosupersub{}","plainCitation":"9","noteIndex":0},"citationItems":[{"id":369,"uris":["http://zotero.org/users/16842078/items/PITXV6DU"],"itemData":{"id":369,"type":"webpage","abstract":"Islands need resilient power systems more than ever. Clean energy can deliver - A commentary by Emi Bertoli, Silvia Laera, Floris van Dedem","container-title":"IEA","language":"en-GB","title":"Islands need resilient power systems more than ever. Clean energy can deliver – Analysis","URL":"https://www.iea.org/commentaries/islands-need-resilient-power-systems-more-than-ever-clean-energy-can-deliver","accessed":{"date-parts":[["2025",5,11]]},"issued":{"date-parts":[["2024",7,12]]}}}],"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9</w:t>
      </w:r>
      <w:r w:rsidR="00621DF2"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w:t>
      </w:r>
      <w:r w:rsidR="00DA2440" w:rsidRPr="00DA2440">
        <w:rPr>
          <w:rFonts w:ascii="Times New Roman" w:eastAsia="宋体" w:hAnsi="Times New Roman" w:cs="Times New Roman"/>
          <w:szCs w:val="21"/>
        </w:rPr>
        <w:t>the deployment of distributed renewable systems introduces</w:t>
      </w:r>
      <w:r w:rsidRPr="00C613BE">
        <w:rPr>
          <w:rFonts w:ascii="Times New Roman" w:eastAsia="宋体" w:hAnsi="Times New Roman" w:cs="Times New Roman"/>
          <w:szCs w:val="21"/>
        </w:rPr>
        <w:t xml:space="preserve"> new spatial inequities.</w:t>
      </w:r>
      <w:r w:rsidRPr="00C613BE">
        <w:rPr>
          <w:rFonts w:ascii="Times New Roman" w:hAnsi="Times New Roman" w:cs="Times New Roman"/>
        </w:rPr>
        <w:t xml:space="preserve"> </w:t>
      </w:r>
      <w:r w:rsidRPr="00C613BE">
        <w:rPr>
          <w:rFonts w:ascii="Times New Roman" w:eastAsia="宋体" w:hAnsi="Times New Roman" w:cs="Times New Roman"/>
          <w:szCs w:val="21"/>
        </w:rPr>
        <w:t>Islands with favorable geographies achieve lower unit costs for renewable systems, whereas peripheral islands face higher costs and disaster risk premiums, impeding their transition</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{"citationID":"DLMgN4hl","properties":{"formattedCitation":"\\super 12\\nosupersub{}","plainCitation":"12","noteIndex":0},"citationItems":[{"id":361,"uris":["http://zotero.org/users/16842078/items/4NHI8QNZ"],"itemData":{"id":361,"type":"article-journal","abstract":"Islanded power systems face unique challenges in the future in environmental, economic and social sustainability. Their high reliance on oil-ﬁred generation leads to a carbon intensive power generation proﬁle and consequently high costs to ﬁnal energy consumers, hindering the economic development of islands. A detailed benchmarking exercise of islanded systems has been undertaken in collaboration with a group of islanded power systems under the auspices of EURELECTRIC, the association for European Power Companies. Results from this benchmarking survey of 28 diﬀerent islands are presented, identifying the challenges of the current status quo, particularly in regard to generation proﬁle and emissions. Four islands are taken for detailed study, in order to identify solutions to some of the energy challenges faced by island systems, with a focus on interconnection, renewables development and energy storage. The potential for implementing the latter technologies is positive and provides a partial solution to the challenges of islanded systems but the current costs of some innovative energy technologies, e.g. energy storage, still implies that it is not necessarily possible at present to invest in these technologies without non-market subsidies. However, islands are found to be excellent locations for pilot projects on new energy technologies due to their inherent advantages of small size and vertical integration of local power companies. Furthermore, strong communities imply that it is easier to engage with end consumers when promoting new concepts for electricity supply.","container-title":"Renewable and Sustainable Energy Reviews","DOI":"10.1016/j.rser.2017.05.126","ISSN":"13640321","journalAbbreviation":"Renewable and Sustainable Energy Reviews","language":"en","page":"1269-1291","source":"DOI.org (Crossref)","title":"Benchmarking island power systems: Results, challenges, and solutions for long term sustainability","title-short":"Benchmarking island power systems","volume":"80","author":[{"family":"Cross","given":"Sam"},{"family":"Padfield","given":"David"},{"family":"Ant-Wuorinen","given":"Risto"},{"family":"King","given":"Phillip"},{"family":"Syri","given":"Sanna"}],"issued":{"date-parts":[["2017",12]]}}}],"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12</w:t>
      </w:r>
      <w:r w:rsidR="00621DF2"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r w:rsidRPr="00C613BE">
        <w:rPr>
          <w:rFonts w:ascii="Times New Roman" w:hAnsi="Times New Roman" w:cs="Times New Roman"/>
        </w:rPr>
        <w:t xml:space="preserve"> </w:t>
      </w:r>
      <w:r w:rsidR="00DA2440" w:rsidRPr="00DA2440">
        <w:rPr>
          <w:rFonts w:ascii="Times New Roman" w:eastAsia="宋体" w:hAnsi="Times New Roman" w:cs="Times New Roman"/>
          <w:szCs w:val="21"/>
        </w:rPr>
        <w:t>This growing divergence undermines coordinated climate action and challenges the equity principles established in UN Sustainable Development Goal 7 (SDG7).</w:t>
      </w:r>
    </w:p>
    <w:p w14:paraId="300865C8" w14:textId="740C0850" w:rsidR="008D7078" w:rsidRPr="00C613BE" w:rsidRDefault="008D707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Current research exhibits </w:t>
      </w:r>
      <w:r w:rsidR="007C7576" w:rsidRPr="007C7576">
        <w:rPr>
          <w:rFonts w:ascii="Times New Roman" w:eastAsia="宋体" w:hAnsi="Times New Roman" w:cs="Times New Roman"/>
          <w:szCs w:val="21"/>
        </w:rPr>
        <w:t>several</w:t>
      </w:r>
      <w:r w:rsidR="007C7576">
        <w:rPr>
          <w:rFonts w:ascii="Times New Roman" w:eastAsia="宋体" w:hAnsi="Times New Roman" w:cs="Times New Roman" w:hint="eastAsia"/>
          <w:szCs w:val="21"/>
        </w:rPr>
        <w:t xml:space="preserve"> </w:t>
      </w:r>
      <w:r w:rsidRPr="00C613BE">
        <w:rPr>
          <w:rFonts w:ascii="Times New Roman" w:eastAsia="宋体" w:hAnsi="Times New Roman" w:cs="Times New Roman"/>
          <w:szCs w:val="21"/>
        </w:rPr>
        <w:t xml:space="preserve">critical gaps: (i) oversimplified technical focus neglecting </w:t>
      </w:r>
      <w:r w:rsidRPr="00C613BE">
        <w:rPr>
          <w:rFonts w:ascii="Times New Roman" w:eastAsia="宋体" w:hAnsi="Times New Roman" w:cs="Times New Roman"/>
          <w:szCs w:val="21"/>
        </w:rPr>
        <w:lastRenderedPageBreak/>
        <w:t>multi-energy synergies; (ii) fragmented spatial analyses lacking global comparability</w:t>
      </w:r>
      <w:r w:rsidR="00621DF2" w:rsidRPr="00C613BE">
        <w:rPr>
          <w:rFonts w:ascii="Times New Roman" w:eastAsia="宋体" w:hAnsi="Times New Roman" w:cs="Times New Roman"/>
          <w:szCs w:val="21"/>
        </w:rPr>
        <w:fldChar w:fldCharType="begin"/>
      </w:r>
      <w:r w:rsidR="00621DF2" w:rsidRPr="00C613BE">
        <w:rPr>
          <w:rFonts w:ascii="Times New Roman" w:eastAsia="宋体" w:hAnsi="Times New Roman" w:cs="Times New Roman"/>
          <w:szCs w:val="21"/>
        </w:rPr>
        <w:instrText xml:space="preserve"> ADDIN ZOTERO_ITEM CSL_CITATION {"citationID":"Y04nEfqU","properties":{"formattedCitation":"\\super 13\\nosupersub{}","plainCitation":"13","noteIndex":0},"citationItems":[{"id":377,"uris":["http://zotero.org/users/16842078/items/7ZK3WTNE"],"itemData":{"id":377,"type":"article-journal","abstract":"Globally, more than 740 million people live on islands which are often seen as ideal environments for the development of renewable energy systems. Hereby, they play the role to demonstrate technical solutions as well as political transition pathways of energy systems to reduce greenhouse gas emissions. The growing number of articles on 100% renewable energy systems on islands is analyzed with a focus on technical solutions for transition pathways. Since the first “100% renewable energy systems on islands”-article in a scientific journal in 2004, 97 articles handling 100% renewable energy systems on small islands were published and are reviewed in this article. In addition, a review on 100% renewable energy systems on bigger island states is added. Results underline that solar PV as well as wind are the main technologies regarding 100% RES on islands. Not only for the use of biomass but for all RES area limitation on islands needs to be taken more seriously, based on full energy system studies and respective area demand. Furthermore, it is shown that there is still not the same common sense in the design approach including and starting at the energy needs as well as on multisectoral approach. The consideration of maritime transport, aviation, cooling demands, and water systems beyond seawater desalination is only poorly considered in existing studies. Future research should also focus on developing pathways to transform the existing conventional infrastructure stepwise into a fully renewable system regarding also the interconnections with the mainland and neighboring islands.","container-title":"WIREs Energy and Environment","DOI":"10.1002/wene.450","ISSN":"2041-8396, 2041-840X","issue":"6","journalAbbreviation":"WIREs Energy &amp; Environment","language":"en","page":"e450","source":"DOI.org (Crossref)","title":"A review of 100% renewable energy scenarios on islands","volume":"11","author":[{"family":"Meschede","given":"Henning"},{"family":"Bertheau","given":"Paul"},{"family":"Khalili","given":"Siavash"},{"family":"Breyer","given":"Christian"}],"issued":{"date-parts":[["2022",11]]}}}],"schema":"https://github.com/citation-style-language/schema/raw/master/csl-citation.json"} </w:instrText>
      </w:r>
      <w:r w:rsidR="00621DF2" w:rsidRPr="00C613BE">
        <w:rPr>
          <w:rFonts w:ascii="Times New Roman" w:eastAsia="宋体" w:hAnsi="Times New Roman" w:cs="Times New Roman"/>
          <w:szCs w:val="21"/>
        </w:rPr>
        <w:fldChar w:fldCharType="separate"/>
      </w:r>
      <w:r w:rsidR="00621DF2" w:rsidRPr="00C613BE">
        <w:rPr>
          <w:rFonts w:ascii="Times New Roman" w:hAnsi="Times New Roman" w:cs="Times New Roman"/>
          <w:kern w:val="0"/>
          <w:szCs w:val="21"/>
          <w:vertAlign w:val="superscript"/>
        </w:rPr>
        <w:t>13</w:t>
      </w:r>
      <w:r w:rsidR="00621DF2" w:rsidRPr="00C613BE">
        <w:rPr>
          <w:rFonts w:ascii="Times New Roman" w:eastAsia="宋体" w:hAnsi="Times New Roman" w:cs="Times New Roman"/>
          <w:szCs w:val="21"/>
        </w:rPr>
        <w:fldChar w:fldCharType="end"/>
      </w:r>
      <w:r w:rsidR="00621DF2" w:rsidRPr="00C613BE">
        <w:rPr>
          <w:rFonts w:ascii="Times New Roman" w:eastAsia="宋体" w:hAnsi="Times New Roman" w:cs="Times New Roman"/>
          <w:szCs w:val="21"/>
        </w:rPr>
        <w:t>；</w:t>
      </w:r>
      <w:r w:rsidRPr="00C613BE">
        <w:rPr>
          <w:rFonts w:ascii="Times New Roman" w:eastAsia="宋体" w:hAnsi="Times New Roman" w:cs="Times New Roman"/>
          <w:szCs w:val="21"/>
        </w:rPr>
        <w:t xml:space="preserve">(iii) inadequate resilience integration, treating climate risks as static cost parameters; and (iv) neglect of investment justice in energy planning. Crucially, no study </w:t>
      </w:r>
      <w:r w:rsidR="007C7576" w:rsidRPr="007C7576">
        <w:rPr>
          <w:rFonts w:ascii="Times New Roman" w:eastAsia="宋体" w:hAnsi="Times New Roman" w:cs="Times New Roman"/>
          <w:szCs w:val="21"/>
        </w:rPr>
        <w:t>simultaneously</w:t>
      </w:r>
      <w:r w:rsidRPr="00C613BE">
        <w:rPr>
          <w:rFonts w:ascii="Times New Roman" w:eastAsia="宋体" w:hAnsi="Times New Roman" w:cs="Times New Roman"/>
          <w:szCs w:val="21"/>
        </w:rPr>
        <w:t xml:space="preserve"> combines climate risk assessment, economic feasibility, and system optimization for global islands under climate scenarios.</w:t>
      </w:r>
    </w:p>
    <w:p w14:paraId="6B0D2F4C" w14:textId="56656E51" w:rsidR="00621DF2" w:rsidRPr="00C613BE" w:rsidRDefault="00C94D41"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This study addresses the identified research gap by developing an integrated island energy system incorporating diversified renewable energy sources. Focusing on islands across multiple global regions, we investigate the dynamic evolution patterns of investment costs and system configurations, while analyzing emerging energy investment inequities.</w:t>
      </w:r>
      <w:r w:rsidRPr="00C613BE">
        <w:rPr>
          <w:rFonts w:ascii="Times New Roman" w:hAnsi="Times New Roman" w:cs="Times New Roman"/>
        </w:rPr>
        <w:t xml:space="preserve"> </w:t>
      </w:r>
      <w:r w:rsidRPr="00C613BE">
        <w:rPr>
          <w:rFonts w:ascii="Times New Roman" w:eastAsia="宋体" w:hAnsi="Times New Roman" w:cs="Times New Roman"/>
          <w:szCs w:val="21"/>
        </w:rPr>
        <w:t xml:space="preserve">Two design </w:t>
      </w:r>
      <w:r w:rsidR="00D769E2">
        <w:rPr>
          <w:rFonts w:ascii="Times New Roman" w:eastAsia="宋体" w:hAnsi="Times New Roman" w:cs="Times New Roman" w:hint="eastAsia"/>
          <w:szCs w:val="21"/>
        </w:rPr>
        <w:t>scenario</w:t>
      </w:r>
      <w:r w:rsidRPr="00C613BE">
        <w:rPr>
          <w:rFonts w:ascii="Times New Roman" w:eastAsia="宋体" w:hAnsi="Times New Roman" w:cs="Times New Roman"/>
          <w:szCs w:val="21"/>
        </w:rPr>
        <w:t>s are contrasted: (</w:t>
      </w:r>
      <w:r w:rsidR="00604D1C" w:rsidRPr="00C613BE">
        <w:rPr>
          <w:rFonts w:ascii="Times New Roman" w:eastAsia="宋体" w:hAnsi="Times New Roman" w:cs="Times New Roman"/>
          <w:szCs w:val="21"/>
        </w:rPr>
        <w:t>i</w:t>
      </w:r>
      <w:r w:rsidRPr="00C613BE">
        <w:rPr>
          <w:rFonts w:ascii="Times New Roman" w:eastAsia="宋体" w:hAnsi="Times New Roman" w:cs="Times New Roman"/>
          <w:szCs w:val="21"/>
        </w:rPr>
        <w:t xml:space="preserve">) a </w:t>
      </w:r>
      <w:r w:rsidR="000D151B">
        <w:rPr>
          <w:rFonts w:ascii="Times New Roman" w:eastAsia="宋体" w:hAnsi="Times New Roman" w:cs="Times New Roman" w:hint="eastAsia"/>
          <w:szCs w:val="21"/>
        </w:rPr>
        <w:t>c</w:t>
      </w:r>
      <w:r w:rsidR="000D151B" w:rsidRPr="000D151B">
        <w:rPr>
          <w:rFonts w:ascii="Times New Roman" w:eastAsia="宋体" w:hAnsi="Times New Roman" w:cs="Times New Roman" w:hint="eastAsia"/>
          <w:szCs w:val="21"/>
        </w:rPr>
        <w:t xml:space="preserve">urrent </w:t>
      </w:r>
      <w:r w:rsidR="000D151B">
        <w:rPr>
          <w:rFonts w:ascii="Times New Roman" w:eastAsia="宋体" w:hAnsi="Times New Roman" w:cs="Times New Roman" w:hint="eastAsia"/>
          <w:szCs w:val="21"/>
        </w:rPr>
        <w:t>r</w:t>
      </w:r>
      <w:r w:rsidR="000D151B" w:rsidRPr="000D151B">
        <w:rPr>
          <w:rFonts w:ascii="Times New Roman" w:eastAsia="宋体" w:hAnsi="Times New Roman" w:cs="Times New Roman" w:hint="eastAsia"/>
          <w:szCs w:val="21"/>
        </w:rPr>
        <w:t>isk-</w:t>
      </w:r>
      <w:r w:rsidR="000D151B">
        <w:rPr>
          <w:rFonts w:ascii="Times New Roman" w:eastAsia="宋体" w:hAnsi="Times New Roman" w:cs="Times New Roman" w:hint="eastAsia"/>
          <w:szCs w:val="21"/>
        </w:rPr>
        <w:t>b</w:t>
      </w:r>
      <w:r w:rsidR="000D151B" w:rsidRPr="000D151B">
        <w:rPr>
          <w:rFonts w:ascii="Times New Roman" w:eastAsia="宋体" w:hAnsi="Times New Roman" w:cs="Times New Roman" w:hint="eastAsia"/>
          <w:szCs w:val="21"/>
        </w:rPr>
        <w:t>ased</w:t>
      </w:r>
      <w:r w:rsidRPr="00C613BE">
        <w:rPr>
          <w:rFonts w:ascii="Times New Roman" w:eastAsia="宋体" w:hAnsi="Times New Roman" w:cs="Times New Roman"/>
          <w:szCs w:val="21"/>
        </w:rPr>
        <w:t xml:space="preserve"> design considering present typhoon hazards, and (</w:t>
      </w:r>
      <w:r w:rsidR="00604D1C" w:rsidRPr="00C613BE">
        <w:rPr>
          <w:rFonts w:ascii="Times New Roman" w:eastAsia="宋体" w:hAnsi="Times New Roman" w:cs="Times New Roman"/>
          <w:szCs w:val="21"/>
        </w:rPr>
        <w:t>ii</w:t>
      </w:r>
      <w:r w:rsidRPr="00C613BE">
        <w:rPr>
          <w:rFonts w:ascii="Times New Roman" w:eastAsia="宋体" w:hAnsi="Times New Roman" w:cs="Times New Roman"/>
          <w:szCs w:val="21"/>
        </w:rPr>
        <w:t xml:space="preserve">) a </w:t>
      </w:r>
      <w:r w:rsidR="000D151B">
        <w:rPr>
          <w:rFonts w:ascii="Times New Roman" w:eastAsia="宋体" w:hAnsi="Times New Roman" w:cs="Times New Roman" w:hint="eastAsia"/>
          <w:szCs w:val="21"/>
        </w:rPr>
        <w:t>future</w:t>
      </w:r>
      <w:r w:rsidR="000D151B" w:rsidRPr="000D151B">
        <w:rPr>
          <w:rFonts w:ascii="Times New Roman" w:eastAsia="宋体" w:hAnsi="Times New Roman" w:cs="Times New Roman" w:hint="eastAsia"/>
          <w:szCs w:val="21"/>
        </w:rPr>
        <w:t xml:space="preserve"> </w:t>
      </w:r>
      <w:r w:rsidR="000D151B">
        <w:rPr>
          <w:rFonts w:ascii="Times New Roman" w:eastAsia="宋体" w:hAnsi="Times New Roman" w:cs="Times New Roman" w:hint="eastAsia"/>
          <w:szCs w:val="21"/>
        </w:rPr>
        <w:t>r</w:t>
      </w:r>
      <w:r w:rsidR="000D151B" w:rsidRPr="000D151B">
        <w:rPr>
          <w:rFonts w:ascii="Times New Roman" w:eastAsia="宋体" w:hAnsi="Times New Roman" w:cs="Times New Roman" w:hint="eastAsia"/>
          <w:szCs w:val="21"/>
        </w:rPr>
        <w:t>isk-</w:t>
      </w:r>
      <w:r w:rsidR="000D151B">
        <w:rPr>
          <w:rFonts w:ascii="Times New Roman" w:eastAsia="宋体" w:hAnsi="Times New Roman" w:cs="Times New Roman" w:hint="eastAsia"/>
          <w:szCs w:val="21"/>
        </w:rPr>
        <w:t>b</w:t>
      </w:r>
      <w:r w:rsidR="000D151B" w:rsidRPr="000D151B">
        <w:rPr>
          <w:rFonts w:ascii="Times New Roman" w:eastAsia="宋体" w:hAnsi="Times New Roman" w:cs="Times New Roman" w:hint="eastAsia"/>
          <w:szCs w:val="21"/>
        </w:rPr>
        <w:t>ased</w:t>
      </w:r>
      <w:r w:rsidRPr="00C613BE">
        <w:rPr>
          <w:rFonts w:ascii="Times New Roman" w:eastAsia="宋体" w:hAnsi="Times New Roman" w:cs="Times New Roman"/>
          <w:szCs w:val="21"/>
        </w:rPr>
        <w:t xml:space="preserve"> design accounting for projected future typhoon </w:t>
      </w:r>
      <w:r w:rsidR="00D769E2">
        <w:rPr>
          <w:rFonts w:ascii="Times New Roman" w:eastAsia="宋体" w:hAnsi="Times New Roman" w:cs="Times New Roman" w:hint="eastAsia"/>
          <w:szCs w:val="21"/>
        </w:rPr>
        <w:t>hazards</w:t>
      </w:r>
      <w:r w:rsidRPr="00C613BE">
        <w:rPr>
          <w:rFonts w:ascii="Times New Roman" w:eastAsia="宋体" w:hAnsi="Times New Roman" w:cs="Times New Roman"/>
          <w:szCs w:val="21"/>
        </w:rPr>
        <w:t>.</w:t>
      </w:r>
      <w:r w:rsidR="00AB7920" w:rsidRPr="00C613BE">
        <w:rPr>
          <w:rFonts w:ascii="Times New Roman" w:hAnsi="Times New Roman" w:cs="Times New Roman"/>
        </w:rPr>
        <w:t xml:space="preserve"> </w:t>
      </w:r>
      <w:r w:rsidR="00AB7920" w:rsidRPr="00C613BE">
        <w:rPr>
          <w:rFonts w:ascii="Times New Roman" w:eastAsia="宋体" w:hAnsi="Times New Roman" w:cs="Times New Roman"/>
          <w:szCs w:val="21"/>
        </w:rPr>
        <w:t xml:space="preserve">In this study, we first analyze the spatial coupling patterns between per capita investment costs in island energy systems and geographic-climatic risk gradients globally, identifying transmission pathways of energy investment inequity. We then </w:t>
      </w:r>
      <w:r w:rsidR="00D769E2" w:rsidRPr="00D769E2">
        <w:rPr>
          <w:rFonts w:ascii="Times New Roman" w:eastAsia="宋体" w:hAnsi="Times New Roman" w:cs="Times New Roman"/>
          <w:szCs w:val="21"/>
        </w:rPr>
        <w:t>systematically</w:t>
      </w:r>
      <w:r w:rsidR="00AB7920" w:rsidRPr="00C613BE">
        <w:rPr>
          <w:rFonts w:ascii="Times New Roman" w:eastAsia="宋体" w:hAnsi="Times New Roman" w:cs="Times New Roman"/>
          <w:szCs w:val="21"/>
        </w:rPr>
        <w:t xml:space="preserve"> evaluate the divergent impacts of two investment design paradigms (</w:t>
      </w:r>
      <w:r w:rsidR="00681E92">
        <w:rPr>
          <w:rFonts w:ascii="Times New Roman" w:eastAsia="宋体" w:hAnsi="Times New Roman" w:cs="Times New Roman" w:hint="eastAsia"/>
          <w:szCs w:val="21"/>
        </w:rPr>
        <w:t>c</w:t>
      </w:r>
      <w:r w:rsidR="00681E92" w:rsidRPr="000D151B">
        <w:rPr>
          <w:rFonts w:ascii="Times New Roman" w:eastAsia="宋体" w:hAnsi="Times New Roman" w:cs="Times New Roman" w:hint="eastAsia"/>
          <w:szCs w:val="21"/>
        </w:rPr>
        <w:t xml:space="preserve">urrent </w:t>
      </w:r>
      <w:r w:rsidR="00681E92">
        <w:rPr>
          <w:rFonts w:ascii="Times New Roman" w:eastAsia="宋体" w:hAnsi="Times New Roman" w:cs="Times New Roman" w:hint="eastAsia"/>
          <w:szCs w:val="21"/>
        </w:rPr>
        <w:t>r</w:t>
      </w:r>
      <w:r w:rsidR="00681E92" w:rsidRPr="000D151B">
        <w:rPr>
          <w:rFonts w:ascii="Times New Roman" w:eastAsia="宋体" w:hAnsi="Times New Roman" w:cs="Times New Roman" w:hint="eastAsia"/>
          <w:szCs w:val="21"/>
        </w:rPr>
        <w:t>isk-</w:t>
      </w:r>
      <w:r w:rsidR="00681E92">
        <w:rPr>
          <w:rFonts w:ascii="Times New Roman" w:eastAsia="宋体" w:hAnsi="Times New Roman" w:cs="Times New Roman" w:hint="eastAsia"/>
          <w:szCs w:val="21"/>
        </w:rPr>
        <w:t>b</w:t>
      </w:r>
      <w:r w:rsidR="00681E92" w:rsidRPr="000D151B">
        <w:rPr>
          <w:rFonts w:ascii="Times New Roman" w:eastAsia="宋体" w:hAnsi="Times New Roman" w:cs="Times New Roman" w:hint="eastAsia"/>
          <w:szCs w:val="21"/>
        </w:rPr>
        <w:t>ased</w:t>
      </w:r>
      <w:r w:rsidR="00AB7920" w:rsidRPr="00C613BE">
        <w:rPr>
          <w:rFonts w:ascii="Times New Roman" w:eastAsia="宋体" w:hAnsi="Times New Roman" w:cs="Times New Roman"/>
          <w:szCs w:val="21"/>
        </w:rPr>
        <w:t xml:space="preserve"> vs. </w:t>
      </w:r>
      <w:r w:rsidR="00681E92">
        <w:rPr>
          <w:rFonts w:ascii="Times New Roman" w:eastAsia="宋体" w:hAnsi="Times New Roman" w:cs="Times New Roman" w:hint="eastAsia"/>
          <w:szCs w:val="21"/>
        </w:rPr>
        <w:t>future</w:t>
      </w:r>
      <w:r w:rsidR="00681E92" w:rsidRPr="000D151B">
        <w:rPr>
          <w:rFonts w:ascii="Times New Roman" w:eastAsia="宋体" w:hAnsi="Times New Roman" w:cs="Times New Roman" w:hint="eastAsia"/>
          <w:szCs w:val="21"/>
        </w:rPr>
        <w:t xml:space="preserve"> </w:t>
      </w:r>
      <w:r w:rsidR="00681E92">
        <w:rPr>
          <w:rFonts w:ascii="Times New Roman" w:eastAsia="宋体" w:hAnsi="Times New Roman" w:cs="Times New Roman" w:hint="eastAsia"/>
          <w:szCs w:val="21"/>
        </w:rPr>
        <w:t>r</w:t>
      </w:r>
      <w:r w:rsidR="00681E92" w:rsidRPr="000D151B">
        <w:rPr>
          <w:rFonts w:ascii="Times New Roman" w:eastAsia="宋体" w:hAnsi="Times New Roman" w:cs="Times New Roman" w:hint="eastAsia"/>
          <w:szCs w:val="21"/>
        </w:rPr>
        <w:t>isk-</w:t>
      </w:r>
      <w:r w:rsidR="00681E92">
        <w:rPr>
          <w:rFonts w:ascii="Times New Roman" w:eastAsia="宋体" w:hAnsi="Times New Roman" w:cs="Times New Roman" w:hint="eastAsia"/>
          <w:szCs w:val="21"/>
        </w:rPr>
        <w:t>b</w:t>
      </w:r>
      <w:r w:rsidR="00681E92" w:rsidRPr="000D151B">
        <w:rPr>
          <w:rFonts w:ascii="Times New Roman" w:eastAsia="宋体" w:hAnsi="Times New Roman" w:cs="Times New Roman" w:hint="eastAsia"/>
          <w:szCs w:val="21"/>
        </w:rPr>
        <w:t>ased</w:t>
      </w:r>
      <w:r w:rsidR="00AB7920" w:rsidRPr="00C613BE">
        <w:rPr>
          <w:rFonts w:ascii="Times New Roman" w:eastAsia="宋体" w:hAnsi="Times New Roman" w:cs="Times New Roman"/>
          <w:szCs w:val="21"/>
        </w:rPr>
        <w:t>) on social equity. Finally, we construct equity-optimization pathways under projected cost reductions in energy storage and hydrogen production</w:t>
      </w:r>
      <w:r w:rsidR="0011570C">
        <w:rPr>
          <w:rFonts w:ascii="Times New Roman" w:eastAsia="宋体" w:hAnsi="Times New Roman" w:cs="Times New Roman" w:hint="eastAsia"/>
          <w:szCs w:val="21"/>
        </w:rPr>
        <w:t xml:space="preserve"> scenarios</w:t>
      </w:r>
      <w:r w:rsidR="00AB7920" w:rsidRPr="00C613BE">
        <w:rPr>
          <w:rFonts w:ascii="Times New Roman" w:eastAsia="宋体" w:hAnsi="Times New Roman" w:cs="Times New Roman"/>
          <w:szCs w:val="21"/>
        </w:rPr>
        <w:t>. This work provides novel perspectives and critical references for designing cost-effective, disaster-resilient, and equitable island energy systems</w:t>
      </w:r>
      <w:r w:rsidR="00C421F5">
        <w:rPr>
          <w:rFonts w:ascii="Times New Roman" w:eastAsia="宋体" w:hAnsi="Times New Roman" w:cs="Times New Roman" w:hint="eastAsia"/>
          <w:szCs w:val="21"/>
        </w:rPr>
        <w:t xml:space="preserve"> under</w:t>
      </w:r>
      <w:r w:rsidR="00AB7920" w:rsidRPr="00C613BE">
        <w:rPr>
          <w:rFonts w:ascii="Times New Roman" w:eastAsia="宋体" w:hAnsi="Times New Roman" w:cs="Times New Roman"/>
          <w:szCs w:val="21"/>
        </w:rPr>
        <w:t xml:space="preserve"> climate change and deep uncertainty.</w:t>
      </w:r>
    </w:p>
    <w:p w14:paraId="0561E8E5" w14:textId="31B7E120" w:rsidR="00D72A63" w:rsidRPr="00C613BE" w:rsidRDefault="00AD5146"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Fig.1 | Framework.</w:t>
      </w:r>
    </w:p>
    <w:p w14:paraId="78F82971" w14:textId="77777777" w:rsidR="00CB2EB1" w:rsidRDefault="00CB2EB1" w:rsidP="00C14660">
      <w:pPr>
        <w:rPr>
          <w:rFonts w:ascii="Times New Roman" w:hAnsi="Times New Roman" w:cs="Times New Roman"/>
          <w:szCs w:val="21"/>
        </w:rPr>
      </w:pPr>
    </w:p>
    <w:p w14:paraId="04D96FE0" w14:textId="77777777" w:rsidR="00B32821" w:rsidRDefault="00B32821" w:rsidP="00C14660">
      <w:pPr>
        <w:rPr>
          <w:rFonts w:ascii="Times New Roman" w:hAnsi="Times New Roman" w:cs="Times New Roman"/>
          <w:szCs w:val="21"/>
        </w:rPr>
      </w:pPr>
    </w:p>
    <w:p w14:paraId="00F8A9C6" w14:textId="77777777" w:rsidR="00B32821" w:rsidRPr="00C613BE" w:rsidRDefault="00B32821" w:rsidP="00C14660">
      <w:pPr>
        <w:rPr>
          <w:rFonts w:ascii="Times New Roman" w:hAnsi="Times New Roman" w:cs="Times New Roman"/>
          <w:szCs w:val="21"/>
        </w:rPr>
      </w:pPr>
    </w:p>
    <w:p w14:paraId="6814D611" w14:textId="4DACC160" w:rsidR="005E28C7" w:rsidRPr="00C613BE" w:rsidRDefault="00CF16D8" w:rsidP="00C14660">
      <w:pPr>
        <w:pStyle w:val="2"/>
        <w:spacing w:before="156" w:after="156" w:line="240" w:lineRule="auto"/>
        <w:rPr>
          <w:rFonts w:cs="Times New Roman"/>
          <w:sz w:val="21"/>
          <w:szCs w:val="21"/>
        </w:rPr>
      </w:pPr>
      <w:r w:rsidRPr="00C613BE">
        <w:rPr>
          <w:rFonts w:cs="Times New Roman"/>
          <w:sz w:val="21"/>
          <w:szCs w:val="21"/>
        </w:rPr>
        <w:t>Results</w:t>
      </w:r>
      <w:r w:rsidR="00B51221">
        <w:rPr>
          <w:rFonts w:cs="Times New Roman" w:hint="eastAsia"/>
          <w:sz w:val="21"/>
          <w:szCs w:val="21"/>
        </w:rPr>
        <w:t xml:space="preserve">  </w:t>
      </w:r>
    </w:p>
    <w:p w14:paraId="7ACB5915" w14:textId="6A3EFEAB" w:rsidR="00AB7920" w:rsidRDefault="00AB7920" w:rsidP="00C14660">
      <w:pPr>
        <w:jc w:val="left"/>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 xml:space="preserve">Spatial Heterogeneity in Per Capita Energy Investment </w:t>
      </w:r>
      <w:r w:rsidR="00990284">
        <w:rPr>
          <w:rFonts w:ascii="Times New Roman" w:eastAsia="宋体" w:hAnsi="Times New Roman" w:cs="Times New Roman" w:hint="eastAsia"/>
          <w:b/>
          <w:szCs w:val="21"/>
          <w14:ligatures w14:val="none"/>
        </w:rPr>
        <w:t xml:space="preserve">for </w:t>
      </w:r>
      <w:r w:rsidR="00990284" w:rsidRPr="00990284">
        <w:rPr>
          <w:rFonts w:ascii="Times New Roman" w:eastAsia="宋体" w:hAnsi="Times New Roman" w:cs="Times New Roman" w:hint="eastAsia"/>
          <w:b/>
          <w:szCs w:val="21"/>
          <w14:ligatures w14:val="none"/>
        </w:rPr>
        <w:t>Current Risk-Based</w:t>
      </w:r>
      <w:r w:rsidR="00990284">
        <w:rPr>
          <w:rFonts w:ascii="Times New Roman" w:eastAsia="宋体" w:hAnsi="Times New Roman" w:cs="Times New Roman" w:hint="eastAsia"/>
          <w:b/>
          <w:szCs w:val="21"/>
          <w14:ligatures w14:val="none"/>
        </w:rPr>
        <w:t xml:space="preserve"> Design</w:t>
      </w:r>
    </w:p>
    <w:p w14:paraId="4EE237CA" w14:textId="63011719" w:rsidR="007C13F4" w:rsidRDefault="00721139" w:rsidP="00C14660">
      <w:pPr>
        <w:jc w:val="left"/>
        <w:rPr>
          <w:rFonts w:ascii="Times New Roman" w:eastAsia="宋体" w:hAnsi="Times New Roman" w:cs="Times New Roman"/>
          <w:b/>
          <w:noProof/>
          <w:szCs w:val="21"/>
          <w14:ligatures w14:val="none"/>
        </w:rPr>
      </w:pPr>
      <w:r w:rsidRPr="00C613BE">
        <w:rPr>
          <w:rFonts w:ascii="Times New Roman" w:eastAsia="宋体" w:hAnsi="Times New Roman" w:cs="Times New Roman"/>
          <w:b/>
          <w:bCs/>
          <w:szCs w:val="21"/>
          <w14:ligatures w14:val="none"/>
        </w:rPr>
        <w:t xml:space="preserve">Fig.2 | </w:t>
      </w:r>
      <w:r w:rsidRPr="00185E0E">
        <w:rPr>
          <w:rFonts w:ascii="Times New Roman" w:eastAsia="宋体" w:hAnsi="Times New Roman" w:cs="Times New Roman" w:hint="eastAsia"/>
          <w:b/>
          <w:bCs/>
          <w:szCs w:val="21"/>
          <w14:ligatures w14:val="none"/>
        </w:rPr>
        <w:t>Geographic disparities in energy investment patterns under current risk-based scenario.</w:t>
      </w:r>
    </w:p>
    <w:p w14:paraId="1CBC9275" w14:textId="56261843" w:rsidR="00203C45" w:rsidRPr="001108C0" w:rsidRDefault="0033795C" w:rsidP="00C14660">
      <w:pPr>
        <w:jc w:val="center"/>
        <w:rPr>
          <w:rFonts w:ascii="Times New Roman" w:eastAsia="宋体" w:hAnsi="Times New Roman" w:cs="Times New Roman"/>
          <w:b/>
          <w:bCs/>
          <w:szCs w:val="21"/>
          <w14:ligatures w14:val="none"/>
        </w:rPr>
      </w:pPr>
      <w:r>
        <w:rPr>
          <w:rFonts w:ascii="Times New Roman" w:eastAsia="宋体" w:hAnsi="Times New Roman" w:cs="Times New Roman" w:hint="eastAsia"/>
          <w:b/>
          <w:bCs/>
          <w:szCs w:val="21"/>
          <w14:ligatures w14:val="none"/>
        </w:rPr>
        <w:lastRenderedPageBreak/>
        <w:t xml:space="preserve"> </w:t>
      </w:r>
      <w:r w:rsidR="005C03C5">
        <w:rPr>
          <w:rFonts w:ascii="Times New Roman" w:eastAsia="宋体" w:hAnsi="Times New Roman" w:cs="Times New Roman" w:hint="eastAsia"/>
          <w:b/>
          <w:bCs/>
          <w:szCs w:val="21"/>
          <w14:ligatures w14:val="none"/>
        </w:rPr>
        <w:t xml:space="preserve"> </w:t>
      </w:r>
      <w:r w:rsidR="00D83156">
        <w:rPr>
          <w:rFonts w:ascii="Times New Roman" w:eastAsia="宋体" w:hAnsi="Times New Roman" w:cs="Times New Roman" w:hint="eastAsia"/>
          <w:b/>
          <w:bCs/>
          <w:noProof/>
          <w:szCs w:val="21"/>
          <w14:ligatures w14:val="none"/>
        </w:rPr>
        <w:drawing>
          <wp:inline distT="0" distB="0" distL="0" distR="0" wp14:anchorId="784D2B65" wp14:editId="5389F461">
            <wp:extent cx="4131945" cy="8854440"/>
            <wp:effectExtent l="0" t="0" r="1905" b="3810"/>
            <wp:docPr id="499490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1945" cy="8854440"/>
                    </a:xfrm>
                    <a:prstGeom prst="rect">
                      <a:avLst/>
                    </a:prstGeom>
                    <a:noFill/>
                    <a:ln>
                      <a:noFill/>
                    </a:ln>
                  </pic:spPr>
                </pic:pic>
              </a:graphicData>
            </a:graphic>
          </wp:inline>
        </w:drawing>
      </w:r>
    </w:p>
    <w:p w14:paraId="4191229D" w14:textId="024FFB0D" w:rsidR="007C671D" w:rsidRPr="00FF1F7A" w:rsidRDefault="007C671D" w:rsidP="00C14660">
      <w:pPr>
        <w:jc w:val="left"/>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lastRenderedPageBreak/>
        <w:t xml:space="preserve">a, </w:t>
      </w:r>
      <w:r w:rsidRPr="00721139">
        <w:rPr>
          <w:rFonts w:ascii="Times New Roman" w:eastAsia="宋体" w:hAnsi="Times New Roman" w:cs="Times New Roman"/>
          <w:szCs w:val="21"/>
          <w14:ligatures w14:val="none"/>
        </w:rPr>
        <w:t>Spatial distribution of per capita energy investment costs under</w:t>
      </w:r>
      <w:r w:rsidR="00185E0E" w:rsidRPr="00721139">
        <w:rPr>
          <w:rFonts w:ascii="Times New Roman" w:eastAsia="宋体" w:hAnsi="Times New Roman" w:cs="Times New Roman" w:hint="eastAsia"/>
          <w:szCs w:val="21"/>
          <w14:ligatures w14:val="none"/>
        </w:rPr>
        <w:t>current risk-based scenario</w:t>
      </w:r>
      <w:r w:rsidRPr="00721139">
        <w:rPr>
          <w:rFonts w:ascii="Times New Roman" w:eastAsia="宋体" w:hAnsi="Times New Roman" w:cs="Times New Roman"/>
          <w:szCs w:val="21"/>
          <w14:ligatures w14:val="none"/>
        </w:rPr>
        <w:t>. Dot colors represent investment intensity with darker colors indicating higher costs.</w:t>
      </w:r>
      <w:r w:rsidRPr="00C613BE">
        <w:rPr>
          <w:rFonts w:ascii="Times New Roman" w:eastAsia="宋体" w:hAnsi="Times New Roman" w:cs="Times New Roman"/>
          <w:b/>
          <w:bCs/>
          <w:szCs w:val="21"/>
          <w14:ligatures w14:val="none"/>
        </w:rPr>
        <w:t xml:space="preserve"> b, </w:t>
      </w:r>
      <w:r w:rsidR="00721139">
        <w:rPr>
          <w:rFonts w:ascii="Times New Roman" w:eastAsia="宋体" w:hAnsi="Times New Roman" w:cs="Times New Roman" w:hint="eastAsia"/>
          <w:b/>
          <w:bCs/>
          <w:szCs w:val="21"/>
          <w14:ligatures w14:val="none"/>
        </w:rPr>
        <w:t>c</w:t>
      </w:r>
      <w:r w:rsidR="00203C45">
        <w:rPr>
          <w:rFonts w:ascii="Times New Roman" w:eastAsia="宋体" w:hAnsi="Times New Roman" w:cs="Times New Roman" w:hint="eastAsia"/>
          <w:b/>
          <w:bCs/>
          <w:szCs w:val="21"/>
          <w14:ligatures w14:val="none"/>
        </w:rPr>
        <w:t>,</w:t>
      </w:r>
      <w:r w:rsidR="00721139">
        <w:rPr>
          <w:rFonts w:ascii="Times New Roman" w:eastAsia="宋体" w:hAnsi="Times New Roman" w:cs="Times New Roman" w:hint="eastAsia"/>
          <w:b/>
          <w:bCs/>
          <w:szCs w:val="21"/>
          <w14:ligatures w14:val="none"/>
        </w:rPr>
        <w:t xml:space="preserve"> </w:t>
      </w:r>
      <w:r w:rsidR="00721139" w:rsidRPr="00721139">
        <w:rPr>
          <w:rFonts w:ascii="Times New Roman" w:eastAsia="宋体" w:hAnsi="Times New Roman" w:cs="Times New Roman" w:hint="eastAsia"/>
          <w:szCs w:val="21"/>
          <w14:ligatures w14:val="none"/>
        </w:rPr>
        <w:t xml:space="preserve">Latitudinal (b) and longitudinal (c) variations in </w:t>
      </w:r>
      <w:r w:rsidR="00721139">
        <w:rPr>
          <w:rFonts w:ascii="Times New Roman" w:eastAsia="宋体" w:hAnsi="Times New Roman" w:cs="Times New Roman" w:hint="eastAsia"/>
          <w:szCs w:val="21"/>
          <w14:ligatures w14:val="none"/>
        </w:rPr>
        <w:t>average investment per capita</w:t>
      </w:r>
      <w:r w:rsidR="00721139" w:rsidRPr="00721139">
        <w:rPr>
          <w:rFonts w:ascii="Times New Roman" w:eastAsia="宋体" w:hAnsi="Times New Roman" w:cs="Times New Roman" w:hint="eastAsia"/>
          <w:szCs w:val="21"/>
          <w14:ligatures w14:val="none"/>
        </w:rPr>
        <w:t>.</w:t>
      </w:r>
      <w:r w:rsidR="00203C45">
        <w:rPr>
          <w:rFonts w:ascii="Times New Roman" w:eastAsia="宋体" w:hAnsi="Times New Roman" w:cs="Times New Roman" w:hint="eastAsia"/>
          <w:szCs w:val="21"/>
          <w14:ligatures w14:val="none"/>
        </w:rPr>
        <w:t xml:space="preserve"> </w:t>
      </w:r>
      <w:r w:rsidR="00203C45" w:rsidRPr="00203C45">
        <w:rPr>
          <w:rFonts w:ascii="Times New Roman" w:eastAsia="宋体" w:hAnsi="Times New Roman" w:cs="Times New Roman" w:hint="eastAsia"/>
          <w:b/>
          <w:bCs/>
          <w:szCs w:val="21"/>
          <w14:ligatures w14:val="none"/>
        </w:rPr>
        <w:t>d,</w:t>
      </w:r>
      <w:r w:rsidR="00203C45">
        <w:rPr>
          <w:rFonts w:ascii="Times New Roman" w:eastAsia="宋体" w:hAnsi="Times New Roman" w:cs="Times New Roman" w:hint="eastAsia"/>
          <w:b/>
          <w:bCs/>
          <w:szCs w:val="21"/>
          <w14:ligatures w14:val="none"/>
        </w:rPr>
        <w:t xml:space="preserve"> </w:t>
      </w:r>
      <w:r w:rsidR="00203C45" w:rsidRPr="00203C45">
        <w:rPr>
          <w:rFonts w:ascii="Times New Roman" w:eastAsia="宋体" w:hAnsi="Times New Roman" w:cs="Times New Roman" w:hint="eastAsia"/>
          <w:szCs w:val="21"/>
          <w14:ligatures w14:val="none"/>
        </w:rPr>
        <w:t>Cost breakdown of renewable energy systems across different island locations and oceanic regions.</w:t>
      </w:r>
      <w:r w:rsidR="00FF1F7A" w:rsidRPr="00FF1F7A">
        <w:rPr>
          <w:rFonts w:ascii="Times New Roman" w:eastAsia="宋体" w:hAnsi="Times New Roman" w:cs="Times New Roman" w:hint="eastAsia"/>
          <w:szCs w:val="21"/>
          <w14:ligatures w14:val="none"/>
        </w:rPr>
        <w:t xml:space="preserve"> The stacked bar charts illustrate the total system costs across island locations, while the corresponding donut charts represent the proportional distribution of average cost components across oceanic regions. All costs are disaggregated into six categories: Renewable Cost (blue), Storage Cost (green), LNG Cost (gray), Other Equipment Cost (purple), Discard Cost (orange), and Load Shedding Cost (red).</w:t>
      </w:r>
    </w:p>
    <w:p w14:paraId="155F4C28"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Our optimization analysis of global island energy systems under current disaster risk reveals significant spatial inequality in investment. This inequality manifests as pronounced latitudinal and regional disparities in per capita investment costs.</w:t>
      </w:r>
    </w:p>
    <w:p w14:paraId="03F94D7D"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Under the current risk scenario, a distinct pattern of spatial heterogeneity emerges in per capita energy system investment costs across global islands (Fig. 2a). Islands with the highest per capita investment are predominantly concentrated in the North Atlantic, the Northwest Pacific, and the Central Pacific. These include islands in high-latitude or extremely remote offshore regions, such as Greenland, the United Kingdom, parts of Alaska (USA), and Fiji. Notably, this latitudinal effect is substantial: islands situated above 60° latitude require per capita energy investment costs approximately two to three times higher than those below this threshold (Fig. 2b), underscoring the profound influence of latitude on investment requirements.</w:t>
      </w:r>
    </w:p>
    <w:p w14:paraId="0E1E554F"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Islands with moderate investment levels are concentrated in the Northwest Atlantic, the Western Pacific, and the Southwest Indian Ocean, encompassing regions like southeastern China, southern Japan, Indonesia, and the southeastern United States. On average, their per capita investment costs are 1.5 times those of the lowest-cost islands. These low-cost islands, in turn, are more broadly distributed, with significant clusters in the Central Atlantic, the Southwestern United States, and the Mediterranean region (Fig. 2c, d).</w:t>
      </w:r>
    </w:p>
    <w:p w14:paraId="3CBB6136" w14:textId="77777777" w:rsidR="00156851" w:rsidRPr="00156851" w:rsidRDefault="00156851" w:rsidP="00156851">
      <w:pPr>
        <w:ind w:firstLine="420"/>
        <w:jc w:val="left"/>
        <w:rPr>
          <w:rFonts w:ascii="Times New Roman" w:eastAsia="宋体" w:hAnsi="Times New Roman" w:cs="Times New Roman"/>
          <w:szCs w:val="21"/>
        </w:rPr>
      </w:pPr>
      <w:r w:rsidRPr="00156851">
        <w:rPr>
          <w:rFonts w:ascii="Times New Roman" w:eastAsia="宋体" w:hAnsi="Times New Roman" w:cs="Times New Roman"/>
          <w:szCs w:val="21"/>
        </w:rPr>
        <w:t>To understand the drivers of these disparities, we decomposed the total investment into six technology categories (Fig. 2d). This analysis shows that latitudinal and regional factors predominantly influence the costs of energy storage and Liquefied Natural Gas (LNG) infrastructure. Specifically, both energy storage and LNG costs are substantially elevated for islands above 60° latitude compared to their lower-latitude counterparts. In contrast, islands in the South Pacific Ocean (SPO) region exhibit high energy storage costs but exceptionally low LNG-related investment, highlighting a distinct regional cost structure that contributes to the overall global inequality.</w:t>
      </w:r>
    </w:p>
    <w:p w14:paraId="7E4EF58D" w14:textId="77777777" w:rsidR="008C601F" w:rsidRPr="00156851" w:rsidRDefault="008C601F" w:rsidP="00C14660">
      <w:pPr>
        <w:jc w:val="left"/>
        <w:rPr>
          <w:rFonts w:ascii="Times New Roman" w:eastAsia="宋体" w:hAnsi="Times New Roman" w:cs="Times New Roman"/>
          <w:szCs w:val="21"/>
        </w:rPr>
      </w:pPr>
    </w:p>
    <w:p w14:paraId="49795F12" w14:textId="77777777" w:rsidR="008C601F" w:rsidRDefault="008C601F" w:rsidP="00C14660">
      <w:pPr>
        <w:jc w:val="left"/>
        <w:rPr>
          <w:rFonts w:ascii="Times New Roman" w:eastAsia="宋体" w:hAnsi="Times New Roman" w:cs="Times New Roman"/>
          <w:szCs w:val="21"/>
        </w:rPr>
      </w:pPr>
    </w:p>
    <w:p w14:paraId="6BE6632C" w14:textId="21AD5062" w:rsidR="008C601F" w:rsidRDefault="008C601F" w:rsidP="00C14660">
      <w:pPr>
        <w:jc w:val="left"/>
        <w:rPr>
          <w:rFonts w:ascii="Times New Roman" w:eastAsia="宋体" w:hAnsi="Times New Roman" w:cs="Times New Roman"/>
          <w:szCs w:val="21"/>
        </w:rPr>
      </w:pPr>
    </w:p>
    <w:p w14:paraId="06275154" w14:textId="77777777" w:rsidR="008C601F" w:rsidRDefault="008C601F" w:rsidP="00C14660">
      <w:pPr>
        <w:jc w:val="left"/>
        <w:rPr>
          <w:rFonts w:ascii="Times New Roman" w:eastAsia="宋体" w:hAnsi="Times New Roman" w:cs="Times New Roman"/>
          <w:szCs w:val="21"/>
        </w:rPr>
      </w:pPr>
    </w:p>
    <w:p w14:paraId="7EF82A89" w14:textId="4046AEA4" w:rsidR="008C601F" w:rsidRDefault="008C601F" w:rsidP="00C14660">
      <w:pPr>
        <w:jc w:val="left"/>
        <w:rPr>
          <w:rFonts w:ascii="Times New Roman" w:eastAsia="宋体" w:hAnsi="Times New Roman" w:cs="Times New Roman"/>
          <w:szCs w:val="21"/>
        </w:rPr>
      </w:pPr>
    </w:p>
    <w:p w14:paraId="2AEDFDA4" w14:textId="338BC093" w:rsidR="008C601F" w:rsidRDefault="008C601F" w:rsidP="00C14660">
      <w:pPr>
        <w:jc w:val="left"/>
        <w:rPr>
          <w:rFonts w:ascii="Times New Roman" w:eastAsia="宋体" w:hAnsi="Times New Roman" w:cs="Times New Roman"/>
          <w:szCs w:val="21"/>
        </w:rPr>
      </w:pPr>
    </w:p>
    <w:p w14:paraId="31BEB616" w14:textId="77777777" w:rsidR="008C601F" w:rsidRDefault="008C601F" w:rsidP="00C14660">
      <w:pPr>
        <w:jc w:val="left"/>
        <w:rPr>
          <w:rFonts w:ascii="Times New Roman" w:eastAsia="宋体" w:hAnsi="Times New Roman" w:cs="Times New Roman"/>
          <w:szCs w:val="21"/>
        </w:rPr>
      </w:pPr>
    </w:p>
    <w:p w14:paraId="7A55778A" w14:textId="77777777" w:rsidR="008C601F" w:rsidRDefault="008C601F" w:rsidP="00C14660">
      <w:pPr>
        <w:jc w:val="left"/>
        <w:rPr>
          <w:rFonts w:ascii="Times New Roman" w:eastAsia="宋体" w:hAnsi="Times New Roman" w:cs="Times New Roman"/>
          <w:szCs w:val="21"/>
        </w:rPr>
      </w:pPr>
    </w:p>
    <w:p w14:paraId="647E613B" w14:textId="77777777" w:rsidR="008C601F" w:rsidRDefault="008C601F" w:rsidP="00C14660">
      <w:pPr>
        <w:jc w:val="left"/>
        <w:rPr>
          <w:rFonts w:ascii="Times New Roman" w:eastAsia="宋体" w:hAnsi="Times New Roman" w:cs="Times New Roman"/>
          <w:szCs w:val="21"/>
        </w:rPr>
      </w:pPr>
    </w:p>
    <w:p w14:paraId="6E4AE275" w14:textId="77777777" w:rsidR="00B97BCA" w:rsidRDefault="00B97BCA" w:rsidP="00C14660">
      <w:pPr>
        <w:jc w:val="left"/>
        <w:rPr>
          <w:rFonts w:ascii="Times New Roman" w:eastAsia="宋体" w:hAnsi="Times New Roman" w:cs="Times New Roman"/>
          <w:szCs w:val="21"/>
        </w:rPr>
      </w:pPr>
    </w:p>
    <w:p w14:paraId="7250563A" w14:textId="78480D48" w:rsidR="008C601F" w:rsidRPr="008C601F" w:rsidRDefault="008C601F"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lastRenderedPageBreak/>
        <w:t>Fig.3 | Global island energy demand patterns and renewable resource characteristics.</w:t>
      </w:r>
    </w:p>
    <w:p w14:paraId="4D4A4065" w14:textId="03ECFE57" w:rsidR="0064517C" w:rsidRPr="00C613BE" w:rsidRDefault="00D83156" w:rsidP="00C14660">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7D48D23B" wp14:editId="35E5FF8F">
            <wp:extent cx="5272405" cy="8553450"/>
            <wp:effectExtent l="0" t="0" r="4445" b="0"/>
            <wp:docPr id="1074015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2405" cy="8553450"/>
                    </a:xfrm>
                    <a:prstGeom prst="rect">
                      <a:avLst/>
                    </a:prstGeom>
                    <a:noFill/>
                    <a:ln>
                      <a:noFill/>
                    </a:ln>
                  </pic:spPr>
                </pic:pic>
              </a:graphicData>
            </a:graphic>
          </wp:inline>
        </w:drawing>
      </w:r>
    </w:p>
    <w:p w14:paraId="0A9256B7" w14:textId="0F35CF55" w:rsidR="00055D5C" w:rsidRDefault="008E1A25" w:rsidP="00C14660">
      <w:pPr>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lastRenderedPageBreak/>
        <w:t xml:space="preserve">a, </w:t>
      </w:r>
      <w:r w:rsidRPr="002F7CB1">
        <w:rPr>
          <w:rFonts w:ascii="Times New Roman" w:eastAsia="宋体" w:hAnsi="Times New Roman" w:cs="Times New Roman"/>
          <w:szCs w:val="21"/>
          <w14:ligatures w14:val="none"/>
        </w:rPr>
        <w:t>Geographic distribution of dominant energy demand types across global islands</w:t>
      </w:r>
      <w:r w:rsidR="00FD4005">
        <w:rPr>
          <w:rFonts w:ascii="Times New Roman" w:eastAsia="宋体" w:hAnsi="Times New Roman" w:cs="Times New Roman" w:hint="eastAsia"/>
          <w:szCs w:val="21"/>
          <w14:ligatures w14:val="none"/>
        </w:rPr>
        <w:t xml:space="preserve"> in 2020</w:t>
      </w:r>
      <w:r w:rsidRPr="002F7CB1">
        <w:rPr>
          <w:rFonts w:ascii="Times New Roman" w:eastAsia="宋体" w:hAnsi="Times New Roman" w:cs="Times New Roman"/>
          <w:szCs w:val="21"/>
          <w14:ligatures w14:val="none"/>
        </w:rPr>
        <w:t xml:space="preserve">. Blue dots represent islands with primarily cooling demand, while red dots indicate islands with primarily heating demand. The size of dots corresponds to the per capita energy demand intensity. </w:t>
      </w:r>
      <w:r w:rsidRPr="00C613BE">
        <w:rPr>
          <w:rFonts w:ascii="Times New Roman" w:eastAsia="宋体" w:hAnsi="Times New Roman" w:cs="Times New Roman"/>
          <w:b/>
          <w:bCs/>
          <w:szCs w:val="21"/>
          <w14:ligatures w14:val="none"/>
        </w:rPr>
        <w:t xml:space="preserve">b, </w:t>
      </w:r>
      <w:r w:rsidRPr="002F7CB1">
        <w:rPr>
          <w:rFonts w:ascii="Times New Roman" w:eastAsia="宋体" w:hAnsi="Times New Roman" w:cs="Times New Roman"/>
          <w:szCs w:val="21"/>
          <w14:ligatures w14:val="none"/>
        </w:rPr>
        <w:t xml:space="preserve">Cumulative installation of </w:t>
      </w:r>
      <w:r w:rsidR="002F7CB1">
        <w:rPr>
          <w:rFonts w:ascii="Times New Roman" w:eastAsia="宋体" w:hAnsi="Times New Roman" w:cs="Times New Roman" w:hint="eastAsia"/>
          <w:szCs w:val="21"/>
          <w14:ligatures w14:val="none"/>
        </w:rPr>
        <w:t xml:space="preserve">renewable </w:t>
      </w:r>
      <w:r w:rsidRPr="002F7CB1">
        <w:rPr>
          <w:rFonts w:ascii="Times New Roman" w:eastAsia="宋体" w:hAnsi="Times New Roman" w:cs="Times New Roman"/>
          <w:szCs w:val="21"/>
          <w14:ligatures w14:val="none"/>
        </w:rPr>
        <w:t xml:space="preserve">energy resources across global islands </w:t>
      </w:r>
      <w:r w:rsidR="00900EE6">
        <w:rPr>
          <w:rFonts w:ascii="Times New Roman" w:eastAsia="宋体" w:hAnsi="Times New Roman" w:cs="Times New Roman" w:hint="eastAsia"/>
          <w:szCs w:val="21"/>
          <w14:ligatures w14:val="none"/>
        </w:rPr>
        <w:t>under current risk-based scenario</w:t>
      </w:r>
      <w:r w:rsidRPr="002F7CB1">
        <w:rPr>
          <w:rFonts w:ascii="Times New Roman" w:eastAsia="宋体" w:hAnsi="Times New Roman" w:cs="Times New Roman"/>
          <w:szCs w:val="21"/>
          <w14:ligatures w14:val="none"/>
        </w:rPr>
        <w:t>. Pie charts show the proportional mix of different energy technologies: wind turbines (WT, light blue), solar photovoltaics (PV, yellow)</w:t>
      </w:r>
      <w:r w:rsidR="008328C0">
        <w:rPr>
          <w:rFonts w:ascii="Times New Roman" w:eastAsia="宋体" w:hAnsi="Times New Roman" w:cs="Times New Roman" w:hint="eastAsia"/>
          <w:szCs w:val="21"/>
          <w14:ligatures w14:val="none"/>
        </w:rPr>
        <w:t xml:space="preserve"> and</w:t>
      </w:r>
      <w:r w:rsidRPr="002F7CB1">
        <w:rPr>
          <w:rFonts w:ascii="Times New Roman" w:eastAsia="宋体" w:hAnsi="Times New Roman" w:cs="Times New Roman"/>
          <w:szCs w:val="21"/>
          <w14:ligatures w14:val="none"/>
        </w:rPr>
        <w:t xml:space="preserve"> wave energy (WAVE, blue)</w:t>
      </w:r>
      <w:r w:rsidR="008328C0">
        <w:rPr>
          <w:rFonts w:ascii="Times New Roman" w:eastAsia="宋体" w:hAnsi="Times New Roman" w:cs="Times New Roman" w:hint="eastAsia"/>
          <w:szCs w:val="21"/>
          <w14:ligatures w14:val="none"/>
        </w:rPr>
        <w:t>.</w:t>
      </w:r>
      <w:r w:rsidRPr="002F7CB1">
        <w:rPr>
          <w:rFonts w:ascii="Times New Roman" w:eastAsia="宋体" w:hAnsi="Times New Roman" w:cs="Times New Roman"/>
          <w:szCs w:val="21"/>
          <w14:ligatures w14:val="none"/>
        </w:rPr>
        <w:t xml:space="preserve"> The size of each pie chart represents the total energy capacity.</w:t>
      </w:r>
      <w:r w:rsidRPr="00C613BE">
        <w:rPr>
          <w:rFonts w:ascii="Times New Roman" w:eastAsia="宋体" w:hAnsi="Times New Roman" w:cs="Times New Roman"/>
          <w:b/>
          <w:bCs/>
          <w:szCs w:val="21"/>
          <w14:ligatures w14:val="none"/>
        </w:rPr>
        <w:t xml:space="preserve"> c, </w:t>
      </w:r>
      <w:r w:rsidR="00055D5C" w:rsidRPr="00055D5C">
        <w:rPr>
          <w:rFonts w:ascii="Times New Roman" w:eastAsia="宋体" w:hAnsi="Times New Roman" w:cs="Times New Roman" w:hint="eastAsia"/>
          <w:szCs w:val="21"/>
          <w14:ligatures w14:val="none"/>
        </w:rPr>
        <w:t xml:space="preserve">Seasonal variations in wind energy potential across diverse geographical locations. </w:t>
      </w:r>
      <w:r w:rsidR="00F32FF3" w:rsidRPr="00F32FF3">
        <w:rPr>
          <w:rFonts w:ascii="Times New Roman" w:eastAsia="宋体" w:hAnsi="Times New Roman" w:cs="Times New Roman" w:hint="eastAsia"/>
          <w:szCs w:val="21"/>
          <w14:ligatures w14:val="none"/>
        </w:rPr>
        <w:t>The figure presents violin and box plots depicting the distribution of wind energy resources across spring (green), summer (yellow), autumn (orange), and winter (blue-gray). The Winter/Summer ratio (%) indicated below each panel quantifies the seasonal variability by comparing winter to summer wind energy potential.</w:t>
      </w:r>
    </w:p>
    <w:p w14:paraId="398E2645" w14:textId="4ED98A10" w:rsidR="00AB7920" w:rsidRPr="00C613BE" w:rsidRDefault="00AB7920"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Our systematic analysis identifies the core drivers underpinning this spatial heterogeneity in island energy system investment costs, collectively forming the structural mechanisms shaping the global pattern.</w:t>
      </w:r>
    </w:p>
    <w:p w14:paraId="1F78D775" w14:textId="77777777" w:rsidR="005B3730" w:rsidRDefault="00AB7920" w:rsidP="005B373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Firstly</w:t>
      </w:r>
      <w:r w:rsidR="00670686" w:rsidRPr="00C613BE">
        <w:rPr>
          <w:rFonts w:ascii="Times New Roman" w:eastAsia="宋体" w:hAnsi="Times New Roman" w:cs="Times New Roman"/>
          <w:szCs w:val="21"/>
        </w:rPr>
        <w:t>，</w:t>
      </w:r>
      <w:r w:rsidRPr="00C613BE">
        <w:rPr>
          <w:rFonts w:ascii="Times New Roman" w:eastAsia="宋体" w:hAnsi="Times New Roman" w:cs="Times New Roman"/>
          <w:szCs w:val="21"/>
        </w:rPr>
        <w:t>differences in climate and consequent energy demand structure constitute fundamental drivers. Islands at higher latitudes face harsher low-temperature conditions, leading to a significantly higher proportion of heating demand in their energy consumption mix (Fig. 3a). In our case islands, heating constitutes 100% of total energy demand for those above 40° latitude, while only islands in southeastern China and the eastern US below 40° latitude exhibit minor heating needs. This demand structure necessitates larger-capacity energy supply systems and reliance on purchasing LNG (liquefied natural gas) for heating in high-latitude islands, thereby increasing unit investment costs. Under the baseline scenario, LNG-related costs for islands above 40° latitude are significantly higher—averaging six times those of low-latitude islands (Fig. 2</w:t>
      </w:r>
      <w:r w:rsidR="00B97BCA">
        <w:rPr>
          <w:rFonts w:ascii="Times New Roman" w:eastAsia="宋体" w:hAnsi="Times New Roman" w:cs="Times New Roman" w:hint="eastAsia"/>
          <w:szCs w:val="21"/>
        </w:rPr>
        <w:t>d</w:t>
      </w:r>
      <w:r w:rsidRPr="00C613BE">
        <w:rPr>
          <w:rFonts w:ascii="Times New Roman" w:eastAsia="宋体" w:hAnsi="Times New Roman" w:cs="Times New Roman"/>
          <w:szCs w:val="21"/>
        </w:rPr>
        <w:t>).</w:t>
      </w:r>
    </w:p>
    <w:p w14:paraId="487A421F" w14:textId="77777777" w:rsidR="005B3730" w:rsidRDefault="005B3730" w:rsidP="005B3730">
      <w:pPr>
        <w:rPr>
          <w:rFonts w:ascii="Times New Roman" w:eastAsia="宋体" w:hAnsi="Times New Roman" w:cs="Times New Roman"/>
          <w:szCs w:val="21"/>
        </w:rPr>
      </w:pPr>
    </w:p>
    <w:p w14:paraId="726AE733" w14:textId="77777777" w:rsidR="005B3730" w:rsidRDefault="005B3730" w:rsidP="005B3730">
      <w:pPr>
        <w:rPr>
          <w:rFonts w:ascii="Times New Roman" w:eastAsia="宋体" w:hAnsi="Times New Roman" w:cs="Times New Roman"/>
          <w:szCs w:val="21"/>
        </w:rPr>
      </w:pPr>
    </w:p>
    <w:p w14:paraId="1CF0D0E4" w14:textId="77777777" w:rsidR="005B3730" w:rsidRDefault="005B3730" w:rsidP="005B3730">
      <w:pPr>
        <w:rPr>
          <w:rFonts w:ascii="Times New Roman" w:eastAsia="宋体" w:hAnsi="Times New Roman" w:cs="Times New Roman"/>
          <w:szCs w:val="21"/>
        </w:rPr>
      </w:pPr>
    </w:p>
    <w:p w14:paraId="2496826A" w14:textId="77777777" w:rsidR="005B3730" w:rsidRDefault="005B3730" w:rsidP="005B3730">
      <w:pPr>
        <w:rPr>
          <w:rFonts w:ascii="Times New Roman" w:eastAsia="宋体" w:hAnsi="Times New Roman" w:cs="Times New Roman"/>
          <w:szCs w:val="21"/>
        </w:rPr>
      </w:pPr>
    </w:p>
    <w:p w14:paraId="0920A4FD" w14:textId="77777777" w:rsidR="005B3730" w:rsidRDefault="005B3730" w:rsidP="005B3730">
      <w:pPr>
        <w:rPr>
          <w:rFonts w:ascii="Times New Roman" w:eastAsia="宋体" w:hAnsi="Times New Roman" w:cs="Times New Roman"/>
          <w:szCs w:val="21"/>
        </w:rPr>
      </w:pPr>
    </w:p>
    <w:p w14:paraId="213F0098" w14:textId="77777777" w:rsidR="005B3730" w:rsidRDefault="005B3730" w:rsidP="005B3730">
      <w:pPr>
        <w:rPr>
          <w:rFonts w:ascii="Times New Roman" w:eastAsia="宋体" w:hAnsi="Times New Roman" w:cs="Times New Roman"/>
          <w:szCs w:val="21"/>
        </w:rPr>
      </w:pPr>
    </w:p>
    <w:p w14:paraId="5A8F19F6" w14:textId="77777777" w:rsidR="005B3730" w:rsidRDefault="005B3730" w:rsidP="005B3730">
      <w:pPr>
        <w:rPr>
          <w:rFonts w:ascii="Times New Roman" w:eastAsia="宋体" w:hAnsi="Times New Roman" w:cs="Times New Roman"/>
          <w:szCs w:val="21"/>
        </w:rPr>
      </w:pPr>
    </w:p>
    <w:p w14:paraId="4670E428" w14:textId="77777777" w:rsidR="005B3730" w:rsidRDefault="005B3730" w:rsidP="005B3730">
      <w:pPr>
        <w:rPr>
          <w:rFonts w:ascii="Times New Roman" w:eastAsia="宋体" w:hAnsi="Times New Roman" w:cs="Times New Roman"/>
          <w:szCs w:val="21"/>
        </w:rPr>
      </w:pPr>
    </w:p>
    <w:p w14:paraId="7E8D7A9B" w14:textId="77777777" w:rsidR="005B3730" w:rsidRDefault="005B3730" w:rsidP="005B3730">
      <w:pPr>
        <w:rPr>
          <w:rFonts w:ascii="Times New Roman" w:eastAsia="宋体" w:hAnsi="Times New Roman" w:cs="Times New Roman"/>
          <w:szCs w:val="21"/>
        </w:rPr>
      </w:pPr>
    </w:p>
    <w:p w14:paraId="2BEFE7A7" w14:textId="77777777" w:rsidR="005B3730" w:rsidRDefault="005B3730" w:rsidP="005B3730">
      <w:pPr>
        <w:rPr>
          <w:rFonts w:ascii="Times New Roman" w:eastAsia="宋体" w:hAnsi="Times New Roman" w:cs="Times New Roman"/>
          <w:szCs w:val="21"/>
        </w:rPr>
      </w:pPr>
    </w:p>
    <w:p w14:paraId="0963D5EF" w14:textId="77777777" w:rsidR="005B3730" w:rsidRDefault="005B3730" w:rsidP="005B3730">
      <w:pPr>
        <w:rPr>
          <w:rFonts w:ascii="Times New Roman" w:eastAsia="宋体" w:hAnsi="Times New Roman" w:cs="Times New Roman"/>
          <w:szCs w:val="21"/>
        </w:rPr>
      </w:pPr>
    </w:p>
    <w:p w14:paraId="2D60F33E" w14:textId="77777777" w:rsidR="005B3730" w:rsidRDefault="005B3730" w:rsidP="005B3730">
      <w:pPr>
        <w:rPr>
          <w:rFonts w:ascii="Times New Roman" w:eastAsia="宋体" w:hAnsi="Times New Roman" w:cs="Times New Roman"/>
          <w:szCs w:val="21"/>
        </w:rPr>
      </w:pPr>
    </w:p>
    <w:p w14:paraId="39F2E3C3" w14:textId="77777777" w:rsidR="005B3730" w:rsidRDefault="005B3730" w:rsidP="005B3730">
      <w:pPr>
        <w:rPr>
          <w:rFonts w:ascii="Times New Roman" w:eastAsia="宋体" w:hAnsi="Times New Roman" w:cs="Times New Roman"/>
          <w:szCs w:val="21"/>
        </w:rPr>
      </w:pPr>
    </w:p>
    <w:p w14:paraId="683854EE" w14:textId="77777777" w:rsidR="005B3730" w:rsidRDefault="005B3730" w:rsidP="005B3730">
      <w:pPr>
        <w:rPr>
          <w:rFonts w:ascii="Times New Roman" w:eastAsia="宋体" w:hAnsi="Times New Roman" w:cs="Times New Roman"/>
          <w:szCs w:val="21"/>
        </w:rPr>
      </w:pPr>
    </w:p>
    <w:p w14:paraId="48EC9CD9" w14:textId="77777777" w:rsidR="005B3730" w:rsidRDefault="005B3730" w:rsidP="005B3730">
      <w:pPr>
        <w:rPr>
          <w:rFonts w:ascii="Times New Roman" w:eastAsia="宋体" w:hAnsi="Times New Roman" w:cs="Times New Roman"/>
          <w:szCs w:val="21"/>
        </w:rPr>
      </w:pPr>
    </w:p>
    <w:p w14:paraId="0A2989F0" w14:textId="77777777" w:rsidR="005B3730" w:rsidRDefault="005B3730" w:rsidP="005B3730">
      <w:pPr>
        <w:rPr>
          <w:rFonts w:ascii="Times New Roman" w:eastAsia="宋体" w:hAnsi="Times New Roman" w:cs="Times New Roman"/>
          <w:szCs w:val="21"/>
        </w:rPr>
      </w:pPr>
    </w:p>
    <w:p w14:paraId="115B983A" w14:textId="77777777" w:rsidR="005B3730" w:rsidRDefault="005B3730" w:rsidP="005B3730">
      <w:pPr>
        <w:rPr>
          <w:rFonts w:ascii="Times New Roman" w:eastAsia="宋体" w:hAnsi="Times New Roman" w:cs="Times New Roman"/>
          <w:szCs w:val="21"/>
        </w:rPr>
      </w:pPr>
    </w:p>
    <w:p w14:paraId="45F00365" w14:textId="77777777" w:rsidR="005B3730" w:rsidRDefault="005B3730" w:rsidP="005B3730">
      <w:pPr>
        <w:rPr>
          <w:rFonts w:ascii="Times New Roman" w:eastAsia="宋体" w:hAnsi="Times New Roman" w:cs="Times New Roman"/>
          <w:szCs w:val="21"/>
        </w:rPr>
      </w:pPr>
    </w:p>
    <w:p w14:paraId="746E704D" w14:textId="77777777" w:rsidR="005B3730" w:rsidRDefault="005B3730" w:rsidP="005B3730">
      <w:pPr>
        <w:rPr>
          <w:rFonts w:ascii="Times New Roman" w:eastAsia="宋体" w:hAnsi="Times New Roman" w:cs="Times New Roman"/>
          <w:szCs w:val="21"/>
        </w:rPr>
      </w:pPr>
    </w:p>
    <w:p w14:paraId="1B7DBB0F" w14:textId="77777777" w:rsidR="005B3730" w:rsidRDefault="005B3730" w:rsidP="005B3730">
      <w:pPr>
        <w:rPr>
          <w:rFonts w:ascii="Times New Roman" w:eastAsia="宋体" w:hAnsi="Times New Roman" w:cs="Times New Roman"/>
          <w:szCs w:val="21"/>
        </w:rPr>
      </w:pPr>
    </w:p>
    <w:p w14:paraId="17DD956A" w14:textId="77777777" w:rsidR="005B3730" w:rsidRDefault="005B3730" w:rsidP="005B3730">
      <w:pPr>
        <w:rPr>
          <w:rFonts w:ascii="Times New Roman" w:eastAsia="宋体" w:hAnsi="Times New Roman" w:cs="Times New Roman"/>
          <w:szCs w:val="21"/>
        </w:rPr>
      </w:pPr>
    </w:p>
    <w:p w14:paraId="3525EB42" w14:textId="77777777" w:rsidR="005B3730" w:rsidRDefault="005B3730" w:rsidP="005B3730">
      <w:pPr>
        <w:rPr>
          <w:rFonts w:ascii="Times New Roman" w:eastAsia="宋体" w:hAnsi="Times New Roman" w:cs="Times New Roman"/>
          <w:szCs w:val="21"/>
        </w:rPr>
      </w:pPr>
    </w:p>
    <w:p w14:paraId="59D1CBDD" w14:textId="2AB9CE23" w:rsidR="00F318AF" w:rsidRPr="00F318AF" w:rsidRDefault="00F318AF" w:rsidP="005B373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Fig.4 | Energy supply-demand patterns and global infrastructure for island energy systems.</w:t>
      </w:r>
    </w:p>
    <w:p w14:paraId="746D6192" w14:textId="29BC078F" w:rsidR="00872DF7" w:rsidRPr="00C613BE" w:rsidRDefault="00F949F4" w:rsidP="00C14660">
      <w:pPr>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43CB6E94" wp14:editId="2DACCBBC">
            <wp:extent cx="4587956" cy="7940233"/>
            <wp:effectExtent l="0" t="0" r="3175" b="3810"/>
            <wp:docPr id="14634317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055" cy="7943866"/>
                    </a:xfrm>
                    <a:prstGeom prst="rect">
                      <a:avLst/>
                    </a:prstGeom>
                    <a:noFill/>
                    <a:ln>
                      <a:noFill/>
                    </a:ln>
                  </pic:spPr>
                </pic:pic>
              </a:graphicData>
            </a:graphic>
          </wp:inline>
        </w:drawing>
      </w:r>
    </w:p>
    <w:p w14:paraId="27067322" w14:textId="6614F159" w:rsidR="008E69A0" w:rsidRPr="00F318AF" w:rsidRDefault="008E69A0" w:rsidP="00C14660">
      <w:pPr>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t xml:space="preserve">a, </w:t>
      </w:r>
      <w:r w:rsidRPr="00F318AF">
        <w:rPr>
          <w:rFonts w:ascii="Times New Roman" w:eastAsia="宋体" w:hAnsi="Times New Roman" w:cs="Times New Roman"/>
          <w:szCs w:val="21"/>
          <w14:ligatures w14:val="none"/>
        </w:rPr>
        <w:t xml:space="preserve">Annual energy profile of a case study island showing heating demand (red line) plotted against </w:t>
      </w:r>
      <w:r w:rsidRPr="00F318AF">
        <w:rPr>
          <w:rFonts w:ascii="Times New Roman" w:eastAsia="宋体" w:hAnsi="Times New Roman" w:cs="Times New Roman"/>
          <w:szCs w:val="21"/>
          <w14:ligatures w14:val="none"/>
        </w:rPr>
        <w:lastRenderedPageBreak/>
        <w:t>renewable energy generation from wind turbines (WT, light blue), photovoltaics (PV, yellow), and wave energy converters (WAVE, blue). The x-axis represents months (1-12), and the y-axis shows output/demand in kilowatts (kW).</w:t>
      </w:r>
      <w:r w:rsidRPr="00C613BE">
        <w:rPr>
          <w:rFonts w:ascii="Times New Roman" w:eastAsia="宋体" w:hAnsi="Times New Roman" w:cs="Times New Roman"/>
          <w:b/>
          <w:bCs/>
          <w:szCs w:val="21"/>
          <w14:ligatures w14:val="none"/>
        </w:rPr>
        <w:t xml:space="preserve"> b, </w:t>
      </w:r>
      <w:r w:rsidRPr="00F318AF">
        <w:rPr>
          <w:rFonts w:ascii="Times New Roman" w:eastAsia="宋体" w:hAnsi="Times New Roman" w:cs="Times New Roman"/>
          <w:szCs w:val="21"/>
          <w14:ligatures w14:val="none"/>
        </w:rPr>
        <w:t xml:space="preserve">Global distribution of islands (blue dots) and LNG terminals (red dots) demonstrating the geographical relationship between potential energy consumers and existing </w:t>
      </w:r>
      <w:r w:rsidR="00800CAA" w:rsidRPr="00F318AF">
        <w:rPr>
          <w:rFonts w:ascii="Times New Roman" w:eastAsia="宋体" w:hAnsi="Times New Roman" w:cs="Times New Roman"/>
          <w:szCs w:val="21"/>
          <w14:ligatures w14:val="none"/>
        </w:rPr>
        <w:t>LNG</w:t>
      </w:r>
      <w:r w:rsidRPr="00F318AF">
        <w:rPr>
          <w:rFonts w:ascii="Times New Roman" w:eastAsia="宋体" w:hAnsi="Times New Roman" w:cs="Times New Roman"/>
          <w:szCs w:val="21"/>
          <w14:ligatures w14:val="none"/>
        </w:rPr>
        <w:t xml:space="preserve"> supply infrastructure.</w:t>
      </w:r>
      <w:r w:rsidRPr="00C613BE">
        <w:rPr>
          <w:rFonts w:ascii="Times New Roman" w:eastAsia="宋体" w:hAnsi="Times New Roman" w:cs="Times New Roman"/>
          <w:b/>
          <w:bCs/>
          <w:szCs w:val="21"/>
          <w14:ligatures w14:val="none"/>
        </w:rPr>
        <w:t xml:space="preserve"> c, </w:t>
      </w:r>
      <w:r w:rsidRPr="00F318AF">
        <w:rPr>
          <w:rFonts w:ascii="Times New Roman" w:eastAsia="宋体" w:hAnsi="Times New Roman" w:cs="Times New Roman"/>
          <w:szCs w:val="21"/>
          <w14:ligatures w14:val="none"/>
        </w:rPr>
        <w:t>Geographic distribution of energy facilities on islands worldwide, categorized as LNG (Liquefied Natural Gas, gray), ES (Energy Storage, blue), HS (H</w:t>
      </w:r>
      <w:r w:rsidR="00D02B05" w:rsidRPr="00F318AF">
        <w:rPr>
          <w:rFonts w:ascii="Times New Roman" w:eastAsia="宋体" w:hAnsi="Times New Roman" w:cs="Times New Roman"/>
          <w:szCs w:val="21"/>
          <w14:ligatures w14:val="none"/>
        </w:rPr>
        <w:t>eating</w:t>
      </w:r>
      <w:r w:rsidRPr="00F318AF">
        <w:rPr>
          <w:rFonts w:ascii="Times New Roman" w:eastAsia="宋体" w:hAnsi="Times New Roman" w:cs="Times New Roman"/>
          <w:szCs w:val="21"/>
          <w14:ligatures w14:val="none"/>
        </w:rPr>
        <w:t xml:space="preserve"> Storage, orange), CS (C</w:t>
      </w:r>
      <w:r w:rsidR="00D02B05" w:rsidRPr="00F318AF">
        <w:rPr>
          <w:rFonts w:ascii="Times New Roman" w:eastAsia="宋体" w:hAnsi="Times New Roman" w:cs="Times New Roman"/>
          <w:szCs w:val="21"/>
          <w14:ligatures w14:val="none"/>
        </w:rPr>
        <w:t>ooling</w:t>
      </w:r>
      <w:r w:rsidRPr="00F318AF">
        <w:rPr>
          <w:rFonts w:ascii="Times New Roman" w:eastAsia="宋体" w:hAnsi="Times New Roman" w:cs="Times New Roman"/>
          <w:szCs w:val="21"/>
          <w14:ligatures w14:val="none"/>
        </w:rPr>
        <w:t xml:space="preserve"> Storage, light blue), and H</w:t>
      </w:r>
      <w:r w:rsidR="00D02B05" w:rsidRPr="00F318AF">
        <w:rPr>
          <w:rFonts w:ascii="Times New Roman" w:eastAsia="宋体" w:hAnsi="Times New Roman" w:cs="Times New Roman"/>
          <w:szCs w:val="21"/>
          <w:vertAlign w:val="subscript"/>
          <w14:ligatures w14:val="none"/>
        </w:rPr>
        <w:t>2</w:t>
      </w:r>
      <w:r w:rsidRPr="00F318AF">
        <w:rPr>
          <w:rFonts w:ascii="Times New Roman" w:eastAsia="宋体" w:hAnsi="Times New Roman" w:cs="Times New Roman"/>
          <w:szCs w:val="21"/>
          <w14:ligatures w14:val="none"/>
        </w:rPr>
        <w:t>S (</w:t>
      </w:r>
      <w:r w:rsidR="00D02B05" w:rsidRPr="00F318AF">
        <w:rPr>
          <w:rFonts w:ascii="Times New Roman" w:eastAsia="宋体" w:hAnsi="Times New Roman" w:cs="Times New Roman"/>
          <w:szCs w:val="21"/>
          <w14:ligatures w14:val="none"/>
        </w:rPr>
        <w:t>Hydrogen</w:t>
      </w:r>
      <w:r w:rsidRPr="00F318AF">
        <w:rPr>
          <w:rFonts w:ascii="Times New Roman" w:eastAsia="宋体" w:hAnsi="Times New Roman" w:cs="Times New Roman"/>
          <w:szCs w:val="21"/>
          <w14:ligatures w14:val="none"/>
        </w:rPr>
        <w:t xml:space="preserve"> Storage, green). Left and right panels show different </w:t>
      </w:r>
      <w:r w:rsidR="00175992" w:rsidRPr="00F318AF">
        <w:rPr>
          <w:rFonts w:ascii="Times New Roman" w:eastAsia="宋体" w:hAnsi="Times New Roman" w:cs="Times New Roman"/>
          <w:szCs w:val="21"/>
          <w14:ligatures w14:val="none"/>
        </w:rPr>
        <w:t>scenarios</w:t>
      </w:r>
      <w:r w:rsidRPr="00F318AF">
        <w:rPr>
          <w:rFonts w:ascii="Times New Roman" w:eastAsia="宋体" w:hAnsi="Times New Roman" w:cs="Times New Roman"/>
          <w:szCs w:val="21"/>
          <w14:ligatures w14:val="none"/>
        </w:rPr>
        <w:t xml:space="preserve"> of the relative distribution of these technologies across global island communities.</w:t>
      </w:r>
    </w:p>
    <w:p w14:paraId="6174F8DC" w14:textId="77777777" w:rsidR="00AB7920" w:rsidRPr="00C613BE" w:rsidRDefault="00AB792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uneven spatiotemporal distribution of renewable resources is a key variable driving investment disparities. During winter, solar energy utilization rates decrease significantly for high-latitude islands, coinciding precisely with peak heating demand, creating a critical spatiotemporal mismatch between resource availability and load (Fig. 4a). For instance, a high-latitude case island in the North Atlantic (-45.27849, 60.15269) experiences an average winter solar utilization rate of only 21.03% of its summer rate, while heating loads remain persistently high. This mismatch compels high-latitude islands to deploy significantly more energy storage capacity and LNG infrastructure to offset the seasonal variability and instability of renewable supply. Model results demonstrate that investments in storage systems for high-latitude islands average 254% higher than for low-latitude islands, while LNG investments are 335% higher, directly contributing to substantially higher overall system investment costs.</w:t>
      </w:r>
    </w:p>
    <w:p w14:paraId="4C044BA7" w14:textId="77777777" w:rsidR="00AB7920" w:rsidRPr="00C613BE" w:rsidRDefault="00AB792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Variations in renewable resource endowments also drive differences among lower-latitude islands, as illustrated by comparing islands in Indonesia (124.01352, -1.85265) and Cuba (-114.724312, 18.356756). Despite similar per capita cooling demands, their per capita energy investment costs differ markedly. Renewable energy facility investment is significantly higher for the Indonesian island. Analysis reveals that while both islands possess abundant solar resources, wind resources differ substantially. The Indonesian island suffers from scarce and seasonally uneven wind resources, significantly lower than Cuba's. Consequently, the Indonesian island requires greater investment in more expensive wave energy resources to meet its electricity demand, resulting in higher per capita energy costs (Fig. 3b, c).</w:t>
      </w:r>
    </w:p>
    <w:p w14:paraId="67C5295C" w14:textId="0E322A0F" w:rsidR="009D5196" w:rsidRPr="00C613BE" w:rsidRDefault="00AB7920"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Geographic remoteness significantly impacts investment costs through supply chain complexity. Case studies show that islands near Greenland (-45.27849, 60.15269) face LNG procurement costs averaging twice those of nearshore islands like the UK case (-7.466944, 56.986007), primarily due to their greater distance from the nearest LNG ports. Combined with the high LNG demand for heating in these high-latitude locations, this results in much higher per capita energy investment compared to UK islands (Fig. 4b). Further contrasting the Indonesian island (124.01352, -1.85265) with Fiji in the South Pacific (-178.580599, -19.141772)—both with comparable per capita cooling demands—reveals that Fiji's lower solar, wind, and wave energy resources, coupled with extreme remoteness from LNG ports (making LNG prohibitively expensive), necessitate larger investments in renewables and significantly increased storage capacity to ensure supply reliability. This strategy leads to Fiji's higher per capita investment (Fig. 3a,b; Fig. 4b,c).</w:t>
      </w:r>
    </w:p>
    <w:p w14:paraId="2D36EB07" w14:textId="77777777" w:rsidR="00AB7920" w:rsidRDefault="00AB7920" w:rsidP="008A27DC">
      <w:pPr>
        <w:rPr>
          <w:rFonts w:ascii="Times New Roman" w:eastAsia="宋体" w:hAnsi="Times New Roman" w:cs="Times New Roman"/>
          <w:szCs w:val="21"/>
        </w:rPr>
      </w:pPr>
    </w:p>
    <w:p w14:paraId="621CC00C" w14:textId="77777777" w:rsidR="00F318AF" w:rsidRDefault="00F318AF" w:rsidP="008A27DC">
      <w:pPr>
        <w:rPr>
          <w:rFonts w:ascii="Times New Roman" w:eastAsia="宋体" w:hAnsi="Times New Roman" w:cs="Times New Roman"/>
          <w:szCs w:val="21"/>
        </w:rPr>
      </w:pPr>
    </w:p>
    <w:p w14:paraId="5F937D2D" w14:textId="77777777" w:rsidR="005B3730" w:rsidRDefault="005B3730" w:rsidP="008A27DC">
      <w:pPr>
        <w:rPr>
          <w:rFonts w:ascii="Times New Roman" w:eastAsia="宋体" w:hAnsi="Times New Roman" w:cs="Times New Roman"/>
          <w:szCs w:val="21"/>
        </w:rPr>
      </w:pPr>
    </w:p>
    <w:p w14:paraId="0C622E65" w14:textId="77777777" w:rsidR="005B3730" w:rsidRDefault="005B3730" w:rsidP="008A27DC">
      <w:pPr>
        <w:rPr>
          <w:rFonts w:ascii="Times New Roman" w:eastAsia="宋体" w:hAnsi="Times New Roman" w:cs="Times New Roman"/>
          <w:szCs w:val="21"/>
        </w:rPr>
      </w:pPr>
    </w:p>
    <w:p w14:paraId="1E8FAD52" w14:textId="77777777" w:rsidR="005B3730" w:rsidRDefault="005B3730" w:rsidP="008A27DC">
      <w:pPr>
        <w:rPr>
          <w:rFonts w:ascii="Times New Roman" w:eastAsia="宋体" w:hAnsi="Times New Roman" w:cs="Times New Roman"/>
          <w:szCs w:val="21"/>
        </w:rPr>
      </w:pPr>
    </w:p>
    <w:p w14:paraId="16446A04" w14:textId="77777777" w:rsidR="00846F82" w:rsidRPr="00C613BE" w:rsidRDefault="00846F82" w:rsidP="008A27DC">
      <w:pPr>
        <w:rPr>
          <w:rFonts w:ascii="Times New Roman" w:eastAsia="宋体" w:hAnsi="Times New Roman" w:cs="Times New Roman"/>
          <w:szCs w:val="21"/>
        </w:rPr>
      </w:pPr>
    </w:p>
    <w:p w14:paraId="5EE6A17C" w14:textId="0DECAAF8" w:rsidR="00692854" w:rsidRPr="00C613BE" w:rsidRDefault="00990284" w:rsidP="00C14660">
      <w:pPr>
        <w:rPr>
          <w:rFonts w:ascii="Times New Roman" w:eastAsia="宋体" w:hAnsi="Times New Roman" w:cs="Times New Roman"/>
          <w:b/>
          <w:szCs w:val="21"/>
          <w14:ligatures w14:val="none"/>
        </w:rPr>
      </w:pPr>
      <w:r w:rsidRPr="00990284">
        <w:rPr>
          <w:rFonts w:ascii="Times New Roman" w:eastAsia="宋体" w:hAnsi="Times New Roman" w:cs="Times New Roman" w:hint="eastAsia"/>
          <w:b/>
          <w:szCs w:val="21"/>
          <w14:ligatures w14:val="none"/>
        </w:rPr>
        <w:t>Climate Risk Gradients Intensify Spatial Heterogeneity in Per Capita Energy Investment for Future Risk-Based Design</w:t>
      </w:r>
    </w:p>
    <w:p w14:paraId="1583D1E3" w14:textId="08E30E70" w:rsidR="00917017" w:rsidRDefault="00823A4E" w:rsidP="00C14660">
      <w:pPr>
        <w:ind w:firstLine="420"/>
        <w:jc w:val="left"/>
        <w:rPr>
          <w:rFonts w:ascii="Times New Roman" w:eastAsia="宋体" w:hAnsi="Times New Roman" w:cs="Times New Roman"/>
          <w:szCs w:val="21"/>
        </w:rPr>
      </w:pPr>
      <w:r w:rsidRPr="00C613BE">
        <w:rPr>
          <w:rFonts w:ascii="Times New Roman" w:eastAsia="宋体" w:hAnsi="Times New Roman" w:cs="Times New Roman"/>
          <w:szCs w:val="21"/>
        </w:rPr>
        <w:t xml:space="preserve">Climate change is projected to significantly increase future typhoon risks. In our second scenario, we adopt a more conservative design approach to assess global island energy system investments under projected 2050 disaster risks. Comparative analysis between the 2020 baseline and 2050 scenarios reveals that climate change amplifies per capita energy investments in specific regions, intensifying preexisting spatial disparities (Fig. </w:t>
      </w:r>
      <w:r w:rsidR="005B3730">
        <w:rPr>
          <w:rFonts w:ascii="Times New Roman" w:eastAsia="宋体" w:hAnsi="Times New Roman" w:cs="Times New Roman" w:hint="eastAsia"/>
          <w:szCs w:val="21"/>
        </w:rPr>
        <w:t>5a</w:t>
      </w:r>
      <w:r w:rsidRPr="00C613BE">
        <w:rPr>
          <w:rFonts w:ascii="Times New Roman" w:eastAsia="宋体" w:hAnsi="Times New Roman" w:cs="Times New Roman"/>
          <w:szCs w:val="21"/>
        </w:rPr>
        <w:t>). Under RCP8.5, islands in the northwestern Pacific and southwestern Indian Ocean experience a 16.3% average increase in per capita energy investment—markedly higher than the 3% average increase in other regions—leading to more pronounced heterogeneity. This divergence is particularly acute within the Pacific Northwest’s "typhoon corridor" (Fig.</w:t>
      </w:r>
      <w:r w:rsidR="00243758">
        <w:rPr>
          <w:rFonts w:ascii="Times New Roman" w:eastAsia="宋体" w:hAnsi="Times New Roman" w:cs="Times New Roman" w:hint="eastAsia"/>
          <w:szCs w:val="21"/>
        </w:rPr>
        <w:t>5a</w:t>
      </w:r>
      <w:r w:rsidRPr="00C613BE">
        <w:rPr>
          <w:rFonts w:ascii="Times New Roman" w:eastAsia="宋体" w:hAnsi="Times New Roman" w:cs="Times New Roman"/>
          <w:szCs w:val="21"/>
        </w:rPr>
        <w:t>). Case studies in this high-risk zone (e.g., southeastern China, southern Japan, and northern Philippines) demonstrate significantly higher cost escalations than elsewhere. Our simulations indicate that typhoon corridor islands require substantial additional investments in energy storage and LNG infrastructure to withstand extreme climate events under RCP8.5. For instance, islands in southeastern China exhibit a 60% increase in per capita storage investment costs—far exceeding other regions (Fig.</w:t>
      </w:r>
      <w:r w:rsidR="005B3730">
        <w:rPr>
          <w:rFonts w:ascii="Times New Roman" w:eastAsia="宋体" w:hAnsi="Times New Roman" w:cs="Times New Roman" w:hint="eastAsia"/>
          <w:szCs w:val="21"/>
        </w:rPr>
        <w:t>5b</w:t>
      </w:r>
      <w:r w:rsidRPr="00C613BE">
        <w:rPr>
          <w:rFonts w:ascii="Times New Roman" w:eastAsia="宋体" w:hAnsi="Times New Roman" w:cs="Times New Roman"/>
          <w:szCs w:val="21"/>
        </w:rPr>
        <w:t>).</w:t>
      </w:r>
    </w:p>
    <w:p w14:paraId="182E44A8" w14:textId="77777777" w:rsidR="005B3730" w:rsidRDefault="005B3730" w:rsidP="00C14660">
      <w:pPr>
        <w:ind w:firstLine="420"/>
        <w:jc w:val="left"/>
        <w:rPr>
          <w:rFonts w:ascii="Times New Roman" w:eastAsia="宋体" w:hAnsi="Times New Roman" w:cs="Times New Roman"/>
          <w:szCs w:val="21"/>
        </w:rPr>
      </w:pPr>
    </w:p>
    <w:p w14:paraId="7698FD2E" w14:textId="77777777" w:rsidR="005B3730" w:rsidRDefault="005B3730" w:rsidP="00C14660">
      <w:pPr>
        <w:ind w:firstLine="420"/>
        <w:jc w:val="left"/>
        <w:rPr>
          <w:rFonts w:ascii="Times New Roman" w:eastAsia="宋体" w:hAnsi="Times New Roman" w:cs="Times New Roman"/>
          <w:szCs w:val="21"/>
        </w:rPr>
      </w:pPr>
    </w:p>
    <w:p w14:paraId="3A45EF07" w14:textId="77777777" w:rsidR="005B3730" w:rsidRDefault="005B3730" w:rsidP="00C14660">
      <w:pPr>
        <w:ind w:firstLine="420"/>
        <w:jc w:val="left"/>
        <w:rPr>
          <w:rFonts w:ascii="Times New Roman" w:eastAsia="宋体" w:hAnsi="Times New Roman" w:cs="Times New Roman"/>
          <w:szCs w:val="21"/>
        </w:rPr>
      </w:pPr>
    </w:p>
    <w:p w14:paraId="3106E907" w14:textId="77777777" w:rsidR="005B3730" w:rsidRDefault="005B3730" w:rsidP="00C14660">
      <w:pPr>
        <w:ind w:firstLine="420"/>
        <w:jc w:val="left"/>
        <w:rPr>
          <w:rFonts w:ascii="Times New Roman" w:eastAsia="宋体" w:hAnsi="Times New Roman" w:cs="Times New Roman"/>
          <w:szCs w:val="21"/>
        </w:rPr>
      </w:pPr>
    </w:p>
    <w:p w14:paraId="6C3CFD1C" w14:textId="77777777" w:rsidR="005B3730" w:rsidRDefault="005B3730" w:rsidP="00C14660">
      <w:pPr>
        <w:ind w:firstLine="420"/>
        <w:jc w:val="left"/>
        <w:rPr>
          <w:rFonts w:ascii="Times New Roman" w:eastAsia="宋体" w:hAnsi="Times New Roman" w:cs="Times New Roman"/>
          <w:szCs w:val="21"/>
        </w:rPr>
      </w:pPr>
    </w:p>
    <w:p w14:paraId="4321873E" w14:textId="77777777" w:rsidR="005B3730" w:rsidRDefault="005B3730" w:rsidP="00C14660">
      <w:pPr>
        <w:ind w:firstLine="420"/>
        <w:jc w:val="left"/>
        <w:rPr>
          <w:rFonts w:ascii="Times New Roman" w:eastAsia="宋体" w:hAnsi="Times New Roman" w:cs="Times New Roman"/>
          <w:szCs w:val="21"/>
        </w:rPr>
      </w:pPr>
    </w:p>
    <w:p w14:paraId="6B84488F" w14:textId="77777777" w:rsidR="005B3730" w:rsidRDefault="005B3730" w:rsidP="00C14660">
      <w:pPr>
        <w:ind w:firstLine="420"/>
        <w:jc w:val="left"/>
        <w:rPr>
          <w:rFonts w:ascii="Times New Roman" w:eastAsia="宋体" w:hAnsi="Times New Roman" w:cs="Times New Roman"/>
          <w:szCs w:val="21"/>
        </w:rPr>
      </w:pPr>
    </w:p>
    <w:p w14:paraId="59CE62E3" w14:textId="77777777" w:rsidR="005B3730" w:rsidRDefault="005B3730" w:rsidP="00C14660">
      <w:pPr>
        <w:ind w:firstLine="420"/>
        <w:jc w:val="left"/>
        <w:rPr>
          <w:rFonts w:ascii="Times New Roman" w:eastAsia="宋体" w:hAnsi="Times New Roman" w:cs="Times New Roman"/>
          <w:szCs w:val="21"/>
        </w:rPr>
      </w:pPr>
    </w:p>
    <w:p w14:paraId="705B2FCA" w14:textId="77777777" w:rsidR="005B3730" w:rsidRDefault="005B3730" w:rsidP="00C14660">
      <w:pPr>
        <w:ind w:firstLine="420"/>
        <w:jc w:val="left"/>
        <w:rPr>
          <w:rFonts w:ascii="Times New Roman" w:eastAsia="宋体" w:hAnsi="Times New Roman" w:cs="Times New Roman"/>
          <w:szCs w:val="21"/>
        </w:rPr>
      </w:pPr>
    </w:p>
    <w:p w14:paraId="7D874524" w14:textId="77777777" w:rsidR="005B3730" w:rsidRDefault="005B3730" w:rsidP="00C14660">
      <w:pPr>
        <w:ind w:firstLine="420"/>
        <w:jc w:val="left"/>
        <w:rPr>
          <w:rFonts w:ascii="Times New Roman" w:eastAsia="宋体" w:hAnsi="Times New Roman" w:cs="Times New Roman"/>
          <w:szCs w:val="21"/>
        </w:rPr>
      </w:pPr>
    </w:p>
    <w:p w14:paraId="105E22C6" w14:textId="77777777" w:rsidR="005B3730" w:rsidRDefault="005B3730" w:rsidP="00C14660">
      <w:pPr>
        <w:ind w:firstLine="420"/>
        <w:jc w:val="left"/>
        <w:rPr>
          <w:rFonts w:ascii="Times New Roman" w:eastAsia="宋体" w:hAnsi="Times New Roman" w:cs="Times New Roman"/>
          <w:szCs w:val="21"/>
        </w:rPr>
      </w:pPr>
    </w:p>
    <w:p w14:paraId="7B4734D2" w14:textId="77777777" w:rsidR="005B3730" w:rsidRDefault="005B3730" w:rsidP="00C14660">
      <w:pPr>
        <w:ind w:firstLine="420"/>
        <w:jc w:val="left"/>
        <w:rPr>
          <w:rFonts w:ascii="Times New Roman" w:eastAsia="宋体" w:hAnsi="Times New Roman" w:cs="Times New Roman"/>
          <w:szCs w:val="21"/>
        </w:rPr>
      </w:pPr>
    </w:p>
    <w:p w14:paraId="3A609698" w14:textId="77777777" w:rsidR="005B3730" w:rsidRDefault="005B3730" w:rsidP="00C14660">
      <w:pPr>
        <w:ind w:firstLine="420"/>
        <w:jc w:val="left"/>
        <w:rPr>
          <w:rFonts w:ascii="Times New Roman" w:eastAsia="宋体" w:hAnsi="Times New Roman" w:cs="Times New Roman"/>
          <w:szCs w:val="21"/>
        </w:rPr>
      </w:pPr>
    </w:p>
    <w:p w14:paraId="50BC45A3" w14:textId="77777777" w:rsidR="005B3730" w:rsidRDefault="005B3730" w:rsidP="00C14660">
      <w:pPr>
        <w:ind w:firstLine="420"/>
        <w:jc w:val="left"/>
        <w:rPr>
          <w:rFonts w:ascii="Times New Roman" w:eastAsia="宋体" w:hAnsi="Times New Roman" w:cs="Times New Roman"/>
          <w:szCs w:val="21"/>
        </w:rPr>
      </w:pPr>
    </w:p>
    <w:p w14:paraId="5DA7A59A" w14:textId="77777777" w:rsidR="005B3730" w:rsidRDefault="005B3730" w:rsidP="00C14660">
      <w:pPr>
        <w:ind w:firstLine="420"/>
        <w:jc w:val="left"/>
        <w:rPr>
          <w:rFonts w:ascii="Times New Roman" w:eastAsia="宋体" w:hAnsi="Times New Roman" w:cs="Times New Roman"/>
          <w:szCs w:val="21"/>
        </w:rPr>
      </w:pPr>
    </w:p>
    <w:p w14:paraId="36DCFF6A" w14:textId="77777777" w:rsidR="005B3730" w:rsidRDefault="005B3730" w:rsidP="00C14660">
      <w:pPr>
        <w:ind w:firstLine="420"/>
        <w:jc w:val="left"/>
        <w:rPr>
          <w:rFonts w:ascii="Times New Roman" w:eastAsia="宋体" w:hAnsi="Times New Roman" w:cs="Times New Roman"/>
          <w:szCs w:val="21"/>
        </w:rPr>
      </w:pPr>
    </w:p>
    <w:p w14:paraId="333A0206" w14:textId="77777777" w:rsidR="005B3730" w:rsidRDefault="005B3730" w:rsidP="00C14660">
      <w:pPr>
        <w:ind w:firstLine="420"/>
        <w:jc w:val="left"/>
        <w:rPr>
          <w:rFonts w:ascii="Times New Roman" w:eastAsia="宋体" w:hAnsi="Times New Roman" w:cs="Times New Roman"/>
          <w:szCs w:val="21"/>
        </w:rPr>
      </w:pPr>
    </w:p>
    <w:p w14:paraId="0432DC40" w14:textId="77777777" w:rsidR="005B3730" w:rsidRDefault="005B3730" w:rsidP="00C14660">
      <w:pPr>
        <w:ind w:firstLine="420"/>
        <w:jc w:val="left"/>
        <w:rPr>
          <w:rFonts w:ascii="Times New Roman" w:eastAsia="宋体" w:hAnsi="Times New Roman" w:cs="Times New Roman"/>
          <w:szCs w:val="21"/>
        </w:rPr>
      </w:pPr>
    </w:p>
    <w:p w14:paraId="3D70110E" w14:textId="77777777" w:rsidR="005B3730" w:rsidRDefault="005B3730" w:rsidP="00C14660">
      <w:pPr>
        <w:ind w:firstLine="420"/>
        <w:jc w:val="left"/>
        <w:rPr>
          <w:rFonts w:ascii="Times New Roman" w:eastAsia="宋体" w:hAnsi="Times New Roman" w:cs="Times New Roman"/>
          <w:szCs w:val="21"/>
        </w:rPr>
      </w:pPr>
    </w:p>
    <w:p w14:paraId="4D293A65" w14:textId="77777777" w:rsidR="005B3730" w:rsidRDefault="005B3730" w:rsidP="00C14660">
      <w:pPr>
        <w:ind w:firstLine="420"/>
        <w:jc w:val="left"/>
        <w:rPr>
          <w:rFonts w:ascii="Times New Roman" w:eastAsia="宋体" w:hAnsi="Times New Roman" w:cs="Times New Roman"/>
          <w:szCs w:val="21"/>
        </w:rPr>
      </w:pPr>
    </w:p>
    <w:p w14:paraId="666B8E82" w14:textId="77777777" w:rsidR="005B3730" w:rsidRDefault="005B3730" w:rsidP="00C14660">
      <w:pPr>
        <w:ind w:firstLine="420"/>
        <w:jc w:val="left"/>
        <w:rPr>
          <w:rFonts w:ascii="Times New Roman" w:eastAsia="宋体" w:hAnsi="Times New Roman" w:cs="Times New Roman"/>
          <w:szCs w:val="21"/>
        </w:rPr>
      </w:pPr>
    </w:p>
    <w:p w14:paraId="09949BBE" w14:textId="77777777" w:rsidR="005B3730" w:rsidRDefault="005B3730" w:rsidP="00C14660">
      <w:pPr>
        <w:ind w:firstLine="420"/>
        <w:jc w:val="left"/>
        <w:rPr>
          <w:rFonts w:ascii="Times New Roman" w:eastAsia="宋体" w:hAnsi="Times New Roman" w:cs="Times New Roman"/>
          <w:szCs w:val="21"/>
        </w:rPr>
      </w:pPr>
    </w:p>
    <w:p w14:paraId="79884ED6" w14:textId="77777777" w:rsidR="005B3730" w:rsidRDefault="005B3730" w:rsidP="00C14660">
      <w:pPr>
        <w:ind w:firstLine="420"/>
        <w:jc w:val="left"/>
        <w:rPr>
          <w:rFonts w:ascii="Times New Roman" w:eastAsia="宋体" w:hAnsi="Times New Roman" w:cs="Times New Roman"/>
          <w:szCs w:val="21"/>
        </w:rPr>
      </w:pPr>
    </w:p>
    <w:p w14:paraId="6B74F7DD" w14:textId="77777777" w:rsidR="005B3730" w:rsidRDefault="005B3730" w:rsidP="00C14660">
      <w:pPr>
        <w:ind w:firstLine="420"/>
        <w:jc w:val="left"/>
        <w:rPr>
          <w:rFonts w:ascii="Times New Roman" w:eastAsia="宋体" w:hAnsi="Times New Roman" w:cs="Times New Roman"/>
          <w:szCs w:val="21"/>
        </w:rPr>
      </w:pPr>
    </w:p>
    <w:p w14:paraId="38A42080" w14:textId="77777777" w:rsidR="005B3730" w:rsidRDefault="005B3730" w:rsidP="00320B5F">
      <w:pPr>
        <w:jc w:val="left"/>
        <w:rPr>
          <w:rFonts w:ascii="Times New Roman" w:eastAsia="宋体" w:hAnsi="Times New Roman" w:cs="Times New Roman"/>
          <w:szCs w:val="21"/>
        </w:rPr>
      </w:pPr>
    </w:p>
    <w:p w14:paraId="4F653811" w14:textId="5A829698" w:rsidR="00917017" w:rsidRPr="00917017" w:rsidRDefault="00917017"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lastRenderedPageBreak/>
        <w:t xml:space="preserve">Fig.5 | Transformation of global island energy system configurations under </w:t>
      </w:r>
      <w:r w:rsidR="00D36CED">
        <w:rPr>
          <w:rFonts w:ascii="Times New Roman" w:eastAsia="宋体" w:hAnsi="Times New Roman" w:cs="Times New Roman" w:hint="eastAsia"/>
          <w:b/>
          <w:bCs/>
          <w:szCs w:val="21"/>
          <w14:ligatures w14:val="none"/>
        </w:rPr>
        <w:t>current and future risk-based scenarios.</w:t>
      </w:r>
    </w:p>
    <w:p w14:paraId="6D76E703" w14:textId="278E001A" w:rsidR="002177F4" w:rsidRPr="00320B5F" w:rsidRDefault="002F6A3F" w:rsidP="00C14660">
      <w:pPr>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56F75A64" wp14:editId="50599EF9">
            <wp:extent cx="4705109" cy="8142986"/>
            <wp:effectExtent l="0" t="0" r="635" b="0"/>
            <wp:docPr id="55871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6509" cy="8145409"/>
                    </a:xfrm>
                    <a:prstGeom prst="rect">
                      <a:avLst/>
                    </a:prstGeom>
                    <a:noFill/>
                    <a:ln>
                      <a:noFill/>
                    </a:ln>
                  </pic:spPr>
                </pic:pic>
              </a:graphicData>
            </a:graphic>
          </wp:inline>
        </w:drawing>
      </w:r>
    </w:p>
    <w:p w14:paraId="047FC6BA" w14:textId="30843707" w:rsidR="00F04C32" w:rsidRPr="007A7C67" w:rsidRDefault="00F04C32" w:rsidP="00C14660">
      <w:pPr>
        <w:rPr>
          <w:rFonts w:ascii="Times New Roman" w:eastAsia="宋体" w:hAnsi="Times New Roman" w:cs="Times New Roman"/>
          <w:szCs w:val="21"/>
        </w:rPr>
      </w:pPr>
      <w:r w:rsidRPr="00C613BE">
        <w:rPr>
          <w:rFonts w:ascii="Times New Roman" w:eastAsia="宋体" w:hAnsi="Times New Roman" w:cs="Times New Roman"/>
          <w:b/>
          <w:bCs/>
          <w:szCs w:val="21"/>
        </w:rPr>
        <w:lastRenderedPageBreak/>
        <w:t xml:space="preserve">a, </w:t>
      </w:r>
      <w:r w:rsidRPr="007A7C67">
        <w:rPr>
          <w:rFonts w:ascii="Times New Roman" w:eastAsia="宋体" w:hAnsi="Times New Roman" w:cs="Times New Roman"/>
          <w:szCs w:val="21"/>
        </w:rPr>
        <w:t xml:space="preserve">Geographic distribution of energy generation capacities on global islands showing the proportional mix of Wind Turbines (WT, light blue), Photovoltaics (PV, yellow), Liquefied Natural Gas (LNG, gray), and Wave energy converters (WEC, blue) </w:t>
      </w:r>
      <w:r w:rsidR="007A7C67">
        <w:rPr>
          <w:rFonts w:ascii="Times New Roman" w:eastAsia="宋体" w:hAnsi="Times New Roman" w:cs="Times New Roman" w:hint="eastAsia"/>
          <w:szCs w:val="21"/>
        </w:rPr>
        <w:t xml:space="preserve">under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06003F" w:rsidRPr="00C613BE">
        <w:rPr>
          <w:rFonts w:ascii="Times New Roman" w:hAnsi="Times New Roman" w:cs="Times New Roman"/>
        </w:rPr>
        <w:t xml:space="preserve"> </w:t>
      </w:r>
      <w:r w:rsidR="0006003F" w:rsidRPr="00C613BE">
        <w:rPr>
          <w:rFonts w:ascii="Times New Roman" w:eastAsia="宋体" w:hAnsi="Times New Roman" w:cs="Times New Roman"/>
          <w:b/>
          <w:bCs/>
          <w:szCs w:val="21"/>
        </w:rPr>
        <w:t xml:space="preserve">b, </w:t>
      </w:r>
      <w:r w:rsidR="0006003F" w:rsidRPr="007A7C67">
        <w:rPr>
          <w:rFonts w:ascii="Times New Roman" w:eastAsia="宋体" w:hAnsi="Times New Roman" w:cs="Times New Roman"/>
          <w:szCs w:val="21"/>
        </w:rPr>
        <w:t xml:space="preserve">Evolution of energy storage capacity allocations across global islands between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06003F" w:rsidRPr="007A7C67">
        <w:rPr>
          <w:rFonts w:ascii="Times New Roman" w:eastAsia="宋体" w:hAnsi="Times New Roman" w:cs="Times New Roman"/>
          <w:szCs w:val="21"/>
        </w:rPr>
        <w:t>, categorized as Energy Storage (ES, blue), Heating Storage (HS, orange), Cooling Storage (CS, light blue), and Hydrogen Storage (HYS, green).</w:t>
      </w:r>
      <w:r w:rsidR="00A952E6" w:rsidRPr="00C613BE">
        <w:rPr>
          <w:rFonts w:ascii="Times New Roman" w:hAnsi="Times New Roman" w:cs="Times New Roman"/>
        </w:rPr>
        <w:t xml:space="preserve"> </w:t>
      </w:r>
      <w:r w:rsidR="00A952E6" w:rsidRPr="00C613BE">
        <w:rPr>
          <w:rFonts w:ascii="Times New Roman" w:eastAsia="宋体" w:hAnsi="Times New Roman" w:cs="Times New Roman"/>
          <w:b/>
          <w:bCs/>
          <w:szCs w:val="21"/>
        </w:rPr>
        <w:t xml:space="preserve">c, </w:t>
      </w:r>
      <w:r w:rsidR="00A952E6" w:rsidRPr="007A7C67">
        <w:rPr>
          <w:rFonts w:ascii="Times New Roman" w:eastAsia="宋体" w:hAnsi="Times New Roman" w:cs="Times New Roman"/>
          <w:szCs w:val="21"/>
        </w:rPr>
        <w:t xml:space="preserve">Distribution of energy conversion facilities on islands worldwide </w:t>
      </w:r>
      <w:r w:rsidR="007A7C67">
        <w:rPr>
          <w:rFonts w:ascii="Times New Roman" w:eastAsia="宋体" w:hAnsi="Times New Roman" w:cs="Times New Roman" w:hint="eastAsia"/>
          <w:szCs w:val="21"/>
        </w:rPr>
        <w:t xml:space="preserve">under </w:t>
      </w:r>
      <w:r w:rsidR="007A7C67" w:rsidRPr="007A7C67">
        <w:rPr>
          <w:rFonts w:ascii="Times New Roman" w:eastAsia="宋体" w:hAnsi="Times New Roman" w:cs="Times New Roman" w:hint="eastAsia"/>
          <w:szCs w:val="21"/>
        </w:rPr>
        <w:t>current</w:t>
      </w:r>
      <w:r w:rsidR="007A7C67">
        <w:rPr>
          <w:rFonts w:ascii="Times New Roman" w:eastAsia="宋体" w:hAnsi="Times New Roman" w:cs="Times New Roman" w:hint="eastAsia"/>
          <w:szCs w:val="21"/>
        </w:rPr>
        <w:t>(left)</w:t>
      </w:r>
      <w:r w:rsidR="007A7C67" w:rsidRPr="007A7C67">
        <w:rPr>
          <w:rFonts w:ascii="Times New Roman" w:eastAsia="宋体" w:hAnsi="Times New Roman" w:cs="Times New Roman" w:hint="eastAsia"/>
          <w:szCs w:val="21"/>
        </w:rPr>
        <w:t xml:space="preserve"> and future</w:t>
      </w:r>
      <w:r w:rsidR="007A7C67">
        <w:rPr>
          <w:rFonts w:ascii="Times New Roman" w:eastAsia="宋体" w:hAnsi="Times New Roman" w:cs="Times New Roman" w:hint="eastAsia"/>
          <w:szCs w:val="21"/>
        </w:rPr>
        <w:t>(right)</w:t>
      </w:r>
      <w:r w:rsidR="007A7C67" w:rsidRPr="007A7C67">
        <w:rPr>
          <w:rFonts w:ascii="Times New Roman" w:eastAsia="宋体" w:hAnsi="Times New Roman" w:cs="Times New Roman" w:hint="eastAsia"/>
          <w:szCs w:val="21"/>
        </w:rPr>
        <w:t xml:space="preserve"> risk-based scenarios</w:t>
      </w:r>
      <w:r w:rsidR="00A952E6" w:rsidRPr="007A7C67">
        <w:rPr>
          <w:rFonts w:ascii="Times New Roman" w:eastAsia="宋体" w:hAnsi="Times New Roman" w:cs="Times New Roman"/>
          <w:szCs w:val="21"/>
        </w:rPr>
        <w:t xml:space="preserve">, including Combined Heat and Power (CHP, red), Electric Boilers (EB, pink), Air Conditioning (AC, light blue), </w:t>
      </w:r>
      <w:r w:rsidR="00454959" w:rsidRPr="007A7C67">
        <w:rPr>
          <w:rFonts w:ascii="Times New Roman" w:eastAsia="宋体" w:hAnsi="Times New Roman" w:cs="Times New Roman"/>
          <w:szCs w:val="21"/>
        </w:rPr>
        <w:t>E</w:t>
      </w:r>
      <w:r w:rsidR="00A952E6" w:rsidRPr="007A7C67">
        <w:rPr>
          <w:rFonts w:ascii="Times New Roman" w:eastAsia="宋体" w:hAnsi="Times New Roman" w:cs="Times New Roman"/>
          <w:szCs w:val="21"/>
        </w:rPr>
        <w:t>lectrolyzer (ELEC, green), Fuel Cell (BAT, purple), and Gas Vaporizer (GAS, brown).</w:t>
      </w:r>
    </w:p>
    <w:p w14:paraId="7CB65224" w14:textId="77777777" w:rsidR="007F0365" w:rsidRDefault="00846E1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Extreme typhoon events exacerbate differential infrastructure vulnerability in high-risk areas of the Pacific Northwest, compelling affected islands to augment storage or LNG capacity. For China’s case island (121.195504, 27.987457), heightened disaster intensity under the 2050 scenario reduces renewable penetration versus 2020, necessitating significant capacity expansions in thermal, electrical, cooling, and hydrogen storage systems alongside increased LNG-related facilities (CHP, GAS), substantially elevating costs. Conversely, Japan’s case island (26.49370, 127.959792) shows no marked change in renewable share despite rising disaster intensity; only hydrogen storage capacity increases significantly, with other components remaining stable</w:t>
      </w:r>
      <w:r w:rsidR="007F0365">
        <w:rPr>
          <w:rFonts w:ascii="Times New Roman" w:eastAsia="宋体" w:hAnsi="Times New Roman" w:cs="Times New Roman" w:hint="eastAsia"/>
          <w:szCs w:val="21"/>
        </w:rPr>
        <w:t>.</w:t>
      </w:r>
    </w:p>
    <w:p w14:paraId="4AEA5FA9" w14:textId="200D8553" w:rsidR="002766DE" w:rsidRPr="002766DE" w:rsidRDefault="002766DE" w:rsidP="00C14660">
      <w:pPr>
        <w:ind w:firstLine="420"/>
        <w:rPr>
          <w:rFonts w:ascii="Times New Roman" w:eastAsia="宋体" w:hAnsi="Times New Roman" w:cs="Times New Roman"/>
          <w:szCs w:val="21"/>
        </w:rPr>
      </w:pPr>
      <w:r w:rsidRPr="002766DE">
        <w:rPr>
          <w:rFonts w:ascii="Times New Roman" w:eastAsia="宋体" w:hAnsi="Times New Roman" w:cs="Times New Roman"/>
          <w:szCs w:val="21"/>
        </w:rPr>
        <w:t>Regression analysis quantitatively reveals the mechanisms driving divergent energy investment pathways among island nations under climate stress. First, heightened typhoon intensity directly and significantly increases dependence on conventional Liquefied Natural Gas (LNG) as a primary security measure (LNG_Usage: β = 0.565, p &lt; 0.001). Crucially, our multivariate model predicting investment in climate-resilient energy storage (Energy_Storage_Capacity) uncovers a pronounced negative interaction effect between typhoon intensity and pre-existing LNG dependency (Typhoon_Intensity:LNG_Usage β = -0.0977, p &lt; 0.001). This interaction signifies a profound structural inequity: </w:t>
      </w:r>
      <w:r w:rsidRPr="002766DE">
        <w:rPr>
          <w:rFonts w:ascii="Times New Roman" w:eastAsia="宋体" w:hAnsi="Times New Roman" w:cs="Times New Roman"/>
          <w:b/>
          <w:bCs/>
          <w:szCs w:val="21"/>
        </w:rPr>
        <w:t>islands with initially lower LNG usage are disproportionately forced to undertake significantly higher marginal investments in both LNG reserves and, critically, energy storage capacity when facing increased disaster risk. </w:t>
      </w:r>
      <w:r w:rsidRPr="002766DE">
        <w:rPr>
          <w:rFonts w:ascii="Times New Roman" w:eastAsia="宋体" w:hAnsi="Times New Roman" w:cs="Times New Roman"/>
          <w:szCs w:val="21"/>
        </w:rPr>
        <w:t xml:space="preserve">As visually confirmed in Fig. 1b, the slope representing the required increase in storage investment per unit rise in typhoon intensity is markedly steeper for these smaller, less fossil-fuel-dependent systems (blue line) compared to larger, incumbent systems (green line). This steep slope translates to punishingly high adaptation costs per unit of additional climate risk. The three-dimensional response surface (Fig. </w:t>
      </w:r>
      <w:r w:rsidR="00AA4132">
        <w:rPr>
          <w:rFonts w:ascii="Times New Roman" w:eastAsia="宋体" w:hAnsi="Times New Roman" w:cs="Times New Roman" w:hint="eastAsia"/>
          <w:szCs w:val="21"/>
        </w:rPr>
        <w:t>6</w:t>
      </w:r>
      <w:r w:rsidRPr="002766DE">
        <w:rPr>
          <w:rFonts w:ascii="Times New Roman" w:eastAsia="宋体" w:hAnsi="Times New Roman" w:cs="Times New Roman"/>
          <w:szCs w:val="21"/>
        </w:rPr>
        <w:t>c) further illustrates that the investment burden for achieving resilience is heavily conditioned by an island's developmental path, imposing the steepest financial climb on those nations historically least responsible for emissions and with the most limited existing infrastructure.</w:t>
      </w:r>
    </w:p>
    <w:p w14:paraId="3AE56536" w14:textId="641F158F" w:rsidR="0018454B" w:rsidRPr="00C613BE" w:rsidRDefault="00846E12"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Spatial heterogeneity in island energy investments thus stems from interconnected climatic, resource, geographic, and socioeconomic drivers, forming systemic inequities reflective of structural energy transition challenges. Climate change—through altered frequency and intensity of extreme events—further escalates investment demands in vulnerable regions, deepening global spatial disparities in energy system financing.</w:t>
      </w:r>
      <w:r w:rsidR="008F5FE7">
        <w:rPr>
          <w:rFonts w:ascii="Times New Roman" w:eastAsia="宋体" w:hAnsi="Times New Roman" w:cs="Times New Roman" w:hint="eastAsia"/>
          <w:szCs w:val="21"/>
        </w:rPr>
        <w:t xml:space="preserve"> </w:t>
      </w:r>
    </w:p>
    <w:p w14:paraId="0E8A654B" w14:textId="77777777" w:rsidR="009035F0" w:rsidRDefault="009035F0" w:rsidP="00C14660">
      <w:pPr>
        <w:rPr>
          <w:rFonts w:ascii="Times New Roman" w:eastAsia="宋体" w:hAnsi="Times New Roman" w:cs="Times New Roman"/>
          <w:szCs w:val="21"/>
        </w:rPr>
      </w:pPr>
    </w:p>
    <w:p w14:paraId="2F7A19D9" w14:textId="77777777" w:rsidR="0008508D" w:rsidRDefault="0008508D" w:rsidP="00C14660">
      <w:pPr>
        <w:rPr>
          <w:rFonts w:ascii="Times New Roman" w:eastAsia="宋体" w:hAnsi="Times New Roman" w:cs="Times New Roman"/>
          <w:szCs w:val="21"/>
        </w:rPr>
      </w:pPr>
    </w:p>
    <w:p w14:paraId="4619BF7D" w14:textId="77777777" w:rsidR="0008508D" w:rsidRDefault="0008508D" w:rsidP="00C14660">
      <w:pPr>
        <w:rPr>
          <w:rFonts w:ascii="Times New Roman" w:eastAsia="宋体" w:hAnsi="Times New Roman" w:cs="Times New Roman"/>
          <w:szCs w:val="21"/>
        </w:rPr>
      </w:pPr>
    </w:p>
    <w:p w14:paraId="23CA6DDB" w14:textId="77777777" w:rsidR="00B8070E" w:rsidRDefault="00B8070E" w:rsidP="00C14660">
      <w:pPr>
        <w:rPr>
          <w:rFonts w:ascii="Times New Roman" w:eastAsia="宋体" w:hAnsi="Times New Roman" w:cs="Times New Roman"/>
          <w:szCs w:val="21"/>
        </w:rPr>
      </w:pPr>
    </w:p>
    <w:p w14:paraId="7D4D31D3" w14:textId="157D627E" w:rsidR="00065418" w:rsidRPr="00065418" w:rsidRDefault="0008508D" w:rsidP="00065418">
      <w:pPr>
        <w:jc w:val="left"/>
        <w:rPr>
          <w:rFonts w:ascii="Times New Roman" w:eastAsia="宋体" w:hAnsi="Times New Roman" w:cs="Times New Roman"/>
          <w:szCs w:val="21"/>
        </w:rPr>
      </w:pPr>
      <w:r w:rsidRPr="00C613BE">
        <w:rPr>
          <w:rFonts w:ascii="Times New Roman" w:eastAsia="宋体" w:hAnsi="Times New Roman" w:cs="Times New Roman"/>
          <w:b/>
          <w:bCs/>
          <w:szCs w:val="21"/>
          <w14:ligatures w14:val="none"/>
        </w:rPr>
        <w:lastRenderedPageBreak/>
        <w:t>Fig.</w:t>
      </w:r>
      <w:r>
        <w:rPr>
          <w:rFonts w:ascii="Times New Roman" w:eastAsia="宋体" w:hAnsi="Times New Roman" w:cs="Times New Roman" w:hint="eastAsia"/>
          <w:b/>
          <w:bCs/>
          <w:szCs w:val="21"/>
          <w14:ligatures w14:val="none"/>
        </w:rPr>
        <w:t>6</w:t>
      </w:r>
      <w:r w:rsidRPr="00C613BE">
        <w:rPr>
          <w:rFonts w:ascii="Times New Roman" w:eastAsia="宋体" w:hAnsi="Times New Roman" w:cs="Times New Roman"/>
          <w:b/>
          <w:bCs/>
          <w:szCs w:val="21"/>
          <w14:ligatures w14:val="none"/>
        </w:rPr>
        <w:t xml:space="preserve"> | </w:t>
      </w:r>
      <w:r w:rsidRPr="0008508D">
        <w:rPr>
          <w:rFonts w:ascii="Times New Roman" w:eastAsia="宋体" w:hAnsi="Times New Roman" w:cs="Times New Roman" w:hint="eastAsia"/>
          <w:b/>
          <w:bCs/>
          <w:szCs w:val="21"/>
          <w14:ligatures w14:val="none"/>
        </w:rPr>
        <w:t xml:space="preserve">Multivariate </w:t>
      </w:r>
      <w:r>
        <w:rPr>
          <w:rFonts w:ascii="Times New Roman" w:eastAsia="宋体" w:hAnsi="Times New Roman" w:cs="Times New Roman" w:hint="eastAsia"/>
          <w:b/>
          <w:bCs/>
          <w:szCs w:val="21"/>
          <w14:ligatures w14:val="none"/>
        </w:rPr>
        <w:t>multiple</w:t>
      </w:r>
      <w:r w:rsidRPr="0008508D">
        <w:rPr>
          <w:rFonts w:ascii="Times New Roman" w:eastAsia="宋体" w:hAnsi="Times New Roman" w:cs="Times New Roman" w:hint="eastAsia"/>
          <w:b/>
          <w:bCs/>
          <w:szCs w:val="21"/>
          <w14:ligatures w14:val="none"/>
        </w:rPr>
        <w:t xml:space="preserve"> regression analysis on the impact of disaster intensity on LNG and energy storage capacity</w:t>
      </w:r>
    </w:p>
    <w:p w14:paraId="5D0DF0C5" w14:textId="4B0695BF" w:rsidR="00065418" w:rsidRPr="00C613BE" w:rsidRDefault="00F2421F" w:rsidP="00F2421F">
      <w:pPr>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071066C1" wp14:editId="56ABA8E9">
            <wp:extent cx="5266690" cy="7361555"/>
            <wp:effectExtent l="0" t="0" r="0" b="0"/>
            <wp:docPr id="829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7361555"/>
                    </a:xfrm>
                    <a:prstGeom prst="rect">
                      <a:avLst/>
                    </a:prstGeom>
                    <a:noFill/>
                    <a:ln>
                      <a:noFill/>
                    </a:ln>
                  </pic:spPr>
                </pic:pic>
              </a:graphicData>
            </a:graphic>
          </wp:inline>
        </w:drawing>
      </w:r>
    </w:p>
    <w:p w14:paraId="68C720B7" w14:textId="77777777" w:rsidR="0044618E" w:rsidRDefault="0044618E"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Spatial Inequity in Energy Investment Burden Coefficients Across Scenarios</w:t>
      </w:r>
    </w:p>
    <w:p w14:paraId="181BCDDF" w14:textId="58FB6CC0" w:rsidR="00630A9C" w:rsidRPr="00630A9C" w:rsidRDefault="00630A9C" w:rsidP="00C14660">
      <w:pPr>
        <w:jc w:val="left"/>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7</w:t>
      </w:r>
      <w:r w:rsidRPr="00C613BE">
        <w:rPr>
          <w:rFonts w:ascii="Times New Roman" w:eastAsia="宋体" w:hAnsi="Times New Roman" w:cs="Times New Roman"/>
          <w:b/>
          <w:bCs/>
          <w:szCs w:val="21"/>
          <w14:ligatures w14:val="none"/>
        </w:rPr>
        <w:t xml:space="preserve"> | Spatiotemporal evolution of energy investment burdens under climate change scenarios.</w:t>
      </w:r>
    </w:p>
    <w:p w14:paraId="042C604F" w14:textId="3520E3A2" w:rsidR="00D31117" w:rsidRPr="00C613BE" w:rsidRDefault="004E1FBD" w:rsidP="004E1FBD">
      <w:pPr>
        <w:jc w:val="center"/>
        <w:rPr>
          <w:rFonts w:ascii="Times New Roman" w:eastAsia="宋体" w:hAnsi="Times New Roman" w:cs="Times New Roman"/>
          <w:b/>
          <w:szCs w:val="21"/>
          <w14:ligatures w14:val="none"/>
        </w:rPr>
      </w:pPr>
      <w:r>
        <w:rPr>
          <w:rFonts w:ascii="Times New Roman" w:eastAsia="宋体" w:hAnsi="Times New Roman" w:cs="Times New Roman" w:hint="eastAsia"/>
          <w:b/>
          <w:noProof/>
          <w:szCs w:val="21"/>
          <w14:ligatures w14:val="none"/>
        </w:rPr>
        <w:lastRenderedPageBreak/>
        <w:drawing>
          <wp:inline distT="0" distB="0" distL="0" distR="0" wp14:anchorId="3A173B07" wp14:editId="49C989FA">
            <wp:extent cx="5272405" cy="3559175"/>
            <wp:effectExtent l="0" t="0" r="4445" b="3175"/>
            <wp:docPr id="6665027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3559175"/>
                    </a:xfrm>
                    <a:prstGeom prst="rect">
                      <a:avLst/>
                    </a:prstGeom>
                    <a:noFill/>
                    <a:ln>
                      <a:noFill/>
                    </a:ln>
                  </pic:spPr>
                </pic:pic>
              </a:graphicData>
            </a:graphic>
          </wp:inline>
        </w:drawing>
      </w:r>
    </w:p>
    <w:p w14:paraId="4E578AB3" w14:textId="6C12B15E" w:rsidR="0018454B" w:rsidRPr="00063FB7" w:rsidRDefault="0018454B" w:rsidP="00C14660">
      <w:pPr>
        <w:jc w:val="left"/>
        <w:rPr>
          <w:rFonts w:ascii="Times New Roman" w:eastAsia="宋体" w:hAnsi="Times New Roman" w:cs="Times New Roman"/>
          <w:szCs w:val="21"/>
          <w14:ligatures w14:val="none"/>
        </w:rPr>
      </w:pPr>
      <w:r w:rsidRPr="00C613BE">
        <w:rPr>
          <w:rFonts w:ascii="Times New Roman" w:eastAsia="宋体" w:hAnsi="Times New Roman" w:cs="Times New Roman"/>
          <w:b/>
          <w:bCs/>
          <w:szCs w:val="21"/>
          <w14:ligatures w14:val="none"/>
        </w:rPr>
        <w:t xml:space="preserve">a, </w:t>
      </w:r>
      <w:r w:rsidRPr="00063FB7">
        <w:rPr>
          <w:rFonts w:ascii="Times New Roman" w:eastAsia="宋体" w:hAnsi="Times New Roman" w:cs="Times New Roman"/>
          <w:szCs w:val="21"/>
          <w14:ligatures w14:val="none"/>
        </w:rPr>
        <w:t>Global distribution of Energy Investment Burden Coefficient (EIBC)</w:t>
      </w:r>
      <w:r w:rsidR="00774CE0">
        <w:rPr>
          <w:rFonts w:ascii="Times New Roman" w:eastAsia="宋体" w:hAnsi="Times New Roman" w:cs="Times New Roman" w:hint="eastAsia"/>
          <w:szCs w:val="21"/>
          <w14:ligatures w14:val="none"/>
        </w:rPr>
        <w:t xml:space="preserve"> under</w:t>
      </w:r>
      <w:r w:rsidRPr="00063FB7">
        <w:rPr>
          <w:rFonts w:ascii="Times New Roman" w:eastAsia="宋体" w:hAnsi="Times New Roman" w:cs="Times New Roman"/>
          <w:szCs w:val="21"/>
          <w14:ligatures w14:val="none"/>
        </w:rPr>
        <w:t xml:space="preserve"> </w:t>
      </w:r>
      <w:r w:rsidR="00774CE0" w:rsidRPr="007A7C67">
        <w:rPr>
          <w:rFonts w:ascii="Times New Roman" w:eastAsia="宋体" w:hAnsi="Times New Roman" w:cs="Times New Roman" w:hint="eastAsia"/>
          <w:szCs w:val="21"/>
        </w:rPr>
        <w:t>current</w:t>
      </w:r>
      <w:r w:rsidR="00774CE0">
        <w:rPr>
          <w:rFonts w:ascii="Times New Roman" w:eastAsia="宋体" w:hAnsi="Times New Roman" w:cs="Times New Roman" w:hint="eastAsia"/>
          <w:szCs w:val="21"/>
        </w:rPr>
        <w:t>(left)</w:t>
      </w:r>
      <w:r w:rsidR="00774CE0" w:rsidRPr="007A7C67">
        <w:rPr>
          <w:rFonts w:ascii="Times New Roman" w:eastAsia="宋体" w:hAnsi="Times New Roman" w:cs="Times New Roman" w:hint="eastAsia"/>
          <w:szCs w:val="21"/>
        </w:rPr>
        <w:t xml:space="preserve"> and future</w:t>
      </w:r>
      <w:r w:rsidR="00774CE0">
        <w:rPr>
          <w:rFonts w:ascii="Times New Roman" w:eastAsia="宋体" w:hAnsi="Times New Roman" w:cs="Times New Roman" w:hint="eastAsia"/>
          <w:szCs w:val="21"/>
        </w:rPr>
        <w:t>(right)</w:t>
      </w:r>
      <w:r w:rsidR="00774CE0" w:rsidRPr="007A7C67">
        <w:rPr>
          <w:rFonts w:ascii="Times New Roman" w:eastAsia="宋体" w:hAnsi="Times New Roman" w:cs="Times New Roman" w:hint="eastAsia"/>
          <w:szCs w:val="21"/>
        </w:rPr>
        <w:t xml:space="preserve"> risk-based scenarios.</w:t>
      </w:r>
      <w:r w:rsidRPr="00063FB7">
        <w:rPr>
          <w:rFonts w:ascii="Times New Roman" w:eastAsia="宋体" w:hAnsi="Times New Roman" w:cs="Times New Roman"/>
          <w:szCs w:val="21"/>
          <w14:ligatures w14:val="none"/>
        </w:rPr>
        <w:t xml:space="preserve">  Red dots indicate higher EIBC values, representing greater investment burdens relative to local GDP, while</w:t>
      </w:r>
      <w:r w:rsidR="00CF4E08">
        <w:rPr>
          <w:rFonts w:ascii="Times New Roman" w:eastAsia="宋体" w:hAnsi="Times New Roman" w:cs="Times New Roman" w:hint="eastAsia"/>
          <w:szCs w:val="21"/>
          <w14:ligatures w14:val="none"/>
        </w:rPr>
        <w:t xml:space="preserve"> blue</w:t>
      </w:r>
      <w:r w:rsidRPr="00063FB7">
        <w:rPr>
          <w:rFonts w:ascii="Times New Roman" w:eastAsia="宋体" w:hAnsi="Times New Roman" w:cs="Times New Roman"/>
          <w:szCs w:val="21"/>
          <w14:ligatures w14:val="none"/>
        </w:rPr>
        <w:t xml:space="preserve"> dots represent moderate investment-to-GDP ratios. </w:t>
      </w:r>
    </w:p>
    <w:p w14:paraId="05B8663A" w14:textId="21C12F55"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The Energy Investment Burden Coefficient (EIBC), defined as the ratio of energy system investment costs to per capita GDP, exhibits a spatial pattern distinct from absolute investment costs. Regions with high EIBC concentrate in low-income island nations of Southeast and South Asia, alongside geographically isolated central Pacific islands. Despite lower absolute investments than developed islands, these areas face disproportionate fiscal pressure due to constrained economic capacity, with EIBC consistently exceeding 20% (Fig. 6, left). Within the Northwest Pacific’s "typhoon corridor," EIBC variations reflect stark economic disparities: Japan’s southern islands exhibit a 1.6% burden, southeastern Chinese islands 6.5%, and economically vulnerable northern Philippine islands 22%. Globally, Small Island Developing States (SIDS) demonstrate higher relative burdens despite modest absolute investments, revealing a structural mismatch between investment needs and economic resilience that constitutes foundational energy transition inequality.</w:t>
      </w:r>
    </w:p>
    <w:p w14:paraId="5B8D02BE" w14:textId="0B419497"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Comparative analysis of 2020 and 2050 scenarios indicates climate change intensifies EIBC spatial heterogeneity (Fig. 6, right). The EIBC ratio between high-burden and low-burden islands expands from 4-fold (2020) to 5-fold (2050), primarily driven by additional climate adaptation investments in vulnerable regions. Climate change particularly exacerbates intra-regional inequity in the West Pacific, where northern Philippines and Fiji experience EIBC surges from approximately 18% to 22–25% (a 4–7 percentage-point increase). In contrast, southern Japanese islands show only a marginal rise from 1.6% to 1.8% (+0.2 points), while southeastern Chinese islands increase from 6.5% to 8.1% (+1.6 points).</w:t>
      </w:r>
    </w:p>
    <w:p w14:paraId="0EBDAB3C" w14:textId="4BAF2211" w:rsidR="00670686"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This diverging trajectory demonstrates that climate change disproportionately escalates fiscal pressure on economically vulnerable islands, irrespective of absolute cost variations. The amplification of burden disparities underscores intricate climate-inequality interactions, presenting </w:t>
      </w:r>
      <w:r w:rsidRPr="00C613BE">
        <w:rPr>
          <w:rFonts w:ascii="Times New Roman" w:eastAsia="宋体" w:hAnsi="Times New Roman" w:cs="Times New Roman"/>
          <w:szCs w:val="21"/>
        </w:rPr>
        <w:lastRenderedPageBreak/>
        <w:t>critical equity challenges for global energy transition governance and international climate cooperation frameworks.</w:t>
      </w:r>
    </w:p>
    <w:p w14:paraId="1BAC2B74" w14:textId="77777777" w:rsidR="00687B80" w:rsidRPr="00C613BE" w:rsidRDefault="00687B80" w:rsidP="00C14660">
      <w:pPr>
        <w:rPr>
          <w:rFonts w:ascii="Times New Roman" w:eastAsia="宋体" w:hAnsi="Times New Roman" w:cs="Times New Roman"/>
          <w:szCs w:val="21"/>
        </w:rPr>
      </w:pPr>
    </w:p>
    <w:p w14:paraId="5982E342" w14:textId="77777777" w:rsidR="00F352F3" w:rsidRDefault="00F352F3" w:rsidP="00C14660">
      <w:pPr>
        <w:jc w:val="left"/>
        <w:rPr>
          <w:rFonts w:ascii="Times New Roman" w:eastAsia="宋体" w:hAnsi="Times New Roman" w:cs="Times New Roman"/>
          <w:b/>
          <w:szCs w:val="21"/>
          <w14:ligatures w14:val="none"/>
        </w:rPr>
      </w:pPr>
      <w:r w:rsidRPr="00F352F3">
        <w:rPr>
          <w:rFonts w:ascii="Times New Roman" w:eastAsia="宋体" w:hAnsi="Times New Roman" w:cs="Times New Roman" w:hint="eastAsia"/>
          <w:b/>
          <w:szCs w:val="21"/>
          <w14:ligatures w14:val="none"/>
        </w:rPr>
        <w:t>Limited Equity Gains from Technological Progress in Energy Systems</w:t>
      </w:r>
    </w:p>
    <w:p w14:paraId="743A422F" w14:textId="3B5E2F38" w:rsidR="00AE5C14" w:rsidRPr="00AE5C14" w:rsidRDefault="00AE5C14"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8</w:t>
      </w:r>
      <w:r w:rsidRPr="00C613BE">
        <w:rPr>
          <w:rFonts w:ascii="Times New Roman" w:eastAsia="宋体" w:hAnsi="Times New Roman" w:cs="Times New Roman"/>
          <w:b/>
          <w:bCs/>
          <w:szCs w:val="21"/>
          <w14:ligatures w14:val="none"/>
        </w:rPr>
        <w:t xml:space="preserve"> | Equity implications of projected cost reductions </w:t>
      </w:r>
      <w:r w:rsidR="006B4EE7" w:rsidRPr="006B4EE7">
        <w:rPr>
          <w:rFonts w:ascii="Times New Roman" w:eastAsia="宋体" w:hAnsi="Times New Roman" w:cs="Times New Roman" w:hint="eastAsia"/>
          <w:b/>
          <w:bCs/>
          <w:szCs w:val="21"/>
          <w14:ligatures w14:val="none"/>
        </w:rPr>
        <w:t xml:space="preserve">from </w:t>
      </w:r>
      <w:r w:rsidR="006B4EE7">
        <w:rPr>
          <w:rFonts w:ascii="Times New Roman" w:eastAsia="宋体" w:hAnsi="Times New Roman" w:cs="Times New Roman" w:hint="eastAsia"/>
          <w:b/>
          <w:bCs/>
          <w:szCs w:val="21"/>
          <w14:ligatures w14:val="none"/>
        </w:rPr>
        <w:t>t</w:t>
      </w:r>
      <w:r w:rsidR="006B4EE7" w:rsidRPr="006B4EE7">
        <w:rPr>
          <w:rFonts w:ascii="Times New Roman" w:eastAsia="宋体" w:hAnsi="Times New Roman" w:cs="Times New Roman" w:hint="eastAsia"/>
          <w:b/>
          <w:bCs/>
          <w:szCs w:val="21"/>
          <w14:ligatures w14:val="none"/>
        </w:rPr>
        <w:t xml:space="preserve">echnological </w:t>
      </w:r>
      <w:r w:rsidR="006B4EE7">
        <w:rPr>
          <w:rFonts w:ascii="Times New Roman" w:eastAsia="宋体" w:hAnsi="Times New Roman" w:cs="Times New Roman" w:hint="eastAsia"/>
          <w:b/>
          <w:bCs/>
          <w:szCs w:val="21"/>
          <w14:ligatures w14:val="none"/>
        </w:rPr>
        <w:t>p</w:t>
      </w:r>
      <w:r w:rsidR="006B4EE7" w:rsidRPr="006B4EE7">
        <w:rPr>
          <w:rFonts w:ascii="Times New Roman" w:eastAsia="宋体" w:hAnsi="Times New Roman" w:cs="Times New Roman" w:hint="eastAsia"/>
          <w:b/>
          <w:bCs/>
          <w:szCs w:val="21"/>
          <w14:ligatures w14:val="none"/>
        </w:rPr>
        <w:t>rogress</w:t>
      </w:r>
      <w:r w:rsidRPr="00C613BE">
        <w:rPr>
          <w:rFonts w:ascii="Times New Roman" w:eastAsia="宋体" w:hAnsi="Times New Roman" w:cs="Times New Roman"/>
          <w:b/>
          <w:bCs/>
          <w:szCs w:val="21"/>
          <w14:ligatures w14:val="none"/>
        </w:rPr>
        <w:t xml:space="preserve"> for global islands.</w:t>
      </w:r>
    </w:p>
    <w:p w14:paraId="5D79E57E" w14:textId="3599F803" w:rsidR="00741055" w:rsidRPr="00C613BE" w:rsidRDefault="0038660D" w:rsidP="00C14660">
      <w:pPr>
        <w:jc w:val="center"/>
        <w:rPr>
          <w:rFonts w:ascii="Times New Roman" w:eastAsia="宋体" w:hAnsi="Times New Roman" w:cs="Times New Roman"/>
          <w:b/>
          <w:szCs w:val="21"/>
          <w14:ligatures w14:val="none"/>
        </w:rPr>
      </w:pPr>
      <w:r>
        <w:rPr>
          <w:rFonts w:ascii="Times New Roman" w:eastAsia="宋体" w:hAnsi="Times New Roman" w:cs="Times New Roman"/>
          <w:noProof/>
          <w:szCs w:val="21"/>
        </w:rPr>
        <w:drawing>
          <wp:inline distT="0" distB="0" distL="0" distR="0" wp14:anchorId="1325AC0B" wp14:editId="6ECC6CDE">
            <wp:extent cx="5266690" cy="4207510"/>
            <wp:effectExtent l="0" t="0" r="0" b="2540"/>
            <wp:docPr id="227943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07510"/>
                    </a:xfrm>
                    <a:prstGeom prst="rect">
                      <a:avLst/>
                    </a:prstGeom>
                    <a:noFill/>
                    <a:ln>
                      <a:noFill/>
                    </a:ln>
                  </pic:spPr>
                </pic:pic>
              </a:graphicData>
            </a:graphic>
          </wp:inline>
        </w:drawing>
      </w:r>
      <w:r w:rsidR="00D97A75">
        <w:rPr>
          <w:rFonts w:ascii="Times New Roman" w:eastAsia="宋体" w:hAnsi="Times New Roman" w:cs="Times New Roman" w:hint="eastAsia"/>
          <w:b/>
          <w:szCs w:val="21"/>
          <w14:ligatures w14:val="none"/>
        </w:rPr>
        <w:t xml:space="preserve"> </w:t>
      </w:r>
    </w:p>
    <w:p w14:paraId="6BA1A099" w14:textId="72B789C9" w:rsidR="00A40AE0" w:rsidRPr="00C613BE" w:rsidRDefault="00A40AE0"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 xml:space="preserve">a, </w:t>
      </w:r>
      <w:r w:rsidRPr="005B1467">
        <w:rPr>
          <w:rFonts w:ascii="Times New Roman" w:eastAsia="宋体" w:hAnsi="Times New Roman" w:cs="Times New Roman"/>
          <w:szCs w:val="21"/>
          <w14:ligatures w14:val="none"/>
        </w:rPr>
        <w:t>Temporal trends of the Energy Investment Burden Coefficient (EIBC) from 2020 to 2050 for selected regions, showing declining investment burdens across all regions with geographic coordinates indicated.</w:t>
      </w:r>
      <w:r w:rsidRPr="00C613BE">
        <w:rPr>
          <w:rFonts w:ascii="Times New Roman" w:hAnsi="Times New Roman" w:cs="Times New Roman"/>
        </w:rPr>
        <w:t xml:space="preserve"> </w:t>
      </w:r>
      <w:r w:rsidRPr="00C613BE">
        <w:rPr>
          <w:rFonts w:ascii="Times New Roman" w:eastAsia="宋体" w:hAnsi="Times New Roman" w:cs="Times New Roman"/>
          <w:b/>
          <w:bCs/>
          <w:szCs w:val="21"/>
          <w14:ligatures w14:val="none"/>
        </w:rPr>
        <w:t>b,</w:t>
      </w:r>
      <w:r w:rsidRPr="005B1467">
        <w:rPr>
          <w:rFonts w:ascii="Times New Roman" w:eastAsia="宋体" w:hAnsi="Times New Roman" w:cs="Times New Roman"/>
          <w:szCs w:val="21"/>
          <w14:ligatures w14:val="none"/>
        </w:rPr>
        <w:t xml:space="preserve"> Stacked bar charts illustrating the composition of total investment costs across different regions, categorized into Renewable Cost (blue), Storage Cost (green), LNG Cost (gray), Other Equipment Cost (purple), Discard Cost (orange), and Load Shedding Cost (red), with total cost indicated by the black line.</w:t>
      </w:r>
      <w:r w:rsidRPr="00C613BE">
        <w:rPr>
          <w:rFonts w:ascii="Times New Roman" w:hAnsi="Times New Roman" w:cs="Times New Roman"/>
        </w:rPr>
        <w:t xml:space="preserve"> </w:t>
      </w:r>
      <w:r w:rsidRPr="00C613BE">
        <w:rPr>
          <w:rFonts w:ascii="Times New Roman" w:eastAsia="宋体" w:hAnsi="Times New Roman" w:cs="Times New Roman"/>
          <w:b/>
          <w:bCs/>
          <w:szCs w:val="21"/>
          <w14:ligatures w14:val="none"/>
        </w:rPr>
        <w:t xml:space="preserve">c, </w:t>
      </w:r>
      <w:r w:rsidRPr="005B1467">
        <w:rPr>
          <w:rFonts w:ascii="Times New Roman" w:eastAsia="宋体" w:hAnsi="Times New Roman" w:cs="Times New Roman"/>
          <w:szCs w:val="21"/>
          <w14:ligatures w14:val="none"/>
        </w:rPr>
        <w:t>Geographic distribution of energy system component capacities on global islands represented by pie charts</w:t>
      </w:r>
      <w:r w:rsidR="005B1467">
        <w:rPr>
          <w:rFonts w:ascii="Times New Roman" w:eastAsia="宋体" w:hAnsi="Times New Roman" w:cs="Times New Roman" w:hint="eastAsia"/>
          <w:szCs w:val="21"/>
          <w14:ligatures w14:val="none"/>
        </w:rPr>
        <w:t xml:space="preserve">, </w:t>
      </w:r>
      <w:r w:rsidR="005B1467" w:rsidRPr="005B1467">
        <w:rPr>
          <w:rFonts w:ascii="Times New Roman" w:eastAsia="宋体" w:hAnsi="Times New Roman" w:cs="Times New Roman" w:hint="eastAsia"/>
          <w:szCs w:val="21"/>
          <w14:ligatures w14:val="none"/>
        </w:rPr>
        <w:t xml:space="preserve">designed for </w:t>
      </w:r>
      <w:r w:rsidR="005B1467">
        <w:rPr>
          <w:rFonts w:ascii="Times New Roman" w:eastAsia="宋体" w:hAnsi="Times New Roman" w:cs="Times New Roman" w:hint="eastAsia"/>
          <w:szCs w:val="21"/>
          <w14:ligatures w14:val="none"/>
        </w:rPr>
        <w:t>future risk-based scenario</w:t>
      </w:r>
      <w:r w:rsidR="005B1467" w:rsidRPr="005B1467">
        <w:rPr>
          <w:rFonts w:ascii="Times New Roman" w:eastAsia="宋体" w:hAnsi="Times New Roman" w:cs="Times New Roman" w:hint="eastAsia"/>
          <w:szCs w:val="21"/>
          <w14:ligatures w14:val="none"/>
        </w:rPr>
        <w:t xml:space="preserve"> with 2020 </w:t>
      </w:r>
      <w:r w:rsidR="005B1467">
        <w:rPr>
          <w:rFonts w:ascii="Times New Roman" w:eastAsia="宋体" w:hAnsi="Times New Roman" w:cs="Times New Roman" w:hint="eastAsia"/>
          <w:szCs w:val="21"/>
          <w14:ligatures w14:val="none"/>
        </w:rPr>
        <w:t xml:space="preserve">(left) and 2050(right) </w:t>
      </w:r>
      <w:r w:rsidR="005B1467" w:rsidRPr="005B1467">
        <w:rPr>
          <w:rFonts w:ascii="Times New Roman" w:eastAsia="宋体" w:hAnsi="Times New Roman" w:cs="Times New Roman" w:hint="eastAsia"/>
          <w:szCs w:val="21"/>
          <w14:ligatures w14:val="none"/>
        </w:rPr>
        <w:t>technology costs</w:t>
      </w:r>
      <w:r w:rsidRPr="005B1467">
        <w:rPr>
          <w:rFonts w:ascii="Times New Roman" w:eastAsia="宋体" w:hAnsi="Times New Roman" w:cs="Times New Roman"/>
          <w:szCs w:val="21"/>
          <w14:ligatures w14:val="none"/>
        </w:rPr>
        <w:t>. The charts depict the relative capacities of different technologies</w:t>
      </w:r>
      <w:r w:rsidR="00926569" w:rsidRPr="005B1467">
        <w:rPr>
          <w:rFonts w:ascii="Times New Roman" w:eastAsia="宋体" w:hAnsi="Times New Roman" w:cs="Times New Roman"/>
          <w:szCs w:val="21"/>
          <w14:ligatures w14:val="none"/>
        </w:rPr>
        <w:t>.</w:t>
      </w:r>
    </w:p>
    <w:p w14:paraId="0F22FA56" w14:textId="0DDCF118" w:rsidR="0044618E" w:rsidRPr="00C613BE" w:rsidRDefault="00F53FC1" w:rsidP="00C14660">
      <w:pPr>
        <w:ind w:firstLineChars="200" w:firstLine="420"/>
        <w:rPr>
          <w:rFonts w:ascii="Times New Roman" w:eastAsia="宋体" w:hAnsi="Times New Roman" w:cs="Times New Roman"/>
          <w:szCs w:val="21"/>
        </w:rPr>
      </w:pPr>
      <w:r w:rsidRPr="00F53FC1">
        <w:rPr>
          <w:rFonts w:ascii="Times New Roman" w:eastAsia="宋体" w:hAnsi="Times New Roman" w:cs="Times New Roman" w:hint="eastAsia"/>
          <w:szCs w:val="21"/>
        </w:rPr>
        <w:t>Technological progress is often regarded as a critical pathway to addressing global energy inequity, with cost reductions in energy storage and hydrogen production serving as illustrative examples. These two technologies are particularly relevant as they represent key scenarios of technological advancement analyzed in this study.</w:t>
      </w:r>
      <w:r w:rsidR="0044618E" w:rsidRPr="00C613BE">
        <w:rPr>
          <w:rFonts w:ascii="Times New Roman" w:eastAsia="宋体" w:hAnsi="Times New Roman" w:cs="Times New Roman"/>
          <w:szCs w:val="21"/>
        </w:rPr>
        <w:t xml:space="preserve"> Our analysis confirms these technological advances exert a universal cost-reduction effect across global islands. Simulations indicate that when storage and hydrogen costs decrease by </w:t>
      </w:r>
      <w:r w:rsidR="0044618E" w:rsidRPr="00C613BE">
        <w:rPr>
          <w:rFonts w:ascii="Cambria Math" w:eastAsia="宋体" w:hAnsi="Cambria Math" w:cs="Cambria Math"/>
          <w:szCs w:val="21"/>
        </w:rPr>
        <w:t>∼</w:t>
      </w:r>
      <w:r w:rsidR="0044618E" w:rsidRPr="00C613BE">
        <w:rPr>
          <w:rFonts w:ascii="Times New Roman" w:eastAsia="宋体" w:hAnsi="Times New Roman" w:cs="Times New Roman"/>
          <w:szCs w:val="21"/>
        </w:rPr>
        <w:t xml:space="preserve">50% from 2020 to 2050 (following current projections), average per capita energy investments under 2050 disaster risk decline by 12% globally. </w:t>
      </w:r>
      <w:r w:rsidR="0044618E" w:rsidRPr="00C613BE">
        <w:rPr>
          <w:rFonts w:ascii="Times New Roman" w:eastAsia="宋体" w:hAnsi="Times New Roman" w:cs="Times New Roman"/>
          <w:szCs w:val="21"/>
        </w:rPr>
        <w:lastRenderedPageBreak/>
        <w:t xml:space="preserve">Most islands exhibit reduced Energy Investment Burden Coefficients (EIBC), demonstrating broad-based benefits (Fig. 7a). Specifically: Vanuatu’s EIBC decreases from </w:t>
      </w:r>
      <w:r w:rsidR="0044618E" w:rsidRPr="00C613BE">
        <w:rPr>
          <w:rFonts w:ascii="Cambria Math" w:eastAsia="宋体" w:hAnsi="Cambria Math" w:cs="Cambria Math"/>
          <w:szCs w:val="21"/>
        </w:rPr>
        <w:t>∼</w:t>
      </w:r>
      <w:r w:rsidR="0044618E" w:rsidRPr="00C613BE">
        <w:rPr>
          <w:rFonts w:ascii="Times New Roman" w:eastAsia="宋体" w:hAnsi="Times New Roman" w:cs="Times New Roman"/>
          <w:szCs w:val="21"/>
        </w:rPr>
        <w:t>0.22 (2020) to 0.18 (2050; −18%); Fiji from 0.21 to 0.16 (−24%); southeastern China from 0.08 to 0.06 (−25%); southeastern US islands show fluctuating but overall decline; while southwestern Japanese islands remain stable. This widespread reduction confirms technological progress alleviates energy investment burdens globally.</w:t>
      </w:r>
    </w:p>
    <w:p w14:paraId="59238CD9" w14:textId="77777777"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Cost composition analysis reveals underlying mechanisms. The proportion of storage costs (green segments) decreases over time, directly reflecting technological economies (Fig. 7b). Concurrently, renewable energy costs (blue segments) demonstrate systemic effects: lower storage/hydrogen costs enable more economical integration of intermittent renewables, facilitating higher renewable deployment and structural optimization. This synergy enhances system flexibility and clean energy competitiveness.</w:t>
      </w:r>
    </w:p>
    <w:p w14:paraId="2026161D" w14:textId="3F6AF868"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Declining reliance on LNG (gray segments) and gasification infrastructure (GAS) emerges as storage/hydrogen costs fall (Fig. 7b,c). Technological advances thus reconfigure optimal energy systems—increasing clean energy deployment, reducing fossil fuel imports, enhancing energy self-sufficiency, lowering security risks, and generating significant carbon mitigation co-benefits.</w:t>
      </w:r>
    </w:p>
    <w:p w14:paraId="148793EB" w14:textId="77777777" w:rsidR="0044618E" w:rsidRPr="00C613BE" w:rsidRDefault="0044618E"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Despite universal gains, cost-reduction benefits vary regionally. Vanuatu exhibits steeper declines than disaster-vulnerable southeastern China or Fiji—a divergence attributable to Pacific islands’ geographic isolation. These islands require larger storage capacities for weather resilience and supply security, heightening sensitivity to storage cost reductions. Consequently, Pacific cases show more pronounced EIBC decreases and higher storage cost shares, amplifying total cost impacts.</w:t>
      </w:r>
    </w:p>
    <w:p w14:paraId="0DF3DCF9" w14:textId="0260831B" w:rsidR="0044618E"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Critically, EIBC disparities persist despite technological gains. In 2020, Vanuatu and Fiji (EIBC 0.21–0.22) faced burdens 10–20× higher than the US/Japan (0.01–0.02). By 2050, Pacific EIBCs (0.16–0.18) remain 8–15× higher than developed economies’ levels. Notably, Pacific nations’ 2050 burdens still exceed developed islands’ 2020 baselines, confirming technology alleviates but does not resolve structural inequity (Fig. 7a). This gap may exacerbate economic inequality by constraining investments in education, healthcare, and development.</w:t>
      </w:r>
    </w:p>
    <w:p w14:paraId="62852679" w14:textId="5F71031D" w:rsidR="006D4136" w:rsidRPr="00C613BE" w:rsidRDefault="0044618E"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Thus, while storage/hydrogen cost reductions deliver broad-based benefits, their spatially uneven impact—and failure to eliminate fundamental disparities—underscores that technology alone cannot achieve equitable energy transitions. A 50% cost reduction only lowers high-burden EIBCs by 18–25%, insufficient to bridge 10–20× gaps. Targeted international cooperation and support mechanisms for Small Island Developing States remain imperative.</w:t>
      </w:r>
    </w:p>
    <w:p w14:paraId="20BAC7FC" w14:textId="5A56093E" w:rsidR="000036B6" w:rsidRPr="00C613BE" w:rsidRDefault="000036B6"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Discussion</w:t>
      </w:r>
    </w:p>
    <w:p w14:paraId="0B1D7034" w14:textId="2D76ACE0"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This study reveals the spatial heterogeneity of global island energy system investments and the evolution of inequity under climate change. We demonstrate that climate risk gradients exacerbate pre-existing disparities in energy investment burdens, creating systemic regional divergence. Intensifying meteorological hazards may perpetuate and amplify inequities in the global energy transition. While anticipated cost reductions in energy storage and hydrogen production technologies offer broad benefits, their spatially uneven impact and limited scale are insufficient to intrinsically resolve this structural inequality.</w:t>
      </w:r>
    </w:p>
    <w:p w14:paraId="01DF9FE5" w14:textId="3CD2DE4D"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Fundamental spatial disparities in energy investment costs arise from differential climate conditions, supply chain complexity, and renewable resource endowments. High-latitude islands face elevated investment pressure due to greater heating demands and seasonal renewable resource </w:t>
      </w:r>
      <w:r w:rsidRPr="00C613BE">
        <w:rPr>
          <w:rFonts w:ascii="Times New Roman" w:eastAsia="宋体" w:hAnsi="Times New Roman" w:cs="Times New Roman"/>
          <w:szCs w:val="21"/>
        </w:rPr>
        <w:lastRenderedPageBreak/>
        <w:t>mismatches. Islands with remote offshore locations incur higher fossil fuel transportation costs, necessitating greater energy storage deployment. Globally uneven renewable resource distribution further drives interregional investment differences. These inherent inequities are aggravated by climate change: Islands in high-risk zones (e.g., the Northwest Pacific "typhoon corridor") require up to 56% greater investment in storage and LNG infrastructure for climate resilience—far exceeding the global average.</w:t>
      </w:r>
    </w:p>
    <w:p w14:paraId="261A9032" w14:textId="00A6F58C"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Island energy systems exhibit self-reinforcing inequity mechanisms due to divergent climate risks and development levels. Climate change not only increases absolute investment needs in vulnerable islands but also widens the per capita investment gap between high- and low-risk regions. Analysis of the Energy Investment Burden Coefficient (EIBC) shows that for economically vulnerable islands (e.g., the Philippines), EIBC surges from 20% at baseline to 25–30% by 2050, whereas developed regions (e.g., Japan) see merely a 0.2-percentage-point increase. This divergence portends worsening inequity in the global energy transition.</w:t>
      </w:r>
    </w:p>
    <w:p w14:paraId="6BF713B1" w14:textId="5628FA05"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Although projected cost declines in storage and hydrogen technologies provide universal benefits, their impact remains spatially heterogeneous and insufficient to eliminate structural inequities. Disaster-prone, isolated islands exhibit higher sensitivity to storage costs, experiencing greater per capita investment reductions. Yet even under rapid technological advancement, Pacific Island nations</w:t>
      </w:r>
      <w:r w:rsidR="00CA326C" w:rsidRPr="00C613BE">
        <w:rPr>
          <w:rFonts w:ascii="Times New Roman" w:eastAsia="宋体" w:hAnsi="Times New Roman" w:cs="Times New Roman"/>
          <w:szCs w:val="21"/>
        </w:rPr>
        <w:t>’</w:t>
      </w:r>
      <w:r w:rsidRPr="00C613BE">
        <w:rPr>
          <w:rFonts w:ascii="Times New Roman" w:eastAsia="宋体" w:hAnsi="Times New Roman" w:cs="Times New Roman"/>
          <w:szCs w:val="21"/>
        </w:rPr>
        <w:t xml:space="preserve"> 2050 EIBC will remain 8–15 times higher than that of developed economies. This "equity-technology disconnect" underscores that innovation alone cannot resolve transition inequities.</w:t>
      </w:r>
    </w:p>
    <w:p w14:paraId="00BB5348" w14:textId="77777777" w:rsidR="00BC583B"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Our findings elucidate how geographic constraints and socioeconomic vulnerability synergistically drive self-reinforcing inequity. Achieving energy justice requires solutions beyond market-driven techno-fixes.</w:t>
      </w:r>
    </w:p>
    <w:p w14:paraId="5990DDF2" w14:textId="77777777" w:rsidR="00CA326C" w:rsidRPr="00C613BE" w:rsidRDefault="00BC583B"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Conventional </w:t>
      </w:r>
      <w:r w:rsidR="00CA326C" w:rsidRPr="00C613BE">
        <w:rPr>
          <w:rFonts w:ascii="Times New Roman" w:eastAsia="宋体" w:hAnsi="Times New Roman" w:cs="Times New Roman"/>
          <w:szCs w:val="21"/>
        </w:rPr>
        <w:t>energy justice frameworks focus on access, affordability, and participation, often neglecting geographically determined vulnerabilities to climate risks. Our analysis reveals significant disparities driven by location: high-latitude islands face inherently higher structural energy investment needs due to climate-driven demand patterns. Similarly, islands in typhoon-prone regions incur substantial additional costs for disaster-resilient infrastructure capacity. This geographically imposed burden necessitates moving beyond egalitarian principles towards discussions of equitable compensation and differentiated responsibilities.</w:t>
      </w:r>
    </w:p>
    <w:p w14:paraId="469D2C48" w14:textId="43045523" w:rsidR="00CA326C"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Island energy systems exhibit distinct vulnerabilities arising from a triple constraint: geographical isolation, limited resource endowments, and heightened climate sensitivity. This fundamentally differentiates them from mainland systems in terms of investment needs and resilience building. Firstly, geographical isolation extends supply chains, imposing a significant "geographical tax" – particularly for transporting fuels like LNG to high-latitude or remote islands – elevating baseline energy costs. Secondly, limited resource endowments constrain viable renewable options, as evidenced by case studies (e.g., Indonesia vs. Cuba) demonstrating how spatial heterogeneity in resources (e.g., wind potential) drives substantial investment disparities. Thirdly, heightened climate sensitivity requires disproportionately higher investment in adaptation and resilient infrastructure due to elevated risks from extreme weather events (e.g., typhoon damage).</w:t>
      </w:r>
    </w:p>
    <w:p w14:paraId="2E4AB4BA" w14:textId="1AAAA75E" w:rsidR="00CA326C"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Current international climate finance mechanisms inadequately address these unique island constraints. Allocation based primarily on population, mitigation potential, or absolute vulnerability overlooks the critical mismatch between high investment burdens and limited economic capacity. </w:t>
      </w:r>
      <w:r w:rsidRPr="00C613BE">
        <w:rPr>
          <w:rFonts w:ascii="Times New Roman" w:eastAsia="宋体" w:hAnsi="Times New Roman" w:cs="Times New Roman"/>
          <w:szCs w:val="21"/>
        </w:rPr>
        <w:lastRenderedPageBreak/>
        <w:t>Our results underscore the need for finance metrics that better capture the compound effects of climate risk and economic vulnerability specific to islands.</w:t>
      </w:r>
      <w:r w:rsidR="00EC164C" w:rsidRPr="00C613BE">
        <w:rPr>
          <w:rFonts w:ascii="Times New Roman" w:eastAsia="宋体" w:hAnsi="Times New Roman" w:cs="Times New Roman"/>
          <w:szCs w:val="21"/>
        </w:rPr>
        <w:t xml:space="preserve"> Moreover, t</w:t>
      </w:r>
      <w:r w:rsidRPr="00C613BE">
        <w:rPr>
          <w:rFonts w:ascii="Times New Roman" w:eastAsia="宋体" w:hAnsi="Times New Roman" w:cs="Times New Roman"/>
          <w:szCs w:val="21"/>
        </w:rPr>
        <w:t>his "decoupling of technological progress from equity" demands a strategic shift in R&amp;D priorities towards fair energy transitions. This entails prioritizing technologies with the highest cost-reduction potential in high Energy Investment Burden Coefficient (EIBC) regions; developing modular, climate-resilient solutions with flexible investment scales; and creating integrated systems aligned with local resources and technical capacity.</w:t>
      </w:r>
      <w:r w:rsidR="00EC164C"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Crucially, technological innovation must be coupled with financial innovation – such as climate-risk insurance and low-cost financing mechanisms for highly vulnerable areas – to bridge investment gaps that technology alone cannot solve. Only this dual-track approach can mitigate structural inequalities in the energy transition.</w:t>
      </w:r>
    </w:p>
    <w:p w14:paraId="13DB7EB3" w14:textId="03042189" w:rsidR="00563133" w:rsidRPr="00C613BE" w:rsidRDefault="00CA326C"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Achieving a just global energy transition requires systematically reconceptualizing energy justice to incorporate geographical vulnerability, developing targeted policies for islands, and directing innovation towards equitable outcomes. These insights are critical for building a more resilient, fair, and sustainable energy future.</w:t>
      </w:r>
    </w:p>
    <w:p w14:paraId="7DF4E8ED" w14:textId="77777777" w:rsidR="00563133" w:rsidRPr="00C613BE" w:rsidRDefault="00563133" w:rsidP="00C14660">
      <w:pPr>
        <w:rPr>
          <w:rFonts w:ascii="Times New Roman" w:eastAsia="宋体" w:hAnsi="Times New Roman" w:cs="Times New Roman"/>
          <w:szCs w:val="21"/>
        </w:rPr>
      </w:pPr>
    </w:p>
    <w:p w14:paraId="5E3F9791" w14:textId="2CEA9981" w:rsidR="001D252B" w:rsidRPr="00C613BE" w:rsidRDefault="00611FF5" w:rsidP="00C14660">
      <w:pPr>
        <w:rPr>
          <w:rFonts w:ascii="Times New Roman" w:eastAsia="宋体" w:hAnsi="Times New Roman" w:cs="Times New Roman"/>
          <w:b/>
          <w:szCs w:val="21"/>
          <w14:ligatures w14:val="none"/>
        </w:rPr>
      </w:pPr>
      <w:r w:rsidRPr="00C613BE">
        <w:rPr>
          <w:rFonts w:ascii="Times New Roman" w:eastAsia="宋体" w:hAnsi="Times New Roman" w:cs="Times New Roman"/>
          <w:b/>
          <w:szCs w:val="21"/>
          <w14:ligatures w14:val="none"/>
        </w:rPr>
        <w:t>Method</w:t>
      </w:r>
    </w:p>
    <w:p w14:paraId="378C0489" w14:textId="7C9AD8D3" w:rsidR="001D252B" w:rsidRDefault="00ED4D95"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Island Integrated Energy System Model</w:t>
      </w:r>
    </w:p>
    <w:p w14:paraId="11C5B3E9" w14:textId="50CD5C6D" w:rsidR="00B20C07" w:rsidRPr="00B20C07" w:rsidRDefault="00B20C07"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Fig.</w:t>
      </w:r>
      <w:r w:rsidR="000F42BA">
        <w:rPr>
          <w:rFonts w:ascii="Times New Roman" w:eastAsia="宋体" w:hAnsi="Times New Roman" w:cs="Times New Roman" w:hint="eastAsia"/>
          <w:b/>
          <w:bCs/>
          <w:szCs w:val="21"/>
          <w14:ligatures w14:val="none"/>
        </w:rPr>
        <w:t>9</w:t>
      </w:r>
      <w:r w:rsidRPr="00C613BE">
        <w:rPr>
          <w:rFonts w:ascii="Times New Roman" w:eastAsia="宋体" w:hAnsi="Times New Roman" w:cs="Times New Roman"/>
          <w:b/>
          <w:bCs/>
          <w:szCs w:val="21"/>
          <w14:ligatures w14:val="none"/>
        </w:rPr>
        <w:t xml:space="preserve"> | Island Integrated Energy System.</w:t>
      </w:r>
    </w:p>
    <w:p w14:paraId="453C6EE4" w14:textId="43D760CA" w:rsidR="008B7CE0" w:rsidRPr="00C613BE" w:rsidRDefault="00E65C2E" w:rsidP="00C14660">
      <w:pPr>
        <w:jc w:val="center"/>
        <w:rPr>
          <w:rFonts w:ascii="Times New Roman" w:eastAsia="宋体" w:hAnsi="Times New Roman" w:cs="Times New Roman"/>
          <w:szCs w:val="21"/>
        </w:rPr>
      </w:pPr>
      <w:r w:rsidRPr="00C613BE">
        <w:rPr>
          <w:rFonts w:ascii="Times New Roman" w:eastAsia="宋体" w:hAnsi="Times New Roman" w:cs="Times New Roman"/>
          <w:noProof/>
          <w:szCs w:val="21"/>
        </w:rPr>
        <w:drawing>
          <wp:inline distT="0" distB="0" distL="0" distR="0" wp14:anchorId="74FC8DC0" wp14:editId="345E5325">
            <wp:extent cx="5274310" cy="3613785"/>
            <wp:effectExtent l="0" t="0" r="2540" b="5715"/>
            <wp:docPr id="8429150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13785"/>
                    </a:xfrm>
                    <a:prstGeom prst="rect">
                      <a:avLst/>
                    </a:prstGeom>
                    <a:noFill/>
                    <a:ln>
                      <a:noFill/>
                    </a:ln>
                  </pic:spPr>
                </pic:pic>
              </a:graphicData>
            </a:graphic>
          </wp:inline>
        </w:drawing>
      </w:r>
    </w:p>
    <w:p w14:paraId="50121D5A" w14:textId="7B92857B" w:rsidR="005E795D" w:rsidRPr="00C613BE" w:rsidRDefault="00ED4D95"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We propose an island integrated energy system (Fig.7), incorporating external energy inputs from wind, solar, wave, and liquefied natural gas (LNG). LNG is procured from the nearest base station and transported to the island (data source</w:t>
      </w:r>
      <w:r w:rsidR="005E795D" w:rsidRPr="00C613BE">
        <w:rPr>
          <w:rFonts w:ascii="Times New Roman" w:eastAsia="宋体" w:hAnsi="Times New Roman" w:cs="Times New Roman"/>
          <w:szCs w:val="21"/>
        </w:rPr>
        <w:fldChar w:fldCharType="begin"/>
      </w:r>
      <w:r w:rsidR="005E795D" w:rsidRPr="00C613BE">
        <w:rPr>
          <w:rFonts w:ascii="Times New Roman" w:eastAsia="宋体" w:hAnsi="Times New Roman" w:cs="Times New Roman"/>
          <w:szCs w:val="21"/>
        </w:rPr>
        <w:instrText xml:space="preserve"> ADDIN ZOTERO_ITEM CSL_CITATION {"citationID":"ikO5AMl7","properties":{"formattedCitation":"\\super 14\\nosupersub{}","plainCitation":"14","noteIndex":0},"citationItems":[{"id":331,"uris":["http://zotero.org/users/16842078/items/CNCHRSTR"],"itemData":{"id":331,"type":"dataset","title":"Global Gas Infrastructure Tracker","author":[{"literal":"Global Energy Monitor"}],"issued":{"date-parts":[["2024",8]]}}}],"schema":"https://github.com/citation-style-language/schema/raw/master/csl-citation.json"} </w:instrText>
      </w:r>
      <w:r w:rsidR="005E795D" w:rsidRPr="00C613BE">
        <w:rPr>
          <w:rFonts w:ascii="Times New Roman" w:eastAsia="宋体" w:hAnsi="Times New Roman" w:cs="Times New Roman"/>
          <w:szCs w:val="21"/>
        </w:rPr>
        <w:fldChar w:fldCharType="separate"/>
      </w:r>
      <w:r w:rsidR="005E795D" w:rsidRPr="00C613BE">
        <w:rPr>
          <w:rFonts w:ascii="Times New Roman" w:hAnsi="Times New Roman" w:cs="Times New Roman"/>
          <w:kern w:val="0"/>
          <w:szCs w:val="21"/>
          <w:vertAlign w:val="superscript"/>
        </w:rPr>
        <w:t>14</w:t>
      </w:r>
      <w:r w:rsidR="005E795D"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Energy conversion and storage facilities couple these sources to meet electricity, heating, and cooling demands. Model cost and operational parameters derive from the U.S. NREL's  Annual Technology Baseline (ATB) medium-cost scenario</w:t>
      </w:r>
      <w:r w:rsidR="00531C80" w:rsidRPr="00C613BE">
        <w:rPr>
          <w:rFonts w:ascii="Times New Roman" w:eastAsia="宋体" w:hAnsi="Times New Roman" w:cs="Times New Roman"/>
          <w:szCs w:val="21"/>
        </w:rPr>
        <w:fldChar w:fldCharType="begin"/>
      </w:r>
      <w:r w:rsidR="00531C80" w:rsidRPr="00C613BE">
        <w:rPr>
          <w:rFonts w:ascii="Times New Roman" w:eastAsia="宋体" w:hAnsi="Times New Roman" w:cs="Times New Roman"/>
          <w:szCs w:val="21"/>
        </w:rPr>
        <w:instrText xml:space="preserve"> ADDIN ZOTERO_ITEM CSL_CITATION {"citationID":"qSpxPZ7K","properties":{"formattedCitation":"\\super 15\\nosupersub{}","plainCitation":"15","noteIndex":0},"citationItems":[{"id":311,"uris":["http://zotero.org/users/16842078/items/WVHV72E5"],"itemData":{"id":311,"type":"dataset","abstract":"Starting in 2015 NREL has presented the Annual Technology Baseline (ATB) in an Excel workbook that contains detailed cost and performance data, both current and projected, for renewable and conventional technologies. The workbook includes a spreadsheet for each technology. This version of the workbook provides the final updates to data for the 2021 ATB. In 2019 and 2020, NREL has also provided selected data in Tableau workbooks and structured summary csv files. The data for 2015 - 2020 is located on https://data.nrel.gov. In 2021 and going forward, the data is cloud optimized and provided in the OEDI data lake. A website documents this and future data at https://atb.nrel.gov.","DOI":"10.25984/1807473","language":"en","title":"2021 Annual Technology Baseline (ATB) Cost and Performance Data for Electricity Generation Technologies","URL":"https://data.openei.org/submissions/4129","author":[{"literal":"Vimmerstedt, Laura and Akar, et al."}],"accessed":{"date-parts":[["2025",5,11]]},"issued":{"date-parts":[["2021"]]}}}],"schema":"https://github.com/citation-style-language/schema/raw/master/csl-citation.json"} </w:instrText>
      </w:r>
      <w:r w:rsidR="00531C80" w:rsidRPr="00C613BE">
        <w:rPr>
          <w:rFonts w:ascii="Times New Roman" w:eastAsia="宋体" w:hAnsi="Times New Roman" w:cs="Times New Roman"/>
          <w:szCs w:val="21"/>
        </w:rPr>
        <w:fldChar w:fldCharType="separate"/>
      </w:r>
      <w:r w:rsidR="00531C80" w:rsidRPr="00C613BE">
        <w:rPr>
          <w:rFonts w:ascii="Times New Roman" w:hAnsi="Times New Roman" w:cs="Times New Roman"/>
          <w:kern w:val="0"/>
          <w:szCs w:val="21"/>
          <w:vertAlign w:val="superscript"/>
        </w:rPr>
        <w:t>15</w:t>
      </w:r>
      <w:r w:rsidR="00531C80"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and relevant literature</w:t>
      </w:r>
      <w:r w:rsidR="00531C80" w:rsidRPr="00C613BE">
        <w:rPr>
          <w:rFonts w:ascii="Times New Roman" w:eastAsia="宋体" w:hAnsi="Times New Roman" w:cs="Times New Roman"/>
          <w:szCs w:val="21"/>
        </w:rPr>
        <w:t>, with detailed parameters provided in Supplementary Note 1. </w:t>
      </w:r>
      <w:r w:rsidR="003E6FE3" w:rsidRPr="003E6FE3">
        <w:rPr>
          <w:rFonts w:ascii="Times New Roman" w:eastAsia="宋体" w:hAnsi="Times New Roman" w:cs="Times New Roman" w:hint="eastAsia"/>
          <w:szCs w:val="21"/>
        </w:rPr>
        <w:t xml:space="preserve">The system is scaled for a 500-person community, which represents an optimal scale for demonstrating </w:t>
      </w:r>
      <w:r w:rsidR="003E6FE3" w:rsidRPr="003E6FE3">
        <w:rPr>
          <w:rFonts w:ascii="Times New Roman" w:eastAsia="宋体" w:hAnsi="Times New Roman" w:cs="Times New Roman" w:hint="eastAsia"/>
          <w:szCs w:val="21"/>
        </w:rPr>
        <w:lastRenderedPageBreak/>
        <w:t>renewable energy integration in an island context</w:t>
      </w:r>
      <w:r w:rsidR="003E6FE3">
        <w:rPr>
          <w:rFonts w:ascii="Times New Roman" w:eastAsia="宋体" w:hAnsi="Times New Roman" w:cs="Times New Roman" w:hint="eastAsia"/>
          <w:szCs w:val="21"/>
        </w:rPr>
        <w:t xml:space="preserve">. </w:t>
      </w:r>
      <w:r w:rsidR="003E6FE3" w:rsidRPr="003E6FE3">
        <w:rPr>
          <w:rFonts w:ascii="Times New Roman" w:eastAsia="宋体" w:hAnsi="Times New Roman" w:cs="Times New Roman" w:hint="eastAsia"/>
          <w:szCs w:val="21"/>
        </w:rPr>
        <w:t>Based on IRENA's analysis of off-grid systems (Case 7)</w:t>
      </w:r>
      <w:r w:rsidR="000A7AE0">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{"citationID":"zCIAEjlg","properties":{"formattedCitation":"\\super 16\\nosupersub{}","plainCitation":"16","noteIndex":0},"citationItems":[{"id":439,"uris":["http://zotero.org/users/16842078/items/ZCGM2XFI"],"itemData":{"id":439,"type":"webpage","abstract":"IRENA proposes a five-phase method to assess the value of storage and create viable investment conditions. IRENA’s Electricity Storage Valuation Framework (ESVF) aims to guide storage deployment for the effective integration of solar and wind power.","language":"en","title":"Electricity Storage Valuation Framework 2020","URL":"https://www.irena.org/publications/2020/Mar/Electricity-Storage-Valuation-Framework-2020","accessed":{"date-parts":[["2025",6,1]]},"issued":{"date-parts":[["2020",3,5]]}}}],"schema":"https://github.com/citation-style-language/schema/raw/master/csl-citation.json"} </w:instrText>
      </w:r>
      <w:r w:rsidR="000A7AE0">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16</w:t>
      </w:r>
      <w:r w:rsidR="000A7AE0">
        <w:rPr>
          <w:rFonts w:ascii="Times New Roman" w:eastAsia="宋体" w:hAnsi="Times New Roman" w:cs="Times New Roman"/>
          <w:szCs w:val="21"/>
        </w:rPr>
        <w:fldChar w:fldCharType="end"/>
      </w:r>
      <w:r w:rsidR="003E6FE3" w:rsidRPr="003E6FE3">
        <w:rPr>
          <w:rFonts w:ascii="Times New Roman" w:eastAsia="宋体" w:hAnsi="Times New Roman" w:cs="Times New Roman" w:hint="eastAsia"/>
          <w:szCs w:val="21"/>
        </w:rPr>
        <w:t>, this scale is particularly suitable for comprehensive hybrid renewable solutions, as it allows for meaningful capacity deployment (typically 0.5-2 MW) while remaining manageable in terms of system complexity and investment requirements.</w:t>
      </w:r>
      <w:r w:rsidR="003E6FE3">
        <w:rPr>
          <w:rFonts w:ascii="Times New Roman" w:eastAsia="宋体" w:hAnsi="Times New Roman" w:cs="Times New Roman" w:hint="eastAsia"/>
          <w:szCs w:val="21"/>
        </w:rPr>
        <w:t xml:space="preserve"> </w:t>
      </w:r>
      <w:r w:rsidR="003E6FE3" w:rsidRPr="003E6FE3">
        <w:rPr>
          <w:rFonts w:ascii="Times New Roman" w:eastAsia="宋体" w:hAnsi="Times New Roman" w:cs="Times New Roman" w:hint="eastAsia"/>
          <w:szCs w:val="21"/>
        </w:rPr>
        <w:t>For islands with smaller populations, we scale the system accordingly using their actual population size to maintain per capita energy adequacy.</w:t>
      </w:r>
    </w:p>
    <w:p w14:paraId="6182F72C" w14:textId="77777777" w:rsidR="00531C80" w:rsidRPr="00C613BE" w:rsidRDefault="00531C80" w:rsidP="00C14660">
      <w:pPr>
        <w:jc w:val="left"/>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Renewable Potential and Demand Assessment</w:t>
      </w:r>
    </w:p>
    <w:p w14:paraId="2394801C" w14:textId="3179AF33" w:rsidR="00531C80" w:rsidRPr="00C613BE" w:rsidRDefault="00531C80" w:rsidP="00C14660">
      <w:pPr>
        <w:ind w:firstLineChars="200" w:firstLine="420"/>
        <w:rPr>
          <w:rFonts w:ascii="Times New Roman" w:hAnsi="Times New Roman" w:cs="Times New Roman"/>
        </w:rPr>
      </w:pPr>
      <w:r w:rsidRPr="00C613BE">
        <w:rPr>
          <w:rFonts w:ascii="Times New Roman" w:eastAsia="宋体" w:hAnsi="Times New Roman" w:cs="Times New Roman"/>
          <w:szCs w:val="21"/>
        </w:rPr>
        <w:t xml:space="preserve">Hourly solar photovoltaic (PV) and wind generation profiles were simulated using the </w:t>
      </w:r>
      <w:r w:rsidR="00194D2D" w:rsidRPr="00C613BE">
        <w:rPr>
          <w:rFonts w:ascii="Times New Roman" w:eastAsia="宋体" w:hAnsi="Times New Roman" w:cs="Times New Roman"/>
          <w:i/>
          <w:iCs/>
          <w:szCs w:val="21"/>
        </w:rPr>
        <w:t>Renewables.ninja</w:t>
      </w:r>
      <w:r w:rsidRPr="00C613BE">
        <w:rPr>
          <w:rFonts w:ascii="Times New Roman" w:eastAsia="宋体" w:hAnsi="Times New Roman" w:cs="Times New Roman"/>
          <w:szCs w:val="21"/>
        </w:rPr>
        <w:t xml:space="preserve"> platform</w:t>
      </w:r>
      <w:r w:rsidR="005E795D" w:rsidRPr="00C613BE">
        <w:rPr>
          <w:rFonts w:ascii="Times New Roman" w:eastAsia="宋体" w:hAnsi="Times New Roman" w:cs="Times New Roman"/>
          <w:szCs w:val="21"/>
          <w:vertAlign w:val="superscript"/>
        </w:rPr>
        <w:fldChar w:fldCharType="begin"/>
      </w:r>
      <w:r w:rsidR="000A7AE0">
        <w:rPr>
          <w:rFonts w:ascii="Times New Roman" w:eastAsia="宋体" w:hAnsi="Times New Roman" w:cs="Times New Roman"/>
          <w:szCs w:val="21"/>
          <w:vertAlign w:val="superscript"/>
        </w:rPr>
        <w:instrText xml:space="preserve"> ADDIN ZOTERO_ITEM CSL_CITATION {"citationID":"ypsRn0lO","properties":{"formattedCitation":"\\super 17,18\\nosupersub{}","plainCitation":"17,18","noteIndex":0},"citationItems":[{"id":316,"uris":["http://zotero.org/users/16842078/items/PPUK5B9H"],"itemData":{"id":316,"type":"article-journal","abstract":"Solar PV is rapidly growing globally, creating difﬁcult questions around how to efﬁciently integrate it into national electricity grids. Its time-varying power output is difﬁcult to model credibly because it depends on complex and variable weather systems, leading to difﬁculty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ﬁnd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www.renewables.ninja.","container-title":"Energy","DOI":"10.1016/j.energy.2016.08.060","ISSN":"03605442","journalAbbreviation":"Energy","language":"en","page":"1251-1265","source":"DOI.org (Crossref)","title":"Long-term patterns of European PV output using 30 years of validated hourly reanalysis and satellite data","volume":"114","author":[{"family":"Pfenninger","given":"Stefan"},{"family":"Staffell","given":"Iain"}],"issued":{"date-parts":[["2016",11]]}},"label":"page"},{"id":325,"uris":["http://zotero.org/users/16842078/items/RHK6HNY4"],"itemData":{"id":325,"type":"article-journal","abstract":"Reanalysis models are rapidly gaining popularity for simulating wind power output due to their convenience and global coverage. However, they should only be relied upon once thoroughly proven. This paper reports the ﬁrst international validation of reanalysis for wind energy, testing NASA's MERRA and MERRA-2 in 23 European countries. Both reanalyses suffer signiﬁcant spatial bias, overestimating wind output by 50% in northwest Europe and underestimating by 30% in the Mediterranean. We derive national correction factors, and show that after calibration national hourly output can be modelled with R2 above 0.95. Our underlying data are made freely available to aid future research.","container-title":"Energy","DOI":"10.1016/j.energy.2016.08.068","ISSN":"03605442","journalAbbreviation":"Energy","language":"en","page":"1224-1239","source":"DOI.org (Crossref)","title":"Using bias-corrected reanalysis to simulate current and future wind power output","volume":"114","author":[{"family":"Staffell","given":"Iain"},{"family":"Pfenninger","given":"Stefan"}],"issued":{"date-parts":[["2016",11]]}},"label":"page"}],"schema":"https://github.com/citation-style-language/schema/raw/master/csl-citation.json"} </w:instrText>
      </w:r>
      <w:r w:rsidR="005E795D" w:rsidRPr="00C613BE">
        <w:rPr>
          <w:rFonts w:ascii="Times New Roman" w:eastAsia="宋体" w:hAnsi="Times New Roman" w:cs="Times New Roman"/>
          <w:szCs w:val="21"/>
          <w:vertAlign w:val="superscript"/>
        </w:rPr>
        <w:fldChar w:fldCharType="separate"/>
      </w:r>
      <w:r w:rsidR="000A7AE0" w:rsidRPr="000A7AE0">
        <w:rPr>
          <w:rFonts w:ascii="Times New Roman" w:hAnsi="Times New Roman" w:cs="Times New Roman"/>
          <w:kern w:val="0"/>
          <w:vertAlign w:val="superscript"/>
        </w:rPr>
        <w:t>17,18</w:t>
      </w:r>
      <w:r w:rsidR="005E795D" w:rsidRPr="00C613BE">
        <w:rPr>
          <w:rFonts w:ascii="Times New Roman" w:eastAsia="宋体" w:hAnsi="Times New Roman" w:cs="Times New Roman"/>
          <w:szCs w:val="21"/>
          <w:vertAlign w:val="superscript"/>
        </w:rPr>
        <w:fldChar w:fldCharType="end"/>
      </w:r>
      <w:r w:rsidRPr="00C613BE">
        <w:rPr>
          <w:rFonts w:ascii="Times New Roman" w:hAnsi="Times New Roman" w:cs="Times New Roman"/>
        </w:rPr>
        <w:t xml:space="preserve"> , leveraging historical meteorological data (ERA5, MERRA-2) and performance models. Simulations used 2020 data with each island represented by its centroid coordinates.</w:t>
      </w:r>
    </w:p>
    <w:p w14:paraId="15E6FFB8" w14:textId="714CB120" w:rsidR="00531C80"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PV systems were modeled as fixed-tilt installations with tilt angles optimized for maximum annual yield. Azimuth was set southward (Northern Hemisphere) or northward (Southern Hemisphere). To avoid artificial capacity constraints during optimization, maximum AC power input was scaled proportionally to population (2.0 kW/person), with system losses set at 10%. Wind simulations used Vestas V90 2000 turbines at 80m hub height, with maximum AC power input similarly set to 2.0 kW/person.</w:t>
      </w:r>
    </w:p>
    <w:p w14:paraId="5C3A7EBF" w14:textId="67BEB775" w:rsidR="005E795D"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Wave energy density (kW/m) and significant wave height (m) under SSP585 scenario were sourced from a global wave model data</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{"citationID":"vlyronYy","properties":{"formattedCitation":"\\super 19\\nosupersub{}","plainCitation":"19","noteIndex":0},"citationItems":[{"id":313,"uris":["http://zotero.org/users/16842078/items/TA2GWXZX"],"itemData":{"id":313,"type":"article-journal","abstract":"Ocean wave climate, including wind waves and swells, is essential to human marine activities and global or regional climate systems, and is highly related to harnessing wave energy resources. In this study, a global 3-hourly instantaneous wave dataset was established with the third-generation wave model MASNUM-WAM and wind forcings derived from the products of the First Institute of Oceanography-Earth System Model version 2.0, the climate model coupled with wave model, under the unified framework of the Coupled Model Intercomparison Project phase 6. This dataset contains 17 wave parameters, including the information associated with wave energy and spectral shape geometries, from one historical (1950–2014) simulation and three future (2015–2100) scenario experiments (ssp125, ssp245, and ssp585). Moreover, all the parameters can be accessed separately in the form of wind waves and swells. The historical results show that the simulated wave characteristics agree well with satellite observations and the ERA5 reanalysis products. This dataset can provide the community with a unique and informative data source for wave climate and wave energy resource research.","container-title":"Scientific Data","DOI":"10.1038/s41597-023-02151-w","ISSN":"2052-4463","issue":"1","journalAbbreviation":"Sci Data","language":"en","license":"2023 The Author(s)","note":"publisher: Nature Publishing Group","page":"225","source":"www.nature.com","title":"Global 3-hourly wind-wave and swell data for wave climate and wave energy resource research from 1950 to 2100","volume":"10","author":[{"family":"Jiang","given":"Xingjie"},{"family":"Xie","given":"Botao"},{"family":"Bao","given":"Ying"},{"family":"Song","given":"Zhenya"}],"issued":{"date-parts":[["2023",4,20]]}}}],"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19</w:t>
      </w:r>
      <w:r w:rsidR="005E795D"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r w:rsidR="003122A5" w:rsidRPr="00C613BE">
        <w:rPr>
          <w:rFonts w:ascii="Times New Roman" w:hAnsi="Times New Roman" w:cs="Times New Roman"/>
        </w:rPr>
        <w:t xml:space="preserve"> and </w:t>
      </w:r>
      <w:r w:rsidR="009A4ECD" w:rsidRPr="00C613BE">
        <w:rPr>
          <w:rFonts w:ascii="Times New Roman" w:eastAsia="宋体" w:hAnsi="Times New Roman" w:cs="Times New Roman"/>
          <w:szCs w:val="21"/>
        </w:rPr>
        <w:t xml:space="preserve">to </w:t>
      </w:r>
      <w:r w:rsidR="003122A5" w:rsidRPr="00C613BE">
        <w:rPr>
          <w:rFonts w:ascii="Times New Roman" w:eastAsia="宋体" w:hAnsi="Times New Roman" w:cs="Times New Roman"/>
          <w:szCs w:val="21"/>
        </w:rPr>
        <w:t>fully explore the configuration potential of wave energy facilities in the optimization model, the maximum wave energy facility length per island was set to 1 km.</w:t>
      </w:r>
    </w:p>
    <w:p w14:paraId="4B1D515C" w14:textId="446E67C3" w:rsidR="005E795D"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Hourly heating and cooling demands were simulated using </w:t>
      </w:r>
      <w:r w:rsidR="00194D2D" w:rsidRPr="00C613BE">
        <w:rPr>
          <w:rFonts w:ascii="Times New Roman" w:eastAsia="宋体" w:hAnsi="Times New Roman" w:cs="Times New Roman"/>
          <w:i/>
          <w:iCs/>
          <w:szCs w:val="21"/>
        </w:rPr>
        <w:t>Renewables.ninja</w:t>
      </w:r>
      <w:r w:rsidRPr="00C613BE">
        <w:rPr>
          <w:rFonts w:ascii="Times New Roman" w:eastAsia="宋体" w:hAnsi="Times New Roman" w:cs="Times New Roman"/>
          <w:szCs w:val="21"/>
        </w:rPr>
        <w:t xml:space="preserve"> methodology</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{"citationID":"UGBNxzNK","properties":{"formattedCitation":"\\super 20\\nosupersub{}","plainCitation":"20","noteIndex":0},"citationItems":[{"id":317,"uris":["http://zotero.org/users/16842078/items/KHBRQ5NA"],"itemData":{"id":317,"type":"article-journal","abstract":"Accurate modelling of the weather’s temporal and spatial impacts on building energy demand is critical to decarbonizing energy systems. Here we introduce a customizable model for hourly heating and cooling demand applicable globally at all spatial scales. We validate against demand from ~5,000 buildings and 43 regions across four continents. The model requires limited data inputs and shows better agreement with measured demand than existing models. We use it first to demonstrate that a 1 °C reduction in thermostat settings across all buildings could reduce Europe’s gas consumption by 240 TWh yr−1, approximately one-sixth of historical imports from Russia. Second, we show that service demand for cooling is increasing by up to 5% per year in some regions due to climate change, and 5 billion people experience &gt;100 additional cooling degree days per year when compared with a generation ago. The model and underlying data are freely accessible to promote further research.","container-title":"Nature Energy","DOI":"10.1038/s41560-023-01341-5","ISSN":"2058-7546","issue":"12","journalAbbreviation":"Nat Energy","language":"en","license":"2023 The Author(s)","note":"publisher: Nature Publishing Group","page":"1328-1344","source":"www.nature.com","title":"A global model of hourly space heating and cooling demand at multiple spatial scales","volume":"8","author":[{"family":"Staffell","given":"Iain"},{"family":"Pfenninger","given":"Stefan"},{"family":"Johnson","given":"Nathan"}],"issued":{"date-parts":[["2023",12]]}}}],"schema":"https://github.com/citation-style-language/schema/raw/master/csl-citation.json"}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20</w:t>
      </w:r>
      <w:r w:rsidR="005E795D" w:rsidRPr="00C613BE">
        <w:rPr>
          <w:rFonts w:ascii="Times New Roman" w:eastAsia="宋体" w:hAnsi="Times New Roman" w:cs="Times New Roman"/>
          <w:szCs w:val="21"/>
        </w:rPr>
        <w:fldChar w:fldCharType="end"/>
      </w:r>
      <w:r w:rsidR="00053C37" w:rsidRPr="00C613BE">
        <w:rPr>
          <w:rFonts w:ascii="Times New Roman" w:hAnsi="Times New Roman" w:cs="Times New Roman"/>
        </w:rPr>
        <w:t xml:space="preserve"> </w:t>
      </w:r>
      <w:r w:rsidR="00053C37" w:rsidRPr="00C613BE">
        <w:rPr>
          <w:rFonts w:ascii="Times New Roman" w:eastAsia="宋体" w:hAnsi="Times New Roman" w:cs="Times New Roman"/>
          <w:szCs w:val="21"/>
        </w:rPr>
        <w:t xml:space="preserve">. Heating demand initiates when ambient temperature falls below region-specific heating thresholds, while cooling demand activates when temperature exceeds cooling thresholds. Calculations incorporate regional parameters as defined in Table 1 </w:t>
      </w:r>
      <w:r w:rsidR="005E795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{"citationID":"LzzWNb2Z","properties":{"formattedCitation":"\\super 20\\nosupersub{}","plainCitation":"20","noteIndex":0},"citationItems":[{"id":317,"uris":["http://zotero.org/users/16842078/items/KHBRQ5NA"],"itemData":{"id":317,"type":"article-journal","abstract":"Accurate modelling of the weather’s temporal and spatial impacts on building energy demand is critical to decarbonizing energy systems. Here we introduce a customizable model for hourly heating and cooling demand applicable globally at all spatial scales. We validate against demand from ~5,000 buildings and 43 regions across four continents. The model requires limited data inputs and shows better agreement with measured demand than existing models. We use it first to demonstrate that a 1 °C reduction in thermostat settings across all buildings could reduce Europe’s gas consumption by 240 TWh yr−1, approximately one-sixth of historical imports from Russia. Second, we show that service demand for cooling is increasing by up to 5% per year in some regions due to climate change, and 5 billion people experience &gt;100 additional cooling degree days per year when compared with a generation ago. The model and underlying data are freely accessible to promote further research.","container-title":"Nature Energy","DOI":"10.1038/s41560-023-01341-5","ISSN":"2058-7546","issue":"12","journalAbbreviation":"Nat Energy","language":"en","license":"2023 The Author(s)","note":"publisher: Nature Publishing Group","page":"1328-1344","source":"www.nature.com","title":"A global model of hourly space heating and cooling demand at multiple spatial scales","volume":"8","author":[{"family":"Staffell","given":"Iain"},{"family":"Pfenninger","given":"Stefan"},{"family":"Johnson","given":"Nathan"}],"issued":{"date-parts":[["2023",12]]}}}],"schema":"https://github.com/citation-style-language/schema/raw/master/csl-citation.json"} </w:instrText>
      </w:r>
      <w:r w:rsidR="005E795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20</w:t>
      </w:r>
      <w:r w:rsidR="005E795D" w:rsidRPr="00C613BE">
        <w:rPr>
          <w:rFonts w:ascii="Times New Roman" w:eastAsia="宋体" w:hAnsi="Times New Roman" w:cs="Times New Roman"/>
          <w:szCs w:val="21"/>
        </w:rPr>
        <w:fldChar w:fldCharType="end"/>
      </w:r>
      <w:r w:rsidR="005E795D" w:rsidRPr="00C613BE">
        <w:rPr>
          <w:rFonts w:ascii="Times New Roman" w:eastAsia="宋体" w:hAnsi="Times New Roman" w:cs="Times New Roman"/>
          <w:szCs w:val="21"/>
        </w:rPr>
        <w:t>：</w:t>
      </w:r>
    </w:p>
    <w:p w14:paraId="3EFF90F7" w14:textId="22ECDF02" w:rsidR="0008360B" w:rsidRPr="00B20C07" w:rsidRDefault="0008360B" w:rsidP="00C14660">
      <w:pPr>
        <w:ind w:firstLine="420"/>
        <w:jc w:val="center"/>
        <w:rPr>
          <w:rFonts w:ascii="Times New Roman" w:eastAsia="宋体" w:hAnsi="Times New Roman" w:cs="Times New Roman"/>
          <w:b/>
          <w:bCs/>
          <w:szCs w:val="21"/>
        </w:rPr>
      </w:pPr>
      <w:r w:rsidRPr="00B20C07">
        <w:rPr>
          <w:rFonts w:ascii="Times New Roman" w:eastAsia="宋体" w:hAnsi="Times New Roman" w:cs="Times New Roman"/>
          <w:b/>
          <w:bCs/>
          <w:szCs w:val="21"/>
        </w:rPr>
        <w:t>Table 1 Cooling and heating load parameters</w:t>
      </w:r>
    </w:p>
    <w:tbl>
      <w:tblPr>
        <w:tblW w:w="10302" w:type="dxa"/>
        <w:tblInd w:w="-1074" w:type="dxa"/>
        <w:tblBorders>
          <w:top w:val="single" w:sz="4" w:space="0" w:color="auto"/>
          <w:bottom w:val="single" w:sz="4" w:space="0" w:color="auto"/>
        </w:tblBorders>
        <w:tblLook w:val="04A0" w:firstRow="1" w:lastRow="0" w:firstColumn="1" w:lastColumn="0" w:noHBand="0" w:noVBand="1"/>
      </w:tblPr>
      <w:tblGrid>
        <w:gridCol w:w="914"/>
        <w:gridCol w:w="1068"/>
        <w:gridCol w:w="1068"/>
        <w:gridCol w:w="1292"/>
        <w:gridCol w:w="1292"/>
        <w:gridCol w:w="922"/>
        <w:gridCol w:w="1291"/>
        <w:gridCol w:w="1179"/>
        <w:gridCol w:w="1276"/>
      </w:tblGrid>
      <w:tr w:rsidR="00AB5E18" w:rsidRPr="00C613BE" w14:paraId="55050E59" w14:textId="77777777" w:rsidTr="002C1EE1">
        <w:trPr>
          <w:trHeight w:val="790"/>
        </w:trPr>
        <w:tc>
          <w:tcPr>
            <w:tcW w:w="914" w:type="dxa"/>
            <w:tcBorders>
              <w:top w:val="single" w:sz="4" w:space="0" w:color="auto"/>
              <w:bottom w:val="single" w:sz="4" w:space="0" w:color="auto"/>
            </w:tcBorders>
            <w:noWrap/>
            <w:vAlign w:val="center"/>
            <w:hideMark/>
          </w:tcPr>
          <w:p w14:paraId="11C9467E"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regions</w:t>
            </w:r>
          </w:p>
        </w:tc>
        <w:tc>
          <w:tcPr>
            <w:tcW w:w="1068" w:type="dxa"/>
            <w:tcBorders>
              <w:top w:val="single" w:sz="4" w:space="0" w:color="auto"/>
              <w:bottom w:val="single" w:sz="4" w:space="0" w:color="auto"/>
            </w:tcBorders>
            <w:vAlign w:val="center"/>
            <w:hideMark/>
          </w:tcPr>
          <w:p w14:paraId="71A1FD6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Heating </w:t>
            </w:r>
            <w:r w:rsidRPr="00C613BE">
              <w:rPr>
                <w:rFonts w:ascii="Times New Roman" w:eastAsia="宋体" w:hAnsi="Times New Roman" w:cs="Times New Roman"/>
                <w:b/>
                <w:bCs/>
                <w:color w:val="000000"/>
                <w:kern w:val="0"/>
                <w:szCs w:val="21"/>
                <w14:ligatures w14:val="none"/>
              </w:rPr>
              <w:br/>
              <w:t>threshold</w:t>
            </w:r>
            <w:r w:rsidRPr="00C613BE">
              <w:rPr>
                <w:rFonts w:ascii="Times New Roman" w:eastAsia="宋体" w:hAnsi="Times New Roman" w:cs="Times New Roman"/>
                <w:b/>
                <w:bCs/>
                <w:color w:val="000000"/>
                <w:kern w:val="0"/>
                <w:szCs w:val="21"/>
                <w14:ligatures w14:val="none"/>
              </w:rPr>
              <w:br/>
              <w:t>[°C]</w:t>
            </w:r>
          </w:p>
        </w:tc>
        <w:tc>
          <w:tcPr>
            <w:tcW w:w="1068" w:type="dxa"/>
            <w:tcBorders>
              <w:top w:val="single" w:sz="4" w:space="0" w:color="auto"/>
              <w:bottom w:val="single" w:sz="4" w:space="0" w:color="auto"/>
            </w:tcBorders>
            <w:vAlign w:val="center"/>
            <w:hideMark/>
          </w:tcPr>
          <w:p w14:paraId="6E834A02"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Cooling </w:t>
            </w:r>
            <w:r w:rsidRPr="00C613BE">
              <w:rPr>
                <w:rFonts w:ascii="Times New Roman" w:eastAsia="宋体" w:hAnsi="Times New Roman" w:cs="Times New Roman"/>
                <w:b/>
                <w:bCs/>
                <w:color w:val="000000"/>
                <w:kern w:val="0"/>
                <w:szCs w:val="21"/>
                <w14:ligatures w14:val="none"/>
              </w:rPr>
              <w:br/>
              <w:t>threshold</w:t>
            </w:r>
            <w:r w:rsidRPr="00C613BE">
              <w:rPr>
                <w:rFonts w:ascii="Times New Roman" w:eastAsia="宋体" w:hAnsi="Times New Roman" w:cs="Times New Roman"/>
                <w:b/>
                <w:bCs/>
                <w:color w:val="000000"/>
                <w:kern w:val="0"/>
                <w:szCs w:val="21"/>
                <w14:ligatures w14:val="none"/>
              </w:rPr>
              <w:br/>
              <w:t>[°C]</w:t>
            </w:r>
          </w:p>
        </w:tc>
        <w:tc>
          <w:tcPr>
            <w:tcW w:w="1292" w:type="dxa"/>
            <w:tcBorders>
              <w:top w:val="single" w:sz="4" w:space="0" w:color="auto"/>
              <w:bottom w:val="single" w:sz="4" w:space="0" w:color="auto"/>
            </w:tcBorders>
            <w:vAlign w:val="center"/>
            <w:hideMark/>
          </w:tcPr>
          <w:p w14:paraId="3DBB16A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Heating </w:t>
            </w:r>
            <w:r w:rsidRPr="00C613BE">
              <w:rPr>
                <w:rFonts w:ascii="Times New Roman" w:eastAsia="宋体" w:hAnsi="Times New Roman" w:cs="Times New Roman"/>
                <w:b/>
                <w:bCs/>
                <w:color w:val="000000"/>
                <w:kern w:val="0"/>
                <w:szCs w:val="21"/>
                <w14:ligatures w14:val="none"/>
              </w:rPr>
              <w:br/>
              <w:t>power</w:t>
            </w:r>
            <w:r w:rsidRPr="00C613BE">
              <w:rPr>
                <w:rFonts w:ascii="Times New Roman" w:eastAsia="宋体" w:hAnsi="Times New Roman" w:cs="Times New Roman"/>
                <w:b/>
                <w:bCs/>
                <w:color w:val="000000"/>
                <w:kern w:val="0"/>
                <w:szCs w:val="21"/>
                <w14:ligatures w14:val="none"/>
              </w:rPr>
              <w:br/>
              <w:t>[W/(°C · p)]</w:t>
            </w:r>
          </w:p>
        </w:tc>
        <w:tc>
          <w:tcPr>
            <w:tcW w:w="1292" w:type="dxa"/>
            <w:tcBorders>
              <w:top w:val="single" w:sz="4" w:space="0" w:color="auto"/>
              <w:bottom w:val="single" w:sz="4" w:space="0" w:color="auto"/>
            </w:tcBorders>
            <w:vAlign w:val="center"/>
            <w:hideMark/>
          </w:tcPr>
          <w:p w14:paraId="4D60DC1C"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Cooling </w:t>
            </w:r>
            <w:r w:rsidRPr="00C613BE">
              <w:rPr>
                <w:rFonts w:ascii="Times New Roman" w:eastAsia="宋体" w:hAnsi="Times New Roman" w:cs="Times New Roman"/>
                <w:b/>
                <w:bCs/>
                <w:color w:val="000000"/>
                <w:kern w:val="0"/>
                <w:szCs w:val="21"/>
                <w14:ligatures w14:val="none"/>
              </w:rPr>
              <w:br/>
              <w:t>power</w:t>
            </w:r>
            <w:r w:rsidRPr="00C613BE">
              <w:rPr>
                <w:rFonts w:ascii="Times New Roman" w:eastAsia="宋体" w:hAnsi="Times New Roman" w:cs="Times New Roman"/>
                <w:b/>
                <w:bCs/>
                <w:color w:val="000000"/>
                <w:kern w:val="0"/>
                <w:szCs w:val="21"/>
                <w14:ligatures w14:val="none"/>
              </w:rPr>
              <w:br/>
              <w:t>[W/(°C · p)]</w:t>
            </w:r>
          </w:p>
        </w:tc>
        <w:tc>
          <w:tcPr>
            <w:tcW w:w="922" w:type="dxa"/>
            <w:tcBorders>
              <w:top w:val="single" w:sz="4" w:space="0" w:color="auto"/>
              <w:bottom w:val="single" w:sz="4" w:space="0" w:color="auto"/>
            </w:tcBorders>
            <w:vAlign w:val="center"/>
            <w:hideMark/>
          </w:tcPr>
          <w:p w14:paraId="17E8F70A"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Smooth </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[day</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c>
          <w:tcPr>
            <w:tcW w:w="1291" w:type="dxa"/>
            <w:tcBorders>
              <w:top w:val="single" w:sz="4" w:space="0" w:color="auto"/>
              <w:bottom w:val="single" w:sz="4" w:space="0" w:color="auto"/>
            </w:tcBorders>
            <w:vAlign w:val="center"/>
            <w:hideMark/>
          </w:tcPr>
          <w:p w14:paraId="5F59FE71"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Solar</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[°C/(Wm</w:t>
            </w:r>
            <w:r w:rsidRPr="00C613BE">
              <w:rPr>
                <w:rFonts w:ascii="Times New Roman" w:eastAsia="宋体" w:hAnsi="Times New Roman" w:cs="Times New Roman"/>
                <w:b/>
                <w:bCs/>
                <w:color w:val="000000"/>
                <w:kern w:val="0"/>
                <w:szCs w:val="21"/>
                <w:vertAlign w:val="superscript"/>
                <w14:ligatures w14:val="none"/>
              </w:rPr>
              <w:t>-2</w:t>
            </w:r>
            <w:r w:rsidRPr="00C613BE">
              <w:rPr>
                <w:rFonts w:ascii="Times New Roman" w:eastAsia="宋体" w:hAnsi="Times New Roman" w:cs="Times New Roman"/>
                <w:b/>
                <w:bCs/>
                <w:color w:val="000000"/>
                <w:kern w:val="0"/>
                <w:szCs w:val="21"/>
                <w14:ligatures w14:val="none"/>
              </w:rPr>
              <w:t>)]</w:t>
            </w:r>
          </w:p>
        </w:tc>
        <w:tc>
          <w:tcPr>
            <w:tcW w:w="1179" w:type="dxa"/>
            <w:tcBorders>
              <w:top w:val="single" w:sz="4" w:space="0" w:color="auto"/>
              <w:bottom w:val="single" w:sz="4" w:space="0" w:color="auto"/>
            </w:tcBorders>
            <w:vAlign w:val="center"/>
            <w:hideMark/>
          </w:tcPr>
          <w:p w14:paraId="1A831DA7"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Wind</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[°C/(ms</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c>
          <w:tcPr>
            <w:tcW w:w="1276" w:type="dxa"/>
            <w:tcBorders>
              <w:top w:val="single" w:sz="4" w:space="0" w:color="auto"/>
              <w:bottom w:val="single" w:sz="4" w:space="0" w:color="auto"/>
            </w:tcBorders>
            <w:vAlign w:val="center"/>
            <w:hideMark/>
          </w:tcPr>
          <w:p w14:paraId="33155906" w14:textId="77777777" w:rsidR="00AB5E18" w:rsidRPr="00C613BE" w:rsidRDefault="00AB5E18" w:rsidP="00C14660">
            <w:pPr>
              <w:widowControl/>
              <w:jc w:val="left"/>
              <w:rPr>
                <w:rFonts w:ascii="Times New Roman" w:eastAsia="宋体" w:hAnsi="Times New Roman" w:cs="Times New Roman"/>
                <w:b/>
                <w:bCs/>
                <w:color w:val="000000"/>
                <w:kern w:val="0"/>
                <w:szCs w:val="21"/>
                <w14:ligatures w14:val="none"/>
              </w:rPr>
            </w:pPr>
            <w:r w:rsidRPr="00C613BE">
              <w:rPr>
                <w:rFonts w:ascii="Times New Roman" w:eastAsia="宋体" w:hAnsi="Times New Roman" w:cs="Times New Roman"/>
                <w:b/>
                <w:bCs/>
                <w:color w:val="000000"/>
                <w:kern w:val="0"/>
                <w:szCs w:val="21"/>
                <w14:ligatures w14:val="none"/>
              </w:rPr>
              <w:t xml:space="preserve">Humidity </w:t>
            </w:r>
            <w:r w:rsidRPr="00C613BE">
              <w:rPr>
                <w:rFonts w:ascii="Times New Roman" w:eastAsia="宋体" w:hAnsi="Times New Roman" w:cs="Times New Roman"/>
                <w:b/>
                <w:bCs/>
                <w:color w:val="000000"/>
                <w:kern w:val="0"/>
                <w:szCs w:val="21"/>
                <w14:ligatures w14:val="none"/>
              </w:rPr>
              <w:br/>
              <w:t>coef.</w:t>
            </w:r>
            <w:r w:rsidRPr="00C613BE">
              <w:rPr>
                <w:rFonts w:ascii="Times New Roman" w:eastAsia="宋体" w:hAnsi="Times New Roman" w:cs="Times New Roman"/>
                <w:b/>
                <w:bCs/>
                <w:color w:val="000000"/>
                <w:kern w:val="0"/>
                <w:szCs w:val="21"/>
                <w14:ligatures w14:val="none"/>
              </w:rPr>
              <w:br/>
              <w:t>[°C/(gkg</w:t>
            </w:r>
            <w:r w:rsidRPr="00C613BE">
              <w:rPr>
                <w:rFonts w:ascii="Times New Roman" w:eastAsia="宋体" w:hAnsi="Times New Roman" w:cs="Times New Roman"/>
                <w:b/>
                <w:bCs/>
                <w:color w:val="000000"/>
                <w:kern w:val="0"/>
                <w:szCs w:val="21"/>
                <w:vertAlign w:val="superscript"/>
                <w14:ligatures w14:val="none"/>
              </w:rPr>
              <w:t>-1</w:t>
            </w:r>
            <w:r w:rsidRPr="00C613BE">
              <w:rPr>
                <w:rFonts w:ascii="Times New Roman" w:eastAsia="宋体" w:hAnsi="Times New Roman" w:cs="Times New Roman"/>
                <w:b/>
                <w:bCs/>
                <w:color w:val="000000"/>
                <w:kern w:val="0"/>
                <w:szCs w:val="21"/>
                <w14:ligatures w14:val="none"/>
              </w:rPr>
              <w:t>)]</w:t>
            </w:r>
          </w:p>
        </w:tc>
      </w:tr>
      <w:tr w:rsidR="00AB5E18" w:rsidRPr="00C613BE" w14:paraId="7BCAB756" w14:textId="77777777" w:rsidTr="002C1EE1">
        <w:trPr>
          <w:trHeight w:val="263"/>
        </w:trPr>
        <w:tc>
          <w:tcPr>
            <w:tcW w:w="914" w:type="dxa"/>
            <w:tcBorders>
              <w:top w:val="single" w:sz="4" w:space="0" w:color="auto"/>
              <w:bottom w:val="single" w:sz="4" w:space="0" w:color="auto"/>
            </w:tcBorders>
            <w:noWrap/>
            <w:vAlign w:val="center"/>
            <w:hideMark/>
          </w:tcPr>
          <w:p w14:paraId="3E045E0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APAC</w:t>
            </w:r>
          </w:p>
        </w:tc>
        <w:tc>
          <w:tcPr>
            <w:tcW w:w="1068" w:type="dxa"/>
            <w:tcBorders>
              <w:top w:val="single" w:sz="4" w:space="0" w:color="auto"/>
              <w:bottom w:val="single" w:sz="4" w:space="0" w:color="auto"/>
            </w:tcBorders>
            <w:noWrap/>
            <w:vAlign w:val="center"/>
            <w:hideMark/>
          </w:tcPr>
          <w:p w14:paraId="4896EE88"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11.9</w:t>
            </w:r>
          </w:p>
        </w:tc>
        <w:tc>
          <w:tcPr>
            <w:tcW w:w="1068" w:type="dxa"/>
            <w:tcBorders>
              <w:top w:val="single" w:sz="4" w:space="0" w:color="auto"/>
              <w:bottom w:val="single" w:sz="4" w:space="0" w:color="auto"/>
            </w:tcBorders>
            <w:noWrap/>
            <w:vAlign w:val="center"/>
            <w:hideMark/>
          </w:tcPr>
          <w:p w14:paraId="6149AAA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62249AF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292" w:type="dxa"/>
            <w:tcBorders>
              <w:top w:val="single" w:sz="4" w:space="0" w:color="auto"/>
              <w:bottom w:val="single" w:sz="4" w:space="0" w:color="auto"/>
            </w:tcBorders>
            <w:noWrap/>
            <w:vAlign w:val="center"/>
            <w:hideMark/>
          </w:tcPr>
          <w:p w14:paraId="3158D3F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52</w:t>
            </w:r>
          </w:p>
        </w:tc>
        <w:tc>
          <w:tcPr>
            <w:tcW w:w="922" w:type="dxa"/>
            <w:tcBorders>
              <w:top w:val="single" w:sz="4" w:space="0" w:color="auto"/>
              <w:bottom w:val="single" w:sz="4" w:space="0" w:color="auto"/>
            </w:tcBorders>
            <w:noWrap/>
            <w:vAlign w:val="center"/>
            <w:hideMark/>
          </w:tcPr>
          <w:p w14:paraId="37C857F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0.73</w:t>
            </w:r>
          </w:p>
        </w:tc>
        <w:tc>
          <w:tcPr>
            <w:tcW w:w="1291" w:type="dxa"/>
            <w:tcBorders>
              <w:top w:val="single" w:sz="4" w:space="0" w:color="auto"/>
              <w:bottom w:val="single" w:sz="4" w:space="0" w:color="auto"/>
            </w:tcBorders>
            <w:noWrap/>
            <w:vAlign w:val="center"/>
            <w:hideMark/>
          </w:tcPr>
          <w:p w14:paraId="1BE453AA"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0.014</w:t>
            </w:r>
          </w:p>
        </w:tc>
        <w:tc>
          <w:tcPr>
            <w:tcW w:w="1179" w:type="dxa"/>
            <w:tcBorders>
              <w:top w:val="single" w:sz="4" w:space="0" w:color="auto"/>
              <w:bottom w:val="single" w:sz="4" w:space="0" w:color="auto"/>
            </w:tcBorders>
            <w:noWrap/>
            <w:vAlign w:val="center"/>
            <w:hideMark/>
          </w:tcPr>
          <w:p w14:paraId="216A509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-0.12</w:t>
            </w:r>
          </w:p>
        </w:tc>
        <w:tc>
          <w:tcPr>
            <w:tcW w:w="1276" w:type="dxa"/>
            <w:tcBorders>
              <w:top w:val="single" w:sz="4" w:space="0" w:color="auto"/>
              <w:bottom w:val="single" w:sz="4" w:space="0" w:color="auto"/>
            </w:tcBorders>
            <w:noWrap/>
            <w:vAlign w:val="center"/>
            <w:hideMark/>
          </w:tcPr>
          <w:p w14:paraId="06A179C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0.036</w:t>
            </w:r>
          </w:p>
        </w:tc>
      </w:tr>
      <w:tr w:rsidR="00AB5E18" w:rsidRPr="00C613BE" w14:paraId="28947D63" w14:textId="77777777" w:rsidTr="002C1EE1">
        <w:trPr>
          <w:trHeight w:val="263"/>
        </w:trPr>
        <w:tc>
          <w:tcPr>
            <w:tcW w:w="914" w:type="dxa"/>
            <w:tcBorders>
              <w:top w:val="single" w:sz="4" w:space="0" w:color="auto"/>
              <w:bottom w:val="single" w:sz="4" w:space="0" w:color="auto"/>
            </w:tcBorders>
            <w:noWrap/>
            <w:vAlign w:val="center"/>
            <w:hideMark/>
          </w:tcPr>
          <w:p w14:paraId="2AE866D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Europe</w:t>
            </w:r>
          </w:p>
        </w:tc>
        <w:tc>
          <w:tcPr>
            <w:tcW w:w="1068" w:type="dxa"/>
            <w:tcBorders>
              <w:top w:val="single" w:sz="4" w:space="0" w:color="auto"/>
              <w:bottom w:val="single" w:sz="4" w:space="0" w:color="auto"/>
            </w:tcBorders>
            <w:noWrap/>
            <w:vAlign w:val="center"/>
            <w:hideMark/>
          </w:tcPr>
          <w:p w14:paraId="30BDFEA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068" w:type="dxa"/>
            <w:tcBorders>
              <w:top w:val="single" w:sz="4" w:space="0" w:color="auto"/>
              <w:bottom w:val="single" w:sz="4" w:space="0" w:color="auto"/>
            </w:tcBorders>
            <w:noWrap/>
            <w:vAlign w:val="center"/>
            <w:hideMark/>
          </w:tcPr>
          <w:p w14:paraId="03E01203"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bottom w:val="single" w:sz="4" w:space="0" w:color="auto"/>
            </w:tcBorders>
            <w:noWrap/>
            <w:vAlign w:val="center"/>
            <w:hideMark/>
          </w:tcPr>
          <w:p w14:paraId="461FA46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116</w:t>
            </w:r>
          </w:p>
        </w:tc>
        <w:tc>
          <w:tcPr>
            <w:tcW w:w="1292" w:type="dxa"/>
            <w:tcBorders>
              <w:top w:val="single" w:sz="4" w:space="0" w:color="auto"/>
              <w:bottom w:val="single" w:sz="4" w:space="0" w:color="auto"/>
            </w:tcBorders>
            <w:noWrap/>
            <w:vAlign w:val="center"/>
            <w:hideMark/>
          </w:tcPr>
          <w:p w14:paraId="46F3D14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16</w:t>
            </w:r>
          </w:p>
        </w:tc>
        <w:tc>
          <w:tcPr>
            <w:tcW w:w="922" w:type="dxa"/>
            <w:tcBorders>
              <w:top w:val="single" w:sz="4" w:space="0" w:color="auto"/>
              <w:bottom w:val="single" w:sz="4" w:space="0" w:color="auto"/>
            </w:tcBorders>
            <w:noWrap/>
            <w:vAlign w:val="center"/>
            <w:hideMark/>
          </w:tcPr>
          <w:p w14:paraId="12B1397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0.62</w:t>
            </w:r>
          </w:p>
        </w:tc>
        <w:tc>
          <w:tcPr>
            <w:tcW w:w="1291" w:type="dxa"/>
            <w:tcBorders>
              <w:top w:val="single" w:sz="4" w:space="0" w:color="auto"/>
              <w:bottom w:val="single" w:sz="4" w:space="0" w:color="auto"/>
            </w:tcBorders>
            <w:noWrap/>
            <w:vAlign w:val="center"/>
            <w:hideMark/>
          </w:tcPr>
          <w:p w14:paraId="33F5359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0.019</w:t>
            </w:r>
          </w:p>
        </w:tc>
        <w:tc>
          <w:tcPr>
            <w:tcW w:w="1179" w:type="dxa"/>
            <w:tcBorders>
              <w:top w:val="single" w:sz="4" w:space="0" w:color="auto"/>
              <w:bottom w:val="single" w:sz="4" w:space="0" w:color="auto"/>
            </w:tcBorders>
            <w:noWrap/>
            <w:vAlign w:val="center"/>
            <w:hideMark/>
          </w:tcPr>
          <w:p w14:paraId="6115824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-0.13</w:t>
            </w:r>
          </w:p>
        </w:tc>
        <w:tc>
          <w:tcPr>
            <w:tcW w:w="1276" w:type="dxa"/>
            <w:tcBorders>
              <w:top w:val="single" w:sz="4" w:space="0" w:color="auto"/>
              <w:bottom w:val="single" w:sz="4" w:space="0" w:color="auto"/>
            </w:tcBorders>
            <w:noWrap/>
            <w:vAlign w:val="center"/>
            <w:hideMark/>
          </w:tcPr>
          <w:p w14:paraId="1134906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0.032</w:t>
            </w:r>
          </w:p>
        </w:tc>
      </w:tr>
      <w:tr w:rsidR="00AB5E18" w:rsidRPr="00C613BE" w14:paraId="45A2769F" w14:textId="77777777" w:rsidTr="002C1EE1">
        <w:trPr>
          <w:trHeight w:val="263"/>
        </w:trPr>
        <w:tc>
          <w:tcPr>
            <w:tcW w:w="914" w:type="dxa"/>
            <w:tcBorders>
              <w:top w:val="single" w:sz="4" w:space="0" w:color="auto"/>
              <w:bottom w:val="single" w:sz="4" w:space="0" w:color="auto"/>
            </w:tcBorders>
            <w:noWrap/>
            <w:vAlign w:val="center"/>
            <w:hideMark/>
          </w:tcPr>
          <w:p w14:paraId="639AFAC1"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US</w:t>
            </w:r>
          </w:p>
        </w:tc>
        <w:tc>
          <w:tcPr>
            <w:tcW w:w="1068" w:type="dxa"/>
            <w:tcBorders>
              <w:top w:val="single" w:sz="4" w:space="0" w:color="auto"/>
              <w:bottom w:val="single" w:sz="4" w:space="0" w:color="auto"/>
            </w:tcBorders>
            <w:noWrap/>
            <w:vAlign w:val="center"/>
            <w:hideMark/>
          </w:tcPr>
          <w:p w14:paraId="4B92BC5E"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9.7</w:t>
            </w:r>
          </w:p>
        </w:tc>
        <w:tc>
          <w:tcPr>
            <w:tcW w:w="1068" w:type="dxa"/>
            <w:tcBorders>
              <w:top w:val="single" w:sz="4" w:space="0" w:color="auto"/>
              <w:bottom w:val="single" w:sz="4" w:space="0" w:color="auto"/>
            </w:tcBorders>
            <w:noWrap/>
            <w:vAlign w:val="center"/>
            <w:hideMark/>
          </w:tcPr>
          <w:p w14:paraId="57513E76"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18.8</w:t>
            </w:r>
          </w:p>
        </w:tc>
        <w:tc>
          <w:tcPr>
            <w:tcW w:w="1292" w:type="dxa"/>
            <w:tcBorders>
              <w:top w:val="single" w:sz="4" w:space="0" w:color="auto"/>
              <w:bottom w:val="single" w:sz="4" w:space="0" w:color="auto"/>
            </w:tcBorders>
            <w:noWrap/>
            <w:vAlign w:val="center"/>
            <w:hideMark/>
          </w:tcPr>
          <w:p w14:paraId="62D60650"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129</w:t>
            </w:r>
          </w:p>
        </w:tc>
        <w:tc>
          <w:tcPr>
            <w:tcW w:w="1292" w:type="dxa"/>
            <w:tcBorders>
              <w:top w:val="single" w:sz="4" w:space="0" w:color="auto"/>
              <w:bottom w:val="single" w:sz="4" w:space="0" w:color="auto"/>
            </w:tcBorders>
            <w:noWrap/>
            <w:vAlign w:val="center"/>
            <w:hideMark/>
          </w:tcPr>
          <w:p w14:paraId="47BD15E9"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59</w:t>
            </w:r>
          </w:p>
        </w:tc>
        <w:tc>
          <w:tcPr>
            <w:tcW w:w="922" w:type="dxa"/>
            <w:tcBorders>
              <w:top w:val="single" w:sz="4" w:space="0" w:color="auto"/>
              <w:bottom w:val="single" w:sz="4" w:space="0" w:color="auto"/>
            </w:tcBorders>
            <w:noWrap/>
            <w:vAlign w:val="center"/>
            <w:hideMark/>
          </w:tcPr>
          <w:p w14:paraId="3BFE663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0.35</w:t>
            </w:r>
          </w:p>
        </w:tc>
        <w:tc>
          <w:tcPr>
            <w:tcW w:w="1291" w:type="dxa"/>
            <w:tcBorders>
              <w:top w:val="single" w:sz="4" w:space="0" w:color="auto"/>
              <w:bottom w:val="single" w:sz="4" w:space="0" w:color="auto"/>
            </w:tcBorders>
            <w:noWrap/>
            <w:vAlign w:val="center"/>
            <w:hideMark/>
          </w:tcPr>
          <w:p w14:paraId="29A4D66D"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0.011</w:t>
            </w:r>
          </w:p>
        </w:tc>
        <w:tc>
          <w:tcPr>
            <w:tcW w:w="1179" w:type="dxa"/>
            <w:tcBorders>
              <w:top w:val="single" w:sz="4" w:space="0" w:color="auto"/>
              <w:bottom w:val="single" w:sz="4" w:space="0" w:color="auto"/>
            </w:tcBorders>
            <w:noWrap/>
            <w:vAlign w:val="center"/>
            <w:hideMark/>
          </w:tcPr>
          <w:p w14:paraId="33C2EA24"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w:t>
            </w:r>
          </w:p>
        </w:tc>
        <w:tc>
          <w:tcPr>
            <w:tcW w:w="1276" w:type="dxa"/>
            <w:tcBorders>
              <w:top w:val="single" w:sz="4" w:space="0" w:color="auto"/>
              <w:bottom w:val="single" w:sz="4" w:space="0" w:color="auto"/>
            </w:tcBorders>
            <w:noWrap/>
            <w:vAlign w:val="center"/>
            <w:hideMark/>
          </w:tcPr>
          <w:p w14:paraId="579D390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0.022</w:t>
            </w:r>
          </w:p>
        </w:tc>
      </w:tr>
      <w:tr w:rsidR="00AB5E18" w:rsidRPr="00C613BE" w14:paraId="1792A55A" w14:textId="77777777" w:rsidTr="002C1EE1">
        <w:trPr>
          <w:trHeight w:val="263"/>
        </w:trPr>
        <w:tc>
          <w:tcPr>
            <w:tcW w:w="914" w:type="dxa"/>
            <w:tcBorders>
              <w:top w:val="single" w:sz="4" w:space="0" w:color="auto"/>
            </w:tcBorders>
            <w:noWrap/>
            <w:vAlign w:val="center"/>
            <w:hideMark/>
          </w:tcPr>
          <w:p w14:paraId="04AD95D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Others</w:t>
            </w:r>
          </w:p>
        </w:tc>
        <w:tc>
          <w:tcPr>
            <w:tcW w:w="1068" w:type="dxa"/>
            <w:tcBorders>
              <w:top w:val="single" w:sz="4" w:space="0" w:color="auto"/>
            </w:tcBorders>
            <w:noWrap/>
            <w:vAlign w:val="center"/>
            <w:hideMark/>
          </w:tcPr>
          <w:p w14:paraId="125B32E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11.9</w:t>
            </w:r>
          </w:p>
        </w:tc>
        <w:tc>
          <w:tcPr>
            <w:tcW w:w="1068" w:type="dxa"/>
            <w:tcBorders>
              <w:top w:val="single" w:sz="4" w:space="0" w:color="auto"/>
            </w:tcBorders>
            <w:noWrap/>
            <w:vAlign w:val="center"/>
            <w:hideMark/>
          </w:tcPr>
          <w:p w14:paraId="4FBC85CF"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20.4</w:t>
            </w:r>
          </w:p>
        </w:tc>
        <w:tc>
          <w:tcPr>
            <w:tcW w:w="1292" w:type="dxa"/>
            <w:tcBorders>
              <w:top w:val="single" w:sz="4" w:space="0" w:color="auto"/>
            </w:tcBorders>
            <w:noWrap/>
            <w:vAlign w:val="center"/>
            <w:hideMark/>
          </w:tcPr>
          <w:p w14:paraId="0E663164"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127</w:t>
            </w:r>
          </w:p>
        </w:tc>
        <w:tc>
          <w:tcPr>
            <w:tcW w:w="1292" w:type="dxa"/>
            <w:tcBorders>
              <w:top w:val="single" w:sz="4" w:space="0" w:color="auto"/>
            </w:tcBorders>
            <w:noWrap/>
            <w:vAlign w:val="center"/>
            <w:hideMark/>
          </w:tcPr>
          <w:p w14:paraId="01817EFB"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52</w:t>
            </w:r>
          </w:p>
        </w:tc>
        <w:tc>
          <w:tcPr>
            <w:tcW w:w="922" w:type="dxa"/>
            <w:tcBorders>
              <w:top w:val="single" w:sz="4" w:space="0" w:color="auto"/>
            </w:tcBorders>
            <w:noWrap/>
            <w:vAlign w:val="center"/>
            <w:hideMark/>
          </w:tcPr>
          <w:p w14:paraId="5FF118C1"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0.73</w:t>
            </w:r>
          </w:p>
        </w:tc>
        <w:tc>
          <w:tcPr>
            <w:tcW w:w="1291" w:type="dxa"/>
            <w:tcBorders>
              <w:top w:val="single" w:sz="4" w:space="0" w:color="auto"/>
            </w:tcBorders>
            <w:noWrap/>
            <w:vAlign w:val="center"/>
            <w:hideMark/>
          </w:tcPr>
          <w:p w14:paraId="3F4F9F72"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0.014</w:t>
            </w:r>
          </w:p>
        </w:tc>
        <w:tc>
          <w:tcPr>
            <w:tcW w:w="1179" w:type="dxa"/>
            <w:tcBorders>
              <w:top w:val="single" w:sz="4" w:space="0" w:color="auto"/>
            </w:tcBorders>
            <w:noWrap/>
            <w:vAlign w:val="center"/>
            <w:hideMark/>
          </w:tcPr>
          <w:p w14:paraId="6CA4BCF7"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-0.12</w:t>
            </w:r>
          </w:p>
        </w:tc>
        <w:tc>
          <w:tcPr>
            <w:tcW w:w="1276" w:type="dxa"/>
            <w:tcBorders>
              <w:top w:val="single" w:sz="4" w:space="0" w:color="auto"/>
            </w:tcBorders>
            <w:noWrap/>
            <w:vAlign w:val="center"/>
            <w:hideMark/>
          </w:tcPr>
          <w:p w14:paraId="06F246CC" w14:textId="77777777" w:rsidR="00AB5E18" w:rsidRPr="00C613BE" w:rsidRDefault="00AB5E18" w:rsidP="00C14660">
            <w:pPr>
              <w:widowControl/>
              <w:jc w:val="left"/>
              <w:rPr>
                <w:rFonts w:ascii="Times New Roman" w:eastAsia="宋体" w:hAnsi="Times New Roman" w:cs="Times New Roman"/>
                <w:color w:val="000000"/>
                <w:kern w:val="0"/>
                <w:szCs w:val="21"/>
                <w14:ligatures w14:val="none"/>
              </w:rPr>
            </w:pPr>
            <w:r w:rsidRPr="00C613BE">
              <w:rPr>
                <w:rFonts w:ascii="Times New Roman" w:eastAsia="宋体" w:hAnsi="Times New Roman" w:cs="Times New Roman"/>
                <w:color w:val="000000"/>
                <w:kern w:val="0"/>
                <w:szCs w:val="21"/>
                <w14:ligatures w14:val="none"/>
              </w:rPr>
              <w:t>0.036</w:t>
            </w:r>
          </w:p>
        </w:tc>
      </w:tr>
    </w:tbl>
    <w:p w14:paraId="1E83885D" w14:textId="060964CF" w:rsidR="0057048A" w:rsidRPr="00C613BE" w:rsidRDefault="002C1EE1" w:rsidP="00C14660">
      <w:pPr>
        <w:ind w:firstLineChars="200" w:firstLine="420"/>
        <w:rPr>
          <w:rFonts w:ascii="Times New Roman" w:eastAsia="宋体" w:hAnsi="Times New Roman" w:cs="Times New Roman"/>
          <w:i/>
          <w:iCs/>
          <w:szCs w:val="21"/>
        </w:rPr>
      </w:pPr>
      <w:r w:rsidRPr="00C613BE">
        <w:rPr>
          <w:rFonts w:ascii="Times New Roman" w:eastAsia="宋体" w:hAnsi="Times New Roman" w:cs="Times New Roman"/>
          <w:i/>
          <w:iCs/>
          <w:szCs w:val="21"/>
        </w:rPr>
        <w:t>APAC parameters were adopted as defaults for the "Others" region given their broad applicability and intermediate characteristics.</w:t>
      </w:r>
    </w:p>
    <w:p w14:paraId="3B93A3EC" w14:textId="653E6D36" w:rsidR="005E795D" w:rsidRPr="00C613BE" w:rsidRDefault="00B251D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electrical load typically comprises heating/cooling-related demand and base electricity demand (e.g., lighting, appliances) independent of thermal needs. Given available heating/cooling demand data for islands, only base electricity demand was modeled. For modeling simplicity, this base demand was decomposed into illumination-dependent lighting load and time-varying activity-dependent load</w:t>
      </w:r>
      <w:r w:rsidR="00531C80"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{"citationID":"JkJvzcXB","properties":{"formattedCitation":"\\super 21\\nosupersub{}","plainCitation":"21","noteIndex":0},"citationItems":[{"id":320,"uris":["http://zotero.org/users/16842078/items/FZC4V5EL"],"itemData":{"id":320,"type":"article-journal","abstract":"This paper presents a model to simulate the electricity demand of a single household consisting of multiple individuals. The total consumption is divided into four main categories, namely cold appliances, heating, ventilation, and air conditioning, lighting, and energy consumed by household members’ activities. The ﬁrst three components are modeled using engineering physically-based models, while the activity patterns of individuals are modeled using a heterogeneous Markov chain. Using data collected by the U.S. Bureau of Labor Statistics, a case study for an average American household is developed. The data are used to conduct an in-sample validation of the modeled activities and a rigorous statistical validation of the predicted electricity demand against metered data is provided. The results show highly realistic patterns that capture annual and diurnal variations, load ﬂuctuations, and diversity between household conﬁguration, location, and size.","container-title":"Applied Energy","DOI":"10.1016/j.apenergy.2013.02.057","ISSN":"03062619","journalAbbreviation":"Applied Energy","language":"en","page":"465-473","source":"DOI.org (Crossref)","title":"A highly resolved modeling technique to simulate residential power demand","volume":"107","author":[{"family":"Muratori","given":"Matteo"},{"family":"Roberts","given":"Matthew C."},{"family":"Sioshansi","given":"Ramteen"},{"family":"Marano","given":"Vincenzo"},{"family":"Rizzoni","given":"Giorgio"}],"issued":{"date-parts":[["2013",7]]}}}],"schema":"https://github.com/citation-style-language/schema/raw/master/csl-citation.json"} </w:instrText>
      </w:r>
      <w:r w:rsidR="00531C80"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21</w:t>
      </w:r>
      <w:r w:rsidR="00531C80" w:rsidRPr="00C613BE">
        <w:rPr>
          <w:rFonts w:ascii="Times New Roman" w:eastAsia="宋体" w:hAnsi="Times New Roman" w:cs="Times New Roman"/>
          <w:szCs w:val="21"/>
        </w:rPr>
        <w:fldChar w:fldCharType="end"/>
      </w:r>
      <w:r w:rsidR="00531C80"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 Detailed modeling procedures are described in Supplementary Note 2.</w:t>
      </w:r>
    </w:p>
    <w:p w14:paraId="7D4A02CF" w14:textId="77777777" w:rsidR="00531C80" w:rsidRPr="00C613BE" w:rsidRDefault="00531C80"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Island Selection Criteria</w:t>
      </w:r>
    </w:p>
    <w:p w14:paraId="4DB899AF" w14:textId="7C73E853" w:rsidR="00531C80" w:rsidRPr="00C613BE" w:rsidRDefault="00531C80"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We selected 2015 global islands meeting these criteria: 1) Inhabited (ensuring socioeconomic relevance); 2) Minimum area ≥10 km² (enabling renewable infrastructure); 3) Geographical </w:t>
      </w:r>
      <w:r w:rsidRPr="00C613BE">
        <w:rPr>
          <w:rFonts w:ascii="Times New Roman" w:eastAsia="宋体" w:hAnsi="Times New Roman" w:cs="Times New Roman"/>
          <w:szCs w:val="21"/>
        </w:rPr>
        <w:lastRenderedPageBreak/>
        <w:t xml:space="preserve">isolation ≥10 km from mainland (minimizing continental influence); 4) Population &lt;3.5 million (excluding mainland-like energy systems)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{"citationID":"VSQ9JUio","properties":{"formattedCitation":"\\super 22\\nosupersub{}","plainCitation":"22","noteIndex":0},"citationItems":[{"id":322,"uris":["http://zotero.org/users/16842078/items/JV93X3SN"],"itemData":{"id":322,"type":"article-journal","abstract":"In terms of energy supply, the vast majority of populated islands depends on fossil fuels. These are normally not locally available on the islands. Because of the increasing proﬁtability of renewable energies and a growing environmental awareness, more and more islands are breaking away from the conventional energy supply and are reinforcing the use of renewable energies. An energy supply system proven successful on one island could also be successfully implemented on another island. For this, the second island has to have similar conditions for the use of renewable energies. This study classiﬁes the global islands with the use of cluster analysis. Input variables of the performed cluster analysis are climatic as well as physical and socio-economic parameters. In total 1087 islands are classiﬁed. Finally, ten main clusters of islands could be pointed out. These clusters contain regional and global spread groups of islands. The result offers the possibility to identify similar islands concerning the implementation of RES. Therefore, it supports the transfer of proven, well-working concepts and the direct adoption of these concepts by suitable islands. Furthermore, islands which have especially high potentials for the use of a speciﬁc renewable energy source can be easily recognized.","container-title":"Applied Energy","DOI":"10.1016/j.apenergy.2016.05.018","ISSN":"03062619","journalAbbreviation":"Applied Energy","language":"en","page":"251-258","source":"DOI.org (Crossref)","title":"Classification of global island regarding the opportunity of using RES","volume":"175","author":[{"family":"Meschede","given":"Henning"},{"family":"Holzapfel","given":"Peter"},{"family":"Kadelbach","given":"Florian"},{"family":"Hesselbach","given":"Jens"}],"issued":{"date-parts":[["2016",8]]}}}],"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22</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Population data came from</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{"citationID":"5P4oOyzo","properties":{"formattedCitation":"\\super 23\\nosupersub{}","plainCitation":"23","noteIndex":0},"citationItems":[{"id":328,"uris":["http://zotero.org/users/16842078/items/FE9RDUP5"],"itemData":{"id":328,"type":"dataset","DOI":"https://doi.org/10.48690/1523378","publisher":"Oak Ridge National Laboratory.","title":"LandScan Global 2020 [Data set]","author":[{"literal":"Rose, A., McKee, J., Sims, K., Bright, E., Reith, A., &amp; Urban, M."}],"issued":{"date-parts":[["2021"]]}}}],"schema":"https://github.com/citation-style-language/schema/raw/master/csl-citation.json"}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23</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xml:space="preserve">; island area and mainland distance from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{"citationID":"KjeX1Xho","properties":{"formattedCitation":"\\super 24\\nosupersub{}","plainCitation":"24","noteIndex":0},"citationItems":[{"id":330,"uris":["http://zotero.org/users/16842078/items/7HQLT69Q"],"itemData":{"id":330,"type":"article-journal","abstract":"The Earth’s islands harbor a distinct, yet highly threatened, biological and cultural diversity that has been shaped by geographic isolation and unique environments. Island systems are key natural laboratories for testing theory in ecology and evolution. However, despite their potential usefulness for research, a quantitative description of island environments and an environmental classification are still lacking. Here, we prepare a standardized dataset and perform a comprehensive global environmental characterization for 17,883 of the world’s marine islands &gt;1 km\n              2\n              (</w:instrText>
      </w:r>
      <w:r w:rsidR="000A7AE0">
        <w:rPr>
          <w:rFonts w:ascii="Cambria Math" w:eastAsia="宋体" w:hAnsi="Cambria Math" w:cs="Cambria Math"/>
          <w:szCs w:val="21"/>
        </w:rPr>
        <w:instrText>∼</w:instrText>
      </w:r>
      <w:r w:rsidR="000A7AE0">
        <w:rPr>
          <w:rFonts w:ascii="Times New Roman" w:eastAsia="宋体" w:hAnsi="Times New Roman" w:cs="Times New Roman"/>
          <w:szCs w:val="21"/>
        </w:rPr>
        <w:instrText xml:space="preserve">98% of total island area). We consider area, temperature, precipitation, seasonality in temperature and precipitation, past climate change velocity, elevation, isolation, and past connectivity—key island characteristics and drivers of ecosystem processes. We find that islands are significantly cooler, wetter, and less seasonal than mainlands. Constrained by their limited area, they show less elevational heterogeneity. Wet temperate climates are more prevalent on islands, whereas desert climates are comparatively rare. We use ordination and clustering to characterize islands in multidimensional environmental space and to delimit island ecoregions, which provides unique insights into the environmental configuration and diversity of the world’s islands. Combining ordination and classification together with global environmental data in a common framework opens up avenues for a more integrative use of islands in biogeography, macroecology, and conservation. To showcase possible applications of the presented data, we predict vascular plant species richness for all 17,883 islands based on statistically derived environment–richness relationships.","container-title":"Proceedings of the National Academy of Sciences","DOI":"10.1073/pnas.1306309110","ISSN":"0027-8424, 1091-6490","issue":"38","journalAbbreviation":"Proc. Natl. Acad. Sci. U.S.A.","language":"en","page":"15307-15312","source":"DOI.org (Crossref)","title":"Bioclimatic and physical characterization of the world’s islands","volume":"110","author":[{"family":"Weigelt","given":"Patrick"},{"family":"Jetz","given":"Walter"},{"family":"Kreft","given":"Holger"}],"issued":{"date-parts":[["2013",9,17]]}}}],"schema":"https://github.com/citation-style-language/schema/raw/master/csl-citation.json"}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24</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w:t>
      </w:r>
    </w:p>
    <w:p w14:paraId="63F5FB04" w14:textId="77777777" w:rsidR="00BE612B" w:rsidRPr="00C613BE" w:rsidRDefault="00BE612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Climate Data for Hazard Modeling</w:t>
      </w:r>
    </w:p>
    <w:p w14:paraId="5EC626B3" w14:textId="27F95FBB" w:rsidR="003122A5" w:rsidRPr="00C613BE" w:rsidRDefault="003122A5"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Typhoon hazards were modeled using 3-hourly near-surface wind speed data from MRI-AGCM3-2-S_highresSST (CMIP6, SSP585 scenario) </w:t>
      </w:r>
      <w:r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{"citationID":"tCgfEjSj","properties":{"formattedCitation":"\\super 25\\nosupersub{}","plainCitation":"25","noteIndex":0},"citationItems":[{"id":332,"uris":["http://zotero.org/users/16842078/items/S8HT2LLV"],"itemData":{"id":332,"type":"dataset","publisher":"World Data Center for Climate (WDCC) at DKRZ","title":"MRI MRI-AGCM3-2-H model output prepared for CMIP6 HighResMIP","URL":"https://hdl.handle.net/21.14106/82f8c3ccd7521a207862a18240db28723b0c6679","author":[{"literal":"Mizuta, Ryo; Yoshimura, Hiromasa; Ose, Tomoaki; Hosaka, Masahiro; Yukimoto, Seiji"}],"issued":{"date-parts":[["2023"]]}}}],"schema":"https://github.com/citation-style-language/schema/raw/master/csl-citation.json"} </w:instrText>
      </w:r>
      <w:r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25</w:t>
      </w:r>
      <w:r w:rsidRPr="00C613BE">
        <w:rPr>
          <w:rFonts w:ascii="Times New Roman" w:eastAsia="宋体" w:hAnsi="Times New Roman" w:cs="Times New Roman"/>
          <w:szCs w:val="21"/>
        </w:rPr>
        <w:fldChar w:fldCharType="end"/>
      </w:r>
      <w:r w:rsidRPr="00C613BE">
        <w:rPr>
          <w:rFonts w:ascii="Times New Roman" w:eastAsia="宋体" w:hAnsi="Times New Roman" w:cs="Times New Roman"/>
          <w:szCs w:val="21"/>
        </w:rPr>
        <w:t>, accessed via Earth System Grid Federation (ESGF). This high-resolution model demonstrates enhanced tropical cyclone simulation capability.</w:t>
      </w:r>
    </w:p>
    <w:p w14:paraId="6B131A47" w14:textId="77777777" w:rsidR="00C00FE3" w:rsidRPr="00C613BE" w:rsidRDefault="00C00FE3"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Bi-level Optimization Model</w:t>
      </w:r>
    </w:p>
    <w:p w14:paraId="3658E0F3" w14:textId="77777777" w:rsidR="00C00FE3" w:rsidRPr="00C613BE" w:rsidRDefault="00C00FE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A bi-level optimization framework was adopted to determine the minimum annualized cost for island energy system planning. This structure effectively balances long-term investment decisions with short-term operational scheduling.</w:t>
      </w:r>
    </w:p>
    <w:p w14:paraId="6DD8B270" w14:textId="5BC5B6D2" w:rsidR="00C00FE3" w:rsidRPr="00C613BE" w:rsidRDefault="00C00FE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The objective of the </w:t>
      </w:r>
      <w:r w:rsidR="0011682B" w:rsidRPr="00C613BE">
        <w:rPr>
          <w:rFonts w:ascii="Times New Roman" w:eastAsia="宋体" w:hAnsi="Times New Roman" w:cs="Times New Roman"/>
          <w:szCs w:val="21"/>
        </w:rPr>
        <w:t>upper-level model</w:t>
      </w:r>
      <w:r w:rsidRPr="00C613BE">
        <w:rPr>
          <w:rFonts w:ascii="Times New Roman" w:eastAsia="宋体" w:hAnsi="Times New Roman" w:cs="Times New Roman"/>
          <w:szCs w:val="21"/>
        </w:rPr>
        <w:t xml:space="preserve"> is to minimize the total annual cost of the energy system. This level determines the optimal configuration capacity of energy components for each island (e.g., PV, wind, wave, storage devices, and other conventional equipment). The decision variables are the installation capacities of all devices within the system. The objective function minimizes total cost, including equivalent annual investment cost and annual operational cost. The equivalent annual equipment investment cost is:</w:t>
      </w:r>
      <w:r w:rsidR="005E795D" w:rsidRPr="00C613BE">
        <w:rPr>
          <w:rFonts w:ascii="Times New Roman" w:eastAsia="宋体" w:hAnsi="Times New Roman" w:cs="Times New Roman"/>
          <w:szCs w:val="21"/>
        </w:rPr>
        <w:br/>
      </w:r>
      <m:oMathPara>
        <m:oMath>
          <m:eqArr>
            <m:eqArrPr>
              <m:maxDist m:val="1"/>
              <m:ctrlPr>
                <w:rPr>
                  <w:rFonts w:ascii="Cambria Math" w:eastAsia="宋体" w:hAnsi="Cambria Math" w:cs="Times New Roman"/>
                  <w:i/>
                  <w:szCs w:val="21"/>
                </w:rPr>
              </m:ctrlPr>
            </m:eqArrPr>
            <m:e>
              <m:r>
                <w:rPr>
                  <w:rFonts w:ascii="Cambria Math" w:eastAsia="宋体" w:hAnsi="Cambria Math" w:cs="Times New Roman"/>
                  <w:szCs w:val="21"/>
                </w:rPr>
                <m:t>min</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fName>
                <m:e>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sub>
                    <m:sup>
                      <m:r>
                        <w:rPr>
                          <w:rFonts w:ascii="Cambria Math" w:eastAsia="宋体" w:hAnsi="Cambria Math" w:cs="Times New Roman"/>
                          <w:szCs w:val="21"/>
                        </w:rPr>
                        <m:t>l</m:t>
                      </m:r>
                    </m:sup>
                    <m:e>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e>
                  </m:nary>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r</m:t>
                          </m:r>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num>
                    <m:den>
                      <m:sSup>
                        <m:sSupPr>
                          <m:ctrlPr>
                            <w:rPr>
                              <w:rFonts w:ascii="Cambria Math" w:eastAsia="宋体" w:hAnsi="Cambria Math" w:cs="Times New Roman"/>
                              <w:i/>
                              <w:szCs w:val="21"/>
                            </w:rPr>
                          </m:ctrlPr>
                        </m:sSupPr>
                        <m:e>
                          <m:d>
                            <m:dPr>
                              <m:ctrlPr>
                                <w:rPr>
                                  <w:rFonts w:ascii="Cambria Math" w:eastAsia="宋体" w:hAnsi="Cambria Math" w:cs="Times New Roman"/>
                                  <w:i/>
                                  <w:szCs w:val="21"/>
                                </w:rPr>
                              </m:ctrlPr>
                            </m:dPr>
                            <m:e>
                              <m:r>
                                <w:rPr>
                                  <w:rFonts w:ascii="Cambria Math" w:eastAsia="宋体" w:hAnsi="Cambria Math" w:cs="Times New Roman"/>
                                  <w:szCs w:val="21"/>
                                </w:rPr>
                                <m:t>1+r</m:t>
                              </m:r>
                            </m:e>
                          </m:d>
                        </m:e>
                        <m:sup>
                          <m:r>
                            <w:rPr>
                              <w:rFonts w:ascii="Cambria Math" w:eastAsia="宋体" w:hAnsi="Cambria Math" w:cs="Times New Roman"/>
                              <w:szCs w:val="21"/>
                            </w:rPr>
                            <m:t>y</m:t>
                          </m:r>
                        </m:sup>
                      </m:sSup>
                      <m:r>
                        <w:rPr>
                          <w:rFonts w:ascii="Cambria Math" w:eastAsia="宋体" w:hAnsi="Cambria Math" w:cs="Times New Roman"/>
                          <w:szCs w:val="21"/>
                        </w:rPr>
                        <m:t>-1</m:t>
                      </m:r>
                    </m:den>
                  </m:f>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1</m:t>
                  </m:r>
                </m:e>
              </m:d>
            </m:e>
          </m:eqArr>
        </m:oMath>
      </m:oMathPara>
    </w:p>
    <w:p w14:paraId="1B1A510C" w14:textId="6EF9F40C" w:rsidR="005E795D" w:rsidRPr="00C613BE" w:rsidRDefault="00C00FE3"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T</m:t>
            </m:r>
          </m:sub>
        </m:sSub>
      </m:oMath>
      <w:r w:rsidR="009402D7" w:rsidRPr="00C613BE">
        <w:rPr>
          <w:rFonts w:ascii="Times New Roman" w:eastAsia="宋体" w:hAnsi="Times New Roman" w:cs="Times New Roman"/>
          <w:szCs w:val="21"/>
        </w:rPr>
        <w:t xml:space="preserve"> is</w:t>
      </w:r>
      <w:r w:rsidRPr="00C613BE">
        <w:rPr>
          <w:rFonts w:ascii="Times New Roman" w:eastAsia="宋体" w:hAnsi="Times New Roman" w:cs="Times New Roman"/>
          <w:szCs w:val="21"/>
        </w:rPr>
        <w:t xml:space="preserve"> the annual equipment investment cost;</w:t>
      </w:r>
      <w:r w:rsidR="008C05CD" w:rsidRPr="00C613BE">
        <w:rPr>
          <w:rFonts w:ascii="Times New Roman" w:eastAsia="宋体" w:hAnsi="Times New Roman" w:cs="Times New Roman"/>
          <w:szCs w:val="21"/>
        </w:rPr>
        <w:t xml:space="preserve"> </w:t>
      </w:r>
      <m:oMath>
        <m:r>
          <w:rPr>
            <w:rFonts w:ascii="Cambria Math" w:eastAsia="宋体" w:hAnsi="Cambria Math" w:cs="Times New Roman"/>
            <w:szCs w:val="21"/>
          </w:rPr>
          <m:t>l</m:t>
        </m:r>
      </m:oMath>
      <w:r w:rsidR="008C05CD" w:rsidRPr="00C613BE">
        <w:rPr>
          <w:rFonts w:ascii="Times New Roman" w:eastAsia="宋体" w:hAnsi="Times New Roman" w:cs="Times New Roman"/>
          <w:szCs w:val="21"/>
        </w:rPr>
        <w:t xml:space="preserve"> is the total number of devices; </w:t>
      </w:r>
      <m:oMath>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oMath>
      <w:r w:rsidR="008C05CD" w:rsidRPr="00C613BE">
        <w:rPr>
          <w:rFonts w:ascii="Times New Roman" w:eastAsia="宋体" w:hAnsi="Times New Roman" w:cs="Times New Roman"/>
          <w:szCs w:val="21"/>
        </w:rPr>
        <w:t xml:space="preserve"> is the configuration capacity of device </w:t>
      </w:r>
      <m:oMath>
        <m:r>
          <w:rPr>
            <w:rFonts w:ascii="Cambria Math" w:eastAsia="宋体" w:hAnsi="Cambria Math" w:cs="Times New Roman"/>
            <w:szCs w:val="21"/>
          </w:rPr>
          <m:t>i</m:t>
        </m:r>
      </m:oMath>
      <w:r w:rsidR="008C05CD" w:rsidRPr="00C613BE">
        <w:rPr>
          <w:rFonts w:ascii="Times New Roman" w:eastAsia="宋体" w:hAnsi="Times New Roman" w:cs="Times New Roman"/>
          <w:szCs w:val="21"/>
        </w:rPr>
        <w:t xml:space="preserve">; </w:t>
      </w:r>
      <m:oMath>
        <m:sSub>
          <m:sSubPr>
            <m:ctrlPr>
              <w:rPr>
                <w:rFonts w:ascii="Cambria Math" w:eastAsia="宋体" w:hAnsi="Cambria Math" w:cs="Times New Roman"/>
                <w:szCs w:val="21"/>
              </w:rPr>
            </m:ctrlPr>
          </m:sSubPr>
          <m:e>
            <m:r>
              <w:rPr>
                <w:rFonts w:ascii="Cambria Math" w:eastAsia="宋体" w:hAnsi="Cambria Math" w:cs="Times New Roman"/>
                <w:szCs w:val="21"/>
              </w:rPr>
              <m:t>c</m:t>
            </m:r>
          </m:e>
          <m:sub>
            <m:r>
              <w:rPr>
                <w:rFonts w:ascii="Cambria Math" w:eastAsia="宋体" w:hAnsi="Cambria Math" w:cs="Times New Roman"/>
                <w:szCs w:val="21"/>
              </w:rPr>
              <m:t>i</m:t>
            </m:r>
          </m:sub>
        </m:sSub>
      </m:oMath>
      <w:r w:rsidR="005E795D" w:rsidRPr="00C613BE">
        <w:rPr>
          <w:rFonts w:ascii="Times New Roman" w:eastAsia="宋体" w:hAnsi="Times New Roman" w:cs="Times New Roman"/>
          <w:szCs w:val="21"/>
        </w:rPr>
        <w:t xml:space="preserve"> </w:t>
      </w:r>
      <w:r w:rsidR="006851F1" w:rsidRPr="00C613BE">
        <w:rPr>
          <w:rFonts w:ascii="Times New Roman" w:eastAsia="宋体" w:hAnsi="Times New Roman" w:cs="Times New Roman"/>
          <w:szCs w:val="21"/>
        </w:rPr>
        <w:t>is the unit installation price of device </w:t>
      </w:r>
      <m:oMath>
        <m:r>
          <w:rPr>
            <w:rFonts w:ascii="Cambria Math" w:eastAsia="宋体" w:hAnsi="Cambria Math" w:cs="Times New Roman"/>
            <w:szCs w:val="21"/>
          </w:rPr>
          <m:t>i</m:t>
        </m:r>
      </m:oMath>
      <w:r w:rsidR="006851F1" w:rsidRPr="00C613BE">
        <w:rPr>
          <w:rFonts w:ascii="Times New Roman" w:eastAsia="宋体" w:hAnsi="Times New Roman" w:cs="Times New Roman"/>
          <w:szCs w:val="21"/>
        </w:rPr>
        <w:t>; </w:t>
      </w:r>
      <m:oMath>
        <m:r>
          <w:rPr>
            <w:rFonts w:ascii="Cambria Math" w:eastAsia="宋体" w:hAnsi="Cambria Math" w:cs="Times New Roman"/>
            <w:szCs w:val="21"/>
          </w:rPr>
          <m:t>r</m:t>
        </m:r>
      </m:oMath>
      <w:r w:rsidR="006851F1" w:rsidRPr="00C613BE">
        <w:rPr>
          <w:rFonts w:ascii="Times New Roman" w:eastAsia="宋体" w:hAnsi="Times New Roman" w:cs="Times New Roman"/>
          <w:szCs w:val="21"/>
        </w:rPr>
        <w:t xml:space="preserve"> is the annual discount rate; </w:t>
      </w:r>
      <m:oMath>
        <m:r>
          <w:rPr>
            <w:rFonts w:ascii="Cambria Math" w:eastAsia="宋体" w:hAnsi="Cambria Math" w:cs="Times New Roman"/>
            <w:szCs w:val="21"/>
          </w:rPr>
          <m:t>y</m:t>
        </m:r>
      </m:oMath>
      <w:r w:rsidR="006851F1" w:rsidRPr="00C613BE">
        <w:rPr>
          <w:rFonts w:ascii="Times New Roman" w:eastAsia="宋体" w:hAnsi="Times New Roman" w:cs="Times New Roman"/>
          <w:szCs w:val="21"/>
        </w:rPr>
        <w:t xml:space="preserve"> is the equipment lifespan.</w:t>
      </w:r>
      <w:r w:rsidR="0011682B" w:rsidRPr="00C613BE">
        <w:rPr>
          <w:rFonts w:ascii="Times New Roman" w:eastAsia="宋体" w:hAnsi="Times New Roman" w:cs="Times New Roman"/>
          <w:szCs w:val="21"/>
        </w:rPr>
        <w:t xml:space="preserve"> The annual operational cost is defined in the lower-level model.</w:t>
      </w:r>
    </w:p>
    <w:p w14:paraId="470CD5FF" w14:textId="60BC18A7" w:rsidR="005E795D" w:rsidRPr="00C613BE" w:rsidRDefault="0011682B"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upper-level model must satisfy the load demand constraint:</w:t>
      </w:r>
    </w:p>
    <w:p w14:paraId="2FD1257B" w14:textId="4CACCBCB" w:rsidR="00080BF5"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max</m:t>
                  </m:r>
                </m:fName>
                <m:e>
                  <m:d>
                    <m:dPr>
                      <m:ctrlPr>
                        <w:rPr>
                          <w:rFonts w:ascii="Cambria Math" w:eastAsia="宋体" w:hAnsi="Cambria Math" w:cs="Times New Roman"/>
                          <w:i/>
                          <w:szCs w:val="21"/>
                        </w:rPr>
                      </m:ctrlPr>
                    </m:dPr>
                    <m:e>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m,load</m:t>
                              </m:r>
                            </m:sub>
                          </m:sSub>
                        </m:e>
                      </m:nary>
                    </m:e>
                  </m:d>
                </m:e>
              </m:func>
              <m:r>
                <w:rPr>
                  <w:rFonts w:ascii="Cambria Math" w:eastAsia="宋体" w:hAnsi="Cambria Math" w:cs="Times New Roman"/>
                  <w:szCs w:val="21"/>
                </w:rPr>
                <m:t xml:space="preserve">≤ </m:t>
              </m:r>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m,power</m:t>
                      </m:r>
                    </m:sub>
                  </m:sSub>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2</m:t>
                  </m:r>
                </m:e>
              </m:d>
            </m:e>
          </m:eqArr>
        </m:oMath>
      </m:oMathPara>
    </w:p>
    <w:p w14:paraId="25DA9D00" w14:textId="5D36A667" w:rsidR="00080BF5" w:rsidRPr="00C613BE" w:rsidRDefault="00420029"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represents electricity, heating, and cooling systems;</w:t>
      </w:r>
      <m:oMath>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m,load</m:t>
                </m:r>
              </m:sub>
            </m:sSub>
          </m:e>
        </m:nary>
      </m:oMath>
      <w:r w:rsidRPr="00C613BE">
        <w:rPr>
          <w:rFonts w:ascii="Times New Roman" w:eastAsia="宋体" w:hAnsi="Times New Roman" w:cs="Times New Roman"/>
          <w:szCs w:val="21"/>
        </w:rPr>
        <w:t xml:space="preserve"> is the total load demand; </w:t>
      </w:r>
      <m:oMath>
        <m:nary>
          <m:naryPr>
            <m:chr m:val="∑"/>
            <m:limLoc m:val="undOvr"/>
            <m:supHide m:val="1"/>
            <m:ctrlPr>
              <w:rPr>
                <w:rFonts w:ascii="Cambria Math" w:eastAsia="宋体" w:hAnsi="Cambria Math" w:cs="Times New Roman"/>
                <w:i/>
                <w:szCs w:val="21"/>
              </w:rPr>
            </m:ctrlPr>
          </m:naryPr>
          <m:sub>
            <m:r>
              <w:rPr>
                <w:rFonts w:ascii="Cambria Math" w:eastAsia="宋体" w:hAnsi="Cambria Math" w:cs="Times New Roman"/>
                <w:szCs w:val="21"/>
              </w:rPr>
              <m:t>m</m:t>
            </m:r>
          </m:sub>
          <m:sup/>
          <m:e>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m,power</m:t>
                </m:r>
              </m:sub>
            </m:sSub>
          </m:e>
        </m:nary>
      </m:oMath>
      <w:r w:rsidRPr="00C613BE">
        <w:rPr>
          <w:rFonts w:ascii="Times New Roman" w:hAnsi="Times New Roman" w:cs="Times New Roman"/>
        </w:rPr>
        <w:t xml:space="preserve"> </w:t>
      </w:r>
      <w:r w:rsidRPr="00C613BE">
        <w:rPr>
          <w:rFonts w:ascii="Times New Roman" w:eastAsia="宋体" w:hAnsi="Times New Roman" w:cs="Times New Roman"/>
          <w:szCs w:val="21"/>
        </w:rPr>
        <w:t>is the total configured capacity.</w:t>
      </w:r>
    </w:p>
    <w:p w14:paraId="76B88AE9" w14:textId="77777777" w:rsidR="00420029" w:rsidRPr="00C613BE" w:rsidRDefault="00420029"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The objective of lower-level model is to minimize the total annual operational cost of the energy system. Decision variables are the real-time output of system components. Annual operational cost includes LNG purchase cost, equipment maintenance cost, renewable curtailment penalty, and load shedding penalty:</w:t>
      </w:r>
    </w:p>
    <w:p w14:paraId="0F592371" w14:textId="74BFA20C" w:rsidR="00A3677E"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sSub>
                    <m:sSubPr>
                      <m:ctrlPr>
                        <w:rPr>
                          <w:rFonts w:ascii="Cambria Math" w:eastAsia="宋体" w:hAnsi="Cambria Math" w:cs="Times New Roman"/>
                          <w:i/>
                          <w:szCs w:val="21"/>
                        </w:rPr>
                      </m:ctrlPr>
                    </m:sSubPr>
                    <m:e>
                      <m:r>
                        <w:rPr>
                          <w:rFonts w:ascii="Cambria Math" w:eastAsia="宋体" w:hAnsi="Cambria Math" w:cs="Times New Roman"/>
                          <w:szCs w:val="21"/>
                        </w:rPr>
                        <m:t>C</m:t>
                      </m:r>
                      <m:ctrlPr>
                        <w:rPr>
                          <w:rFonts w:ascii="Cambria Math" w:eastAsia="宋体" w:hAnsi="Cambria Math" w:cs="Times New Roman"/>
                          <w:szCs w:val="21"/>
                        </w:rPr>
                      </m:ctrlPr>
                    </m:e>
                    <m:sub>
                      <m:r>
                        <w:rPr>
                          <w:rFonts w:ascii="Cambria Math" w:eastAsia="宋体" w:hAnsi="Cambria Math" w:cs="Times New Roman"/>
                          <w:szCs w:val="21"/>
                        </w:rPr>
                        <m:t>Y</m:t>
                      </m:r>
                    </m:sub>
                  </m:sSub>
                </m:e>
              </m:func>
              <m:r>
                <w:rPr>
                  <w:rFonts w:ascii="Cambria Math" w:eastAsia="宋体" w:hAnsi="Cambria Math" w:cs="Times New Roman"/>
                  <w:szCs w:val="21"/>
                </w:rPr>
                <m:t>=</m:t>
              </m:r>
              <m:func>
                <m:funcPr>
                  <m:ctrlPr>
                    <w:rPr>
                      <w:rFonts w:ascii="Cambria Math" w:eastAsia="宋体" w:hAnsi="Cambria Math" w:cs="Times New Roman"/>
                      <w:szCs w:val="21"/>
                    </w:rPr>
                  </m:ctrlPr>
                </m:funcPr>
                <m:fName>
                  <m:r>
                    <m:rPr>
                      <m:sty m:val="p"/>
                    </m:rPr>
                    <w:rPr>
                      <w:rFonts w:ascii="Cambria Math" w:eastAsia="宋体" w:hAnsi="Cambria Math" w:cs="Times New Roman"/>
                      <w:szCs w:val="21"/>
                    </w:rPr>
                    <m:t>min</m:t>
                  </m:r>
                  <m:ctrlPr>
                    <w:rPr>
                      <w:rFonts w:ascii="Cambria Math" w:eastAsia="宋体" w:hAnsi="Cambria Math" w:cs="Times New Roman"/>
                      <w:i/>
                      <w:szCs w:val="21"/>
                    </w:rPr>
                  </m:ctrlPr>
                </m:fName>
                <m:e>
                  <m:d>
                    <m:dPr>
                      <m:ctrlPr>
                        <w:rPr>
                          <w:rFonts w:ascii="Cambria Math" w:eastAsia="宋体" w:hAnsi="Cambria Math" w:cs="Times New Roman"/>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ctrlPr>
                        <w:rPr>
                          <w:rFonts w:ascii="Cambria Math" w:eastAsia="宋体" w:hAnsi="Cambria Math" w:cs="Times New Roman"/>
                          <w:i/>
                          <w:szCs w:val="21"/>
                        </w:rPr>
                      </m:ctrlPr>
                    </m:e>
                  </m:d>
                  <m:r>
                    <w:rPr>
                      <w:rFonts w:ascii="Cambria Math" w:eastAsia="宋体" w:hAnsi="Cambria Math" w:cs="Times New Roman"/>
                      <w:szCs w:val="21"/>
                    </w:rPr>
                    <m:t xml:space="preserve"> </m:t>
                  </m:r>
                </m:e>
              </m:func>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3</m:t>
                  </m:r>
                </m:e>
              </m:d>
            </m:e>
          </m:eqArr>
        </m:oMath>
      </m:oMathPara>
    </w:p>
    <w:p w14:paraId="51D5415C" w14:textId="5EE4E494" w:rsidR="00486730"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r>
                <w:rPr>
                  <w:rFonts w:ascii="Cambria Math" w:eastAsia="宋体" w:hAnsi="Cambria Math" w:cs="Times New Roman"/>
                  <w:szCs w:val="21"/>
                </w:rPr>
                <m:t>=</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t=1</m:t>
                  </m:r>
                </m:sub>
                <m:sup>
                  <m:r>
                    <w:rPr>
                      <w:rFonts w:ascii="Cambria Math" w:eastAsia="宋体" w:hAnsi="Cambria Math" w:cs="Times New Roman"/>
                      <w:szCs w:val="21"/>
                    </w:rPr>
                    <m:t>h</m:t>
                  </m:r>
                </m:sup>
                <m:e>
                  <m:sSub>
                    <m:sSubPr>
                      <m:ctrlPr>
                        <w:rPr>
                          <w:rFonts w:ascii="Cambria Math" w:eastAsia="宋体" w:hAnsi="Cambria Math" w:cs="Times New Roman"/>
                          <w:i/>
                          <w:szCs w:val="21"/>
                        </w:rPr>
                      </m:ctrlPr>
                    </m:sSubPr>
                    <m:e>
                      <m:r>
                        <w:rPr>
                          <w:rFonts w:ascii="Cambria Math" w:eastAsia="宋体" w:hAnsi="Cambria Math" w:cs="Times New Roman"/>
                          <w:szCs w:val="21"/>
                        </w:rPr>
                        <m:t>Q</m:t>
                      </m:r>
                    </m:e>
                    <m:sub>
                      <m:r>
                        <w:rPr>
                          <w:rFonts w:ascii="Cambria Math" w:eastAsia="宋体" w:hAnsi="Cambria Math" w:cs="Times New Roman"/>
                          <w:szCs w:val="21"/>
                        </w:rPr>
                        <m:t>LNG</m:t>
                      </m:r>
                    </m:sub>
                  </m:sSub>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Sup>
                            <m:sSupPr>
                              <m:ctrlPr>
                                <w:rPr>
                                  <w:rFonts w:ascii="Cambria Math" w:eastAsia="宋体" w:hAnsi="Cambria Math" w:cs="Times New Roman"/>
                                  <w:i/>
                                  <w:szCs w:val="21"/>
                                </w:rPr>
                              </m:ctrlPr>
                            </m:sSupPr>
                            <m:e>
                              <m:r>
                                <w:rPr>
                                  <w:rFonts w:ascii="Cambria Math" w:eastAsia="宋体" w:hAnsi="Cambria Math" w:cs="Times New Roman"/>
                                  <w:szCs w:val="21"/>
                                </w:rPr>
                                <m:t>m</m:t>
                              </m:r>
                            </m:e>
                            <m:sup>
                              <m:r>
                                <w:rPr>
                                  <w:rFonts w:ascii="Cambria Math" w:eastAsia="宋体" w:hAnsi="Cambria Math" w:cs="Times New Roman"/>
                                  <w:szCs w:val="21"/>
                                </w:rPr>
                                <m:t>3</m:t>
                              </m:r>
                            </m:sup>
                          </m:sSup>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LNG,km</m:t>
                          </m:r>
                        </m:sub>
                      </m:sSub>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LNG</m:t>
                          </m:r>
                        </m:sub>
                      </m:sSub>
                    </m:e>
                  </m:d>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LNG,fix</m:t>
                  </m:r>
                </m:sub>
              </m:sSub>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szCs w:val="21"/>
                    </w:rPr>
                    <m:t>LNG</m:t>
                  </m:r>
                </m:sub>
              </m:sSub>
              <m:r>
                <w:rPr>
                  <w:rFonts w:ascii="Cambria Math" w:eastAsia="宋体" w:hAnsi="Cambria Math" w:cs="Times New Roman"/>
                  <w:szCs w:val="21"/>
                </w:rPr>
                <m:t xml:space="preserve"> #</m:t>
              </m:r>
              <m:d>
                <m:dPr>
                  <m:ctrlPr>
                    <w:rPr>
                      <w:rFonts w:ascii="Cambria Math" w:eastAsia="宋体" w:hAnsi="Cambria Math" w:cs="Times New Roman"/>
                      <w:i/>
                      <w:szCs w:val="21"/>
                    </w:rPr>
                  </m:ctrlPr>
                </m:dPr>
                <m:e>
                  <m:r>
                    <w:rPr>
                      <w:rFonts w:ascii="Cambria Math" w:eastAsia="宋体" w:hAnsi="Cambria Math" w:cs="Times New Roman"/>
                      <w:szCs w:val="21"/>
                    </w:rPr>
                    <m:t>4</m:t>
                  </m:r>
                </m:e>
              </m:d>
            </m:e>
          </m:eqArr>
        </m:oMath>
      </m:oMathPara>
    </w:p>
    <w:p w14:paraId="73BE7F1D" w14:textId="7EA390DB" w:rsidR="006D165E"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Eq</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w:rPr>
                      <w:rFonts w:ascii="Cambria Math" w:eastAsia="宋体" w:hAnsi="Cambria Math" w:cs="Times New Roman"/>
                      <w:szCs w:val="21"/>
                    </w:rPr>
                    <m:t>m=1</m:t>
                  </m:r>
                  <m:ctrlPr>
                    <w:rPr>
                      <w:rFonts w:ascii="Cambria Math" w:eastAsia="宋体" w:hAnsi="Cambria Math" w:cs="Times New Roman"/>
                      <w:i/>
                      <w:szCs w:val="21"/>
                    </w:rPr>
                  </m:ctrlPr>
                </m:sub>
                <m:sup>
                  <m:r>
                    <w:rPr>
                      <w:rFonts w:ascii="Cambria Math" w:eastAsia="宋体" w:hAnsi="Cambria Math" w:cs="Times New Roman"/>
                      <w:szCs w:val="21"/>
                    </w:rPr>
                    <m:t>l</m:t>
                  </m:r>
                  <m:ctrlPr>
                    <w:rPr>
                      <w:rFonts w:ascii="Cambria Math" w:eastAsia="宋体" w:hAnsi="Cambria Math" w:cs="Times New Roman"/>
                      <w:i/>
                      <w:szCs w:val="21"/>
                    </w:rPr>
                  </m:ctrlPr>
                </m:sup>
                <m:e>
                  <m:sSubSup>
                    <m:sSubSupPr>
                      <m:ctrlPr>
                        <w:rPr>
                          <w:rFonts w:ascii="Cambria Math" w:eastAsia="宋体" w:hAnsi="Cambria Math" w:cs="Times New Roman"/>
                          <w:i/>
                          <w:szCs w:val="21"/>
                        </w:rPr>
                      </m:ctrlPr>
                    </m:sSubSupPr>
                    <m:e>
                      <m:r>
                        <w:rPr>
                          <w:rFonts w:ascii="Cambria Math" w:eastAsia="宋体" w:hAnsi="Cambria Math" w:cs="Times New Roman"/>
                          <w:szCs w:val="21"/>
                        </w:rPr>
                        <m:t>c</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sSubSup>
                    <m:sSubSupPr>
                      <m:ctrlPr>
                        <w:rPr>
                          <w:rFonts w:ascii="Cambria Math" w:eastAsia="宋体" w:hAnsi="Cambria Math" w:cs="Times New Roman"/>
                          <w:i/>
                          <w:szCs w:val="21"/>
                        </w:rPr>
                      </m:ctrlPr>
                    </m:sSubSupPr>
                    <m:e>
                      <m:r>
                        <w:rPr>
                          <w:rFonts w:ascii="Cambria Math" w:eastAsia="宋体" w:hAnsi="Cambria Math" w:cs="Times New Roman"/>
                          <w:szCs w:val="21"/>
                        </w:rPr>
                        <m:t>P</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5</m:t>
                  </m:r>
                </m:e>
              </m:d>
            </m:e>
          </m:eqArr>
        </m:oMath>
      </m:oMathPara>
    </w:p>
    <w:p w14:paraId="2ED17A12" w14:textId="296A76F3" w:rsidR="000629ED"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Pun</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m:rPr>
                      <m:nor/>
                    </m:rPr>
                    <w:rPr>
                      <w:rFonts w:ascii="Times New Roman" w:eastAsia="宋体" w:hAnsi="Times New Roman" w:cs="Times New Roman"/>
                      <w:szCs w:val="21"/>
                    </w:rPr>
                    <m:t>Ele</m:t>
                  </m:r>
                  <m:ctrlPr>
                    <w:rPr>
                      <w:rFonts w:ascii="Cambria Math" w:eastAsia="宋体" w:hAnsi="Cambria Math" w:cs="Times New Roman"/>
                      <w:i/>
                      <w:szCs w:val="21"/>
                    </w:rPr>
                  </m:ctrlPr>
                </m:sub>
                <m:sup>
                  <m:r>
                    <w:rPr>
                      <w:rFonts w:ascii="Cambria Math" w:eastAsia="宋体" w:hAnsi="Cambria Math" w:cs="Times New Roman"/>
                      <w:szCs w:val="21"/>
                    </w:rPr>
                    <m:t>h</m:t>
                  </m:r>
                  <m:ctrlPr>
                    <w:rPr>
                      <w:rFonts w:ascii="Cambria Math" w:eastAsia="宋体" w:hAnsi="Cambria Math" w:cs="Times New Roman"/>
                      <w:i/>
                      <w:szCs w:val="21"/>
                    </w:rPr>
                  </m:ctrlPr>
                </m:sup>
                <m:e>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λ</m:t>
                      </m:r>
                    </m:e>
                    <m:sub>
                      <m:r>
                        <m:rPr>
                          <m:sty m:val="p"/>
                        </m:rPr>
                        <w:rPr>
                          <w:rFonts w:ascii="Cambria Math" w:eastAsia="宋体" w:hAnsi="Cambria Math" w:cs="Times New Roman"/>
                          <w:szCs w:val="21"/>
                        </w:rPr>
                        <m:t>Renew</m:t>
                      </m:r>
                    </m:sub>
                  </m:sSub>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sty m:val="p"/>
                        </m:rPr>
                        <w:rPr>
                          <w:rFonts w:ascii="Cambria Math" w:eastAsia="宋体" w:hAnsi="Cambria Math" w:cs="Times New Roman"/>
                          <w:szCs w:val="21"/>
                        </w:rPr>
                        <m:t>Renew</m:t>
                      </m:r>
                      <m:r>
                        <m:rPr>
                          <m:nor/>
                        </m:rPr>
                        <w:rPr>
                          <w:rFonts w:ascii="Times New Roman" w:eastAsia="宋体" w:hAnsi="Times New Roman" w:cs="Times New Roman"/>
                          <w:szCs w:val="21"/>
                        </w:rPr>
                        <m:t>,dis</m:t>
                      </m:r>
                    </m:sub>
                  </m:sSub>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6</m:t>
                  </m:r>
                </m:e>
              </m:d>
            </m:e>
          </m:eqArr>
        </m:oMath>
      </m:oMathPara>
    </w:p>
    <w:p w14:paraId="3200A3A1" w14:textId="168DAD23" w:rsidR="000629ED" w:rsidRPr="00C613BE" w:rsidRDefault="00000000" w:rsidP="00C14660">
      <w:pPr>
        <w:ind w:firstLine="420"/>
        <w:rPr>
          <w:rFonts w:ascii="Times New Roman" w:eastAsia="宋体" w:hAnsi="Times New Roman" w:cs="Times New Roman"/>
          <w:szCs w:val="21"/>
        </w:rPr>
      </w:pPr>
      <m:oMathPara>
        <m:oMath>
          <m:eqArr>
            <m:eqArrPr>
              <m:maxDist m:val="1"/>
              <m:ctrlPr>
                <w:rPr>
                  <w:rFonts w:ascii="Cambria Math" w:eastAsia="宋体" w:hAnsi="Cambria Math" w:cs="Times New Roman"/>
                  <w:i/>
                  <w:szCs w:val="21"/>
                </w:rPr>
              </m:ctrlPr>
            </m:eqArrPr>
            <m:e>
              <m:sSub>
                <m:sSubPr>
                  <m:ctrlPr>
                    <w:rPr>
                      <w:rFonts w:ascii="Cambria Math" w:eastAsia="宋体" w:hAnsi="Cambria Math" w:cs="Times New Roman"/>
                      <w:i/>
                      <w:szCs w:val="21"/>
                    </w:rPr>
                  </m:ctrlPr>
                </m:sSubPr>
                <m:e>
                  <m:r>
                    <w:rPr>
                      <w:rFonts w:ascii="Cambria Math" w:eastAsia="宋体" w:hAnsi="Cambria Math" w:cs="Times New Roman"/>
                      <w:szCs w:val="21"/>
                    </w:rPr>
                    <m:t>C</m:t>
                  </m:r>
                </m:e>
                <m:sub>
                  <m:r>
                    <m:rPr>
                      <m:nor/>
                    </m:rPr>
                    <w:rPr>
                      <w:rFonts w:ascii="Times New Roman" w:eastAsia="宋体" w:hAnsi="Times New Roman" w:cs="Times New Roman"/>
                      <w:szCs w:val="21"/>
                    </w:rPr>
                    <m:t>Dload</m:t>
                  </m:r>
                </m:sub>
              </m:sSub>
              <m:r>
                <w:rPr>
                  <w:rFonts w:ascii="Cambria Math" w:eastAsia="宋体" w:hAnsi="Cambria Math" w:cs="Times New Roman"/>
                  <w:szCs w:val="21"/>
                </w:rPr>
                <m:t>=</m:t>
              </m:r>
              <m:nary>
                <m:naryPr>
                  <m:chr m:val="∑"/>
                  <m:ctrlPr>
                    <w:rPr>
                      <w:rFonts w:ascii="Cambria Math" w:eastAsia="宋体" w:hAnsi="Cambria Math" w:cs="Times New Roman"/>
                      <w:szCs w:val="21"/>
                    </w:rPr>
                  </m:ctrlPr>
                </m:naryPr>
                <m:sub>
                  <m:r>
                    <m:rPr>
                      <m:nor/>
                    </m:rPr>
                    <w:rPr>
                      <w:rFonts w:ascii="Times New Roman" w:eastAsia="宋体" w:hAnsi="Times New Roman" w:cs="Times New Roman"/>
                      <w:szCs w:val="21"/>
                    </w:rPr>
                    <m:t>load</m:t>
                  </m:r>
                  <m:ctrlPr>
                    <w:rPr>
                      <w:rFonts w:ascii="Cambria Math" w:eastAsia="宋体" w:hAnsi="Cambria Math" w:cs="Times New Roman"/>
                      <w:i/>
                      <w:szCs w:val="21"/>
                    </w:rPr>
                  </m:ctrlPr>
                </m:sub>
                <m:sup>
                  <m:r>
                    <w:rPr>
                      <w:rFonts w:ascii="Cambria Math" w:eastAsia="宋体" w:hAnsi="Cambria Math" w:cs="Times New Roman"/>
                      <w:szCs w:val="21"/>
                    </w:rPr>
                    <m:t>h</m:t>
                  </m:r>
                  <m:ctrlPr>
                    <w:rPr>
                      <w:rFonts w:ascii="Cambria Math" w:eastAsia="宋体" w:hAnsi="Cambria Math" w:cs="Times New Roman"/>
                      <w:i/>
                      <w:szCs w:val="21"/>
                    </w:rPr>
                  </m:ctrlPr>
                </m:sup>
                <m:e>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α</m:t>
                      </m:r>
                    </m:e>
                    <m:sub>
                      <m:r>
                        <m:rPr>
                          <m:nor/>
                        </m:rPr>
                        <w:rPr>
                          <w:rFonts w:ascii="Times New Roman" w:eastAsia="宋体" w:hAnsi="Times New Roman" w:cs="Times New Roman"/>
                          <w:szCs w:val="21"/>
                        </w:rPr>
                        <m:t>load</m:t>
                      </m:r>
                    </m:sub>
                  </m:sSub>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nor/>
                        </m:rPr>
                        <w:rPr>
                          <w:rFonts w:ascii="Times New Roman" w:eastAsia="宋体" w:hAnsi="Times New Roman" w:cs="Times New Roman"/>
                          <w:szCs w:val="21"/>
                        </w:rPr>
                        <m:t>load</m:t>
                      </m:r>
                    </m:sub>
                  </m:sSub>
                  <m:ctrlPr>
                    <w:rPr>
                      <w:rFonts w:ascii="Cambria Math" w:eastAsia="宋体" w:hAnsi="Cambria Math" w:cs="Times New Roman"/>
                      <w:i/>
                      <w:szCs w:val="21"/>
                    </w:rPr>
                  </m:ctrlPr>
                </m:e>
              </m:nary>
              <m:r>
                <w:rPr>
                  <w:rFonts w:ascii="Cambria Math" w:eastAsia="宋体" w:hAnsi="Cambria Math" w:cs="Times New Roman"/>
                  <w:szCs w:val="21"/>
                </w:rPr>
                <m:t>#</m:t>
              </m:r>
              <m:d>
                <m:dPr>
                  <m:ctrlPr>
                    <w:rPr>
                      <w:rFonts w:ascii="Cambria Math" w:eastAsia="宋体" w:hAnsi="Cambria Math" w:cs="Times New Roman"/>
                      <w:i/>
                      <w:szCs w:val="21"/>
                    </w:rPr>
                  </m:ctrlPr>
                </m:dPr>
                <m:e>
                  <m:r>
                    <w:rPr>
                      <w:rFonts w:ascii="Cambria Math" w:eastAsia="宋体" w:hAnsi="Cambria Math" w:cs="Times New Roman"/>
                      <w:szCs w:val="21"/>
                    </w:rPr>
                    <m:t>7</m:t>
                  </m:r>
                </m:e>
              </m:d>
            </m:e>
          </m:eqArr>
        </m:oMath>
      </m:oMathPara>
    </w:p>
    <w:p w14:paraId="053FD64A" w14:textId="127B797A" w:rsidR="006D165E" w:rsidRPr="00C613BE" w:rsidRDefault="00B80A33"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Where</w:t>
      </w:r>
      <w:r w:rsidR="00525432"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Y</m:t>
            </m:r>
          </m:sub>
        </m:sSub>
      </m:oMath>
      <w:r w:rsidR="003B42C4" w:rsidRPr="00C613BE">
        <w:rPr>
          <w:rFonts w:ascii="Times New Roman" w:eastAsia="宋体" w:hAnsi="Times New Roman" w:cs="Times New Roman"/>
          <w:szCs w:val="21"/>
        </w:rPr>
        <w:t xml:space="preserve"> is the annual total operating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ub>
        </m:sSub>
      </m:oMath>
      <w:r w:rsidR="003B42C4" w:rsidRPr="00C613BE">
        <w:rPr>
          <w:rFonts w:ascii="Times New Roman" w:eastAsia="宋体" w:hAnsi="Times New Roman" w:cs="Times New Roman"/>
          <w:szCs w:val="21"/>
        </w:rPr>
        <w:t xml:space="preserve"> is the LNG procurement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Eq</m:t>
            </m:r>
          </m:sub>
        </m:sSub>
      </m:oMath>
      <w:r w:rsidR="009F0C4F" w:rsidRPr="00C613BE">
        <w:rPr>
          <w:rFonts w:ascii="Times New Roman" w:eastAsia="宋体" w:hAnsi="Times New Roman" w:cs="Times New Roman"/>
          <w:szCs w:val="21"/>
        </w:rPr>
        <w:t xml:space="preserve"> </w:t>
      </w:r>
      <w:r w:rsidR="003B42C4" w:rsidRPr="00C613BE">
        <w:rPr>
          <w:rFonts w:ascii="Times New Roman" w:eastAsia="宋体" w:hAnsi="Times New Roman" w:cs="Times New Roman"/>
          <w:szCs w:val="21"/>
        </w:rPr>
        <w:t xml:space="preserve">is the </w:t>
      </w:r>
      <w:r w:rsidR="009F0C4F" w:rsidRPr="00C613BE">
        <w:rPr>
          <w:rFonts w:ascii="Times New Roman" w:eastAsia="宋体" w:hAnsi="Times New Roman" w:cs="Times New Roman"/>
          <w:szCs w:val="21"/>
        </w:rPr>
        <w:t>equipment</w:t>
      </w:r>
      <w:r w:rsidR="003B42C4" w:rsidRPr="00C613BE">
        <w:rPr>
          <w:rFonts w:ascii="Times New Roman" w:eastAsia="宋体" w:hAnsi="Times New Roman" w:cs="Times New Roman"/>
          <w:szCs w:val="21"/>
        </w:rPr>
        <w:t xml:space="preserve"> operation and maintenance cost,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Pun</m:t>
            </m:r>
          </m:sub>
        </m:sSub>
      </m:oMath>
      <w:r w:rsidR="003B42C4" w:rsidRPr="00C613BE">
        <w:rPr>
          <w:rFonts w:ascii="Times New Roman" w:eastAsia="宋体" w:hAnsi="Times New Roman" w:cs="Times New Roman"/>
          <w:szCs w:val="21"/>
        </w:rPr>
        <w:t xml:space="preserve"> is the renewable energy curtailment penalty cost</w:t>
      </w:r>
      <w:r w:rsidR="006D165E" w:rsidRPr="00C613BE">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Dload</m:t>
            </m:r>
          </m:sub>
        </m:sSub>
      </m:oMath>
      <w:r w:rsidR="003F1900" w:rsidRPr="00C613BE">
        <w:rPr>
          <w:rFonts w:ascii="Times New Roman" w:eastAsia="宋体" w:hAnsi="Times New Roman" w:cs="Times New Roman"/>
          <w:szCs w:val="21"/>
        </w:rPr>
        <w:t xml:space="preserve"> is the load curtailment penalty cost;</w:t>
      </w:r>
      <w:r w:rsidR="000C43A7" w:rsidRPr="00C613BE">
        <w:rPr>
          <w:rFonts w:ascii="Times New Roman" w:hAnsi="Times New Roman" w:cs="Times New Roman"/>
          <w:i/>
          <w:iCs/>
          <w:color w:val="000000"/>
          <w:szCs w:val="21"/>
        </w:rPr>
        <w:t xml:space="preserve"> </w:t>
      </w:r>
      <w:r w:rsidR="000C43A7" w:rsidRPr="00C613BE">
        <w:rPr>
          <w:rFonts w:ascii="Times New Roman" w:eastAsia="宋体" w:hAnsi="Times New Roman" w:cs="Times New Roman"/>
          <w:i/>
          <w:iCs/>
          <w:szCs w:val="21"/>
        </w:rPr>
        <w:t>h</w:t>
      </w:r>
      <w:r w:rsidR="003F1900" w:rsidRPr="00C613BE">
        <w:rPr>
          <w:rFonts w:ascii="Times New Roman" w:eastAsia="宋体" w:hAnsi="Times New Roman" w:cs="Times New Roman"/>
          <w:i/>
          <w:iCs/>
          <w:szCs w:val="21"/>
        </w:rPr>
        <w:t xml:space="preserve"> </w:t>
      </w:r>
      <w:r w:rsidR="003F1900" w:rsidRPr="00C613BE">
        <w:rPr>
          <w:rFonts w:ascii="Times New Roman" w:eastAsia="宋体" w:hAnsi="Times New Roman" w:cs="Times New Roman"/>
          <w:szCs w:val="21"/>
        </w:rPr>
        <w:t xml:space="preserve">is the total simulation time steps, </w:t>
      </w:r>
      <m:oMath>
        <m:sSub>
          <m:sSubPr>
            <m:ctrlPr>
              <w:rPr>
                <w:rFonts w:ascii="Cambria Math" w:eastAsia="宋体" w:hAnsi="Cambria Math" w:cs="Times New Roman"/>
                <w:i/>
                <w:szCs w:val="21"/>
              </w:rPr>
            </m:ctrlPr>
          </m:sSubPr>
          <m:e>
            <m:r>
              <w:rPr>
                <w:rFonts w:ascii="Cambria Math" w:eastAsia="宋体" w:hAnsi="Cambria Math" w:cs="Times New Roman"/>
                <w:szCs w:val="21"/>
              </w:rPr>
              <m:t>Q</m:t>
            </m:r>
          </m:e>
          <m:sub>
            <m:r>
              <w:rPr>
                <w:rFonts w:ascii="Cambria Math" w:eastAsia="宋体" w:hAnsi="Cambria Math" w:cs="Times New Roman"/>
                <w:szCs w:val="21"/>
              </w:rPr>
              <m:t>LNG</m:t>
            </m:r>
          </m:sub>
        </m:sSub>
      </m:oMath>
      <w:r w:rsidR="003F1900" w:rsidRPr="00C613BE">
        <w:rPr>
          <w:rFonts w:ascii="Times New Roman" w:eastAsia="宋体" w:hAnsi="Times New Roman" w:cs="Times New Roman"/>
          <w:szCs w:val="21"/>
        </w:rPr>
        <w:t xml:space="preserve"> is the LNG procurement quantity (m</w:t>
      </w:r>
      <w:r w:rsidR="003F1900" w:rsidRPr="00C613BE">
        <w:rPr>
          <w:rFonts w:ascii="Times New Roman" w:eastAsia="宋体" w:hAnsi="Times New Roman" w:cs="Times New Roman"/>
          <w:szCs w:val="21"/>
          <w:vertAlign w:val="superscript"/>
        </w:rPr>
        <w:t>3</w:t>
      </w:r>
      <w:r w:rsidR="003F1900" w:rsidRPr="00C613BE">
        <w:rPr>
          <w:rFonts w:ascii="Times New Roman" w:eastAsia="宋体" w:hAnsi="Times New Roman" w:cs="Times New Roman"/>
          <w:szCs w:val="21"/>
        </w:rPr>
        <w:t>)</w:t>
      </w:r>
      <w:r w:rsidR="00DB4705"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m:t>
            </m:r>
            <m:sSup>
              <m:sSupPr>
                <m:ctrlPr>
                  <w:rPr>
                    <w:rFonts w:ascii="Cambria Math" w:eastAsia="宋体" w:hAnsi="Cambria Math" w:cs="Times New Roman"/>
                    <w:i/>
                    <w:szCs w:val="21"/>
                  </w:rPr>
                </m:ctrlPr>
              </m:sSupPr>
              <m:e>
                <m:r>
                  <w:rPr>
                    <w:rFonts w:ascii="Cambria Math" w:eastAsia="宋体" w:hAnsi="Cambria Math" w:cs="Times New Roman"/>
                    <w:szCs w:val="21"/>
                  </w:rPr>
                  <m:t>m</m:t>
                </m:r>
              </m:e>
              <m:sup>
                <m:r>
                  <w:rPr>
                    <w:rFonts w:ascii="Cambria Math" w:eastAsia="宋体" w:hAnsi="Cambria Math" w:cs="Times New Roman"/>
                    <w:szCs w:val="21"/>
                  </w:rPr>
                  <m:t>3</m:t>
                </m:r>
              </m:sup>
            </m:sSup>
          </m:sub>
        </m:sSub>
      </m:oMath>
      <w:r w:rsidR="00DB4705" w:rsidRPr="00C613BE">
        <w:rPr>
          <w:rFonts w:ascii="Times New Roman" w:eastAsia="宋体" w:hAnsi="Times New Roman" w:cs="Times New Roman"/>
          <w:szCs w:val="21"/>
        </w:rPr>
        <w:t xml:space="preserve"> is the LNG purchase price per </w:t>
      </w:r>
      <w:r w:rsidR="00213576" w:rsidRPr="00C613BE">
        <w:rPr>
          <w:rFonts w:ascii="Times New Roman" w:eastAsia="宋体" w:hAnsi="Times New Roman" w:cs="Times New Roman"/>
          <w:szCs w:val="21"/>
        </w:rPr>
        <w:t>cubic meter</w:t>
      </w:r>
      <w:r w:rsidR="00DB4705"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LNG,km</m:t>
            </m:r>
          </m:sub>
        </m:sSub>
      </m:oMath>
      <w:r w:rsidR="00213576" w:rsidRPr="00C613BE">
        <w:rPr>
          <w:rFonts w:ascii="Times New Roman" w:eastAsia="宋体" w:hAnsi="Times New Roman" w:cs="Times New Roman"/>
          <w:szCs w:val="21"/>
        </w:rPr>
        <w:t xml:space="preserve"> is the transportation cost per m</w:t>
      </w:r>
      <w:r w:rsidR="00213576" w:rsidRPr="00C613BE">
        <w:rPr>
          <w:rFonts w:ascii="Times New Roman" w:eastAsia="宋体" w:hAnsi="Times New Roman" w:cs="Times New Roman"/>
          <w:szCs w:val="21"/>
          <w:vertAlign w:val="superscript"/>
        </w:rPr>
        <w:t>3</w:t>
      </w:r>
      <w:r w:rsidR="00213576" w:rsidRPr="00C613BE">
        <w:rPr>
          <w:rFonts w:ascii="Times New Roman" w:eastAsia="宋体" w:hAnsi="Times New Roman" w:cs="Times New Roman"/>
          <w:szCs w:val="21"/>
        </w:rPr>
        <w:t xml:space="preserve">-km of LNG, </w:t>
      </w:r>
      <m:oMath>
        <m:sSub>
          <m:sSubPr>
            <m:ctrlPr>
              <w:rPr>
                <w:rFonts w:ascii="Cambria Math" w:eastAsia="宋体" w:hAnsi="Cambria Math" w:cs="Times New Roman"/>
                <w:i/>
                <w:szCs w:val="21"/>
              </w:rPr>
            </m:ctrlPr>
          </m:sSubPr>
          <m:e>
            <m:r>
              <w:rPr>
                <w:rFonts w:ascii="Cambria Math" w:eastAsia="宋体" w:hAnsi="Cambria Math" w:cs="Times New Roman"/>
                <w:szCs w:val="21"/>
              </w:rPr>
              <m:t>D</m:t>
            </m:r>
          </m:e>
          <m:sub>
            <m:r>
              <w:rPr>
                <w:rFonts w:ascii="Cambria Math" w:eastAsia="宋体" w:hAnsi="Cambria Math" w:cs="Times New Roman"/>
                <w:szCs w:val="21"/>
              </w:rPr>
              <m:t>LNG</m:t>
            </m:r>
          </m:sub>
        </m:sSub>
      </m:oMath>
      <w:r w:rsidR="00213576" w:rsidRPr="00C613BE">
        <w:rPr>
          <w:rFonts w:ascii="Times New Roman" w:eastAsia="宋体" w:hAnsi="Times New Roman" w:cs="Times New Roman"/>
          <w:szCs w:val="21"/>
        </w:rPr>
        <w:t xml:space="preserve"> is the LNG transportation distance (assumed as 1.2×straight-line distance</w:t>
      </w:r>
      <w:r w:rsidR="00213576" w:rsidRPr="00C613BE">
        <w:rPr>
          <w:rFonts w:ascii="Times New Roman" w:eastAsia="宋体" w:hAnsi="Times New Roman" w:cs="Times New Roman"/>
          <w:szCs w:val="21"/>
        </w:rPr>
        <w:t>【】</w:t>
      </w:r>
      <w:r w:rsidR="00213576" w:rsidRPr="00C613BE">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C</m:t>
            </m:r>
          </m:e>
          <m:sub>
            <m:r>
              <w:rPr>
                <w:rFonts w:ascii="Cambria Math" w:eastAsia="宋体" w:hAnsi="Cambria Math" w:cs="Times New Roman"/>
                <w:szCs w:val="21"/>
              </w:rPr>
              <m:t>LNG,fix</m:t>
            </m:r>
          </m:sub>
        </m:sSub>
      </m:oMath>
      <w:r w:rsidR="00213576" w:rsidRPr="00C613BE">
        <w:rPr>
          <w:rFonts w:ascii="Times New Roman" w:eastAsia="宋体" w:hAnsi="Times New Roman" w:cs="Times New Roman"/>
          <w:szCs w:val="21"/>
        </w:rPr>
        <w:t xml:space="preserve"> is the Fixed cost per procurement order, </w:t>
      </w:r>
      <m:oMath>
        <m:sSub>
          <m:sSubPr>
            <m:ctrlPr>
              <w:rPr>
                <w:rFonts w:ascii="Cambria Math" w:eastAsia="宋体" w:hAnsi="Cambria Math" w:cs="Times New Roman"/>
                <w:i/>
                <w:szCs w:val="21"/>
              </w:rPr>
            </m:ctrlPr>
          </m:sSubPr>
          <m:e>
            <m:r>
              <w:rPr>
                <w:rFonts w:ascii="Cambria Math" w:eastAsia="宋体" w:hAnsi="Cambria Math" w:cs="Times New Roman"/>
                <w:szCs w:val="21"/>
              </w:rPr>
              <m:t>N</m:t>
            </m:r>
          </m:e>
          <m:sub>
            <m:r>
              <w:rPr>
                <w:rFonts w:ascii="Cambria Math" w:eastAsia="宋体" w:hAnsi="Cambria Math" w:cs="Times New Roman"/>
                <w:szCs w:val="21"/>
              </w:rPr>
              <m:t>LNG</m:t>
            </m:r>
          </m:sub>
        </m:sSub>
      </m:oMath>
      <w:r w:rsidR="00213576" w:rsidRPr="00C613BE">
        <w:rPr>
          <w:rFonts w:ascii="Times New Roman" w:eastAsia="宋体" w:hAnsi="Times New Roman" w:cs="Times New Roman"/>
          <w:szCs w:val="21"/>
        </w:rPr>
        <w:t xml:space="preserve"> is the number of procurement orders; </w:t>
      </w:r>
      <w:r w:rsidR="00F01A35" w:rsidRPr="00C613BE">
        <w:rPr>
          <w:rFonts w:ascii="Times New Roman" w:eastAsia="宋体" w:hAnsi="Times New Roman" w:cs="Times New Roman"/>
          <w:i/>
          <w:iCs/>
          <w:szCs w:val="21"/>
        </w:rPr>
        <w:t>l</w:t>
      </w:r>
      <w:r w:rsidR="00213576" w:rsidRPr="00C613BE">
        <w:rPr>
          <w:rFonts w:ascii="Times New Roman" w:eastAsia="宋体" w:hAnsi="Times New Roman" w:cs="Times New Roman"/>
          <w:i/>
          <w:iCs/>
          <w:szCs w:val="21"/>
        </w:rPr>
        <w:t xml:space="preserve"> </w:t>
      </w:r>
      <w:r w:rsidR="00213576" w:rsidRPr="00C613BE">
        <w:rPr>
          <w:rFonts w:ascii="Times New Roman" w:eastAsia="宋体" w:hAnsi="Times New Roman" w:cs="Times New Roman"/>
          <w:szCs w:val="21"/>
        </w:rPr>
        <w:t xml:space="preserve">is the total number of equipment types, </w:t>
      </w:r>
      <m:oMath>
        <m:sSubSup>
          <m:sSubSupPr>
            <m:ctrlPr>
              <w:rPr>
                <w:rFonts w:ascii="Cambria Math" w:eastAsia="宋体" w:hAnsi="Cambria Math" w:cs="Times New Roman"/>
                <w:i/>
                <w:szCs w:val="21"/>
              </w:rPr>
            </m:ctrlPr>
          </m:sSubSupPr>
          <m:e>
            <m:r>
              <w:rPr>
                <w:rFonts w:ascii="Cambria Math" w:eastAsia="宋体" w:hAnsi="Cambria Math" w:cs="Times New Roman"/>
                <w:szCs w:val="21"/>
              </w:rPr>
              <m:t>c</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oMath>
      <w:r w:rsidR="00213576" w:rsidRPr="00C613BE">
        <w:rPr>
          <w:rFonts w:ascii="Times New Roman" w:eastAsia="宋体" w:hAnsi="Times New Roman" w:cs="Times New Roman"/>
          <w:szCs w:val="21"/>
        </w:rPr>
        <w:t xml:space="preserve"> is the fixed O&amp;M cost coefficient for equipment </w:t>
      </w:r>
      <m:oMath>
        <m:r>
          <w:rPr>
            <w:rFonts w:ascii="Cambria Math" w:eastAsia="宋体" w:hAnsi="Cambria Math" w:cs="Times New Roman"/>
            <w:szCs w:val="21"/>
          </w:rPr>
          <m:t>m</m:t>
        </m:r>
      </m:oMath>
      <w:r w:rsidR="00213576" w:rsidRPr="00C613BE">
        <w:rPr>
          <w:rFonts w:ascii="Times New Roman" w:eastAsia="宋体" w:hAnsi="Times New Roman" w:cs="Times New Roman"/>
          <w:szCs w:val="21"/>
        </w:rPr>
        <w:t xml:space="preserve">, </w:t>
      </w:r>
      <m:oMath>
        <m:sSubSup>
          <m:sSubSupPr>
            <m:ctrlPr>
              <w:rPr>
                <w:rFonts w:ascii="Cambria Math" w:eastAsia="宋体" w:hAnsi="Cambria Math" w:cs="Times New Roman"/>
                <w:i/>
                <w:szCs w:val="21"/>
              </w:rPr>
            </m:ctrlPr>
          </m:sSubSupPr>
          <m:e>
            <m:r>
              <w:rPr>
                <w:rFonts w:ascii="Cambria Math" w:eastAsia="宋体" w:hAnsi="Cambria Math" w:cs="Times New Roman"/>
                <w:szCs w:val="21"/>
              </w:rPr>
              <m:t>P</m:t>
            </m:r>
          </m:e>
          <m:sub>
            <m:r>
              <m:rPr>
                <m:nor/>
              </m:rPr>
              <w:rPr>
                <w:rFonts w:ascii="Times New Roman" w:eastAsia="宋体" w:hAnsi="Times New Roman" w:cs="Times New Roman"/>
                <w:szCs w:val="21"/>
              </w:rPr>
              <m:t>fix</m:t>
            </m:r>
          </m:sub>
          <m:sup>
            <m:r>
              <w:rPr>
                <w:rFonts w:ascii="Cambria Math" w:eastAsia="宋体" w:hAnsi="Cambria Math" w:cs="Times New Roman"/>
                <w:szCs w:val="21"/>
              </w:rPr>
              <m:t>m</m:t>
            </m:r>
          </m:sup>
        </m:sSubSup>
      </m:oMath>
      <w:r w:rsidR="00213576" w:rsidRPr="00C613BE">
        <w:rPr>
          <w:rFonts w:ascii="Times New Roman" w:eastAsia="宋体" w:hAnsi="Times New Roman" w:cs="Times New Roman"/>
          <w:szCs w:val="21"/>
        </w:rPr>
        <w:t xml:space="preserve"> is the installed capacity of equipment </w:t>
      </w:r>
      <m:oMath>
        <m:r>
          <w:rPr>
            <w:rFonts w:ascii="Cambria Math" w:eastAsia="宋体" w:hAnsi="Cambria Math" w:cs="Times New Roman"/>
            <w:szCs w:val="21"/>
          </w:rPr>
          <m:t>m</m:t>
        </m:r>
      </m:oMath>
      <w:r w:rsidR="00213576" w:rsidRPr="00C613BE">
        <w:rPr>
          <w:rFonts w:ascii="Times New Roman" w:eastAsia="宋体" w:hAnsi="Times New Roman" w:cs="Times New Roman"/>
          <w:szCs w:val="21"/>
        </w:rPr>
        <w:t xml:space="preserve">; </w:t>
      </w:r>
      <m:oMath>
        <m:r>
          <w:rPr>
            <w:rFonts w:ascii="Cambria Math" w:eastAsia="宋体" w:hAnsi="Cambria Math" w:cs="Times New Roman"/>
            <w:szCs w:val="21"/>
          </w:rPr>
          <m:t xml:space="preserve"> </m:t>
        </m:r>
        <m:sSub>
          <m:sSubPr>
            <m:ctrlPr>
              <w:rPr>
                <w:rFonts w:ascii="Cambria Math" w:eastAsia="宋体" w:hAnsi="Cambria Math" w:cs="Times New Roman"/>
                <w:i/>
                <w:szCs w:val="21"/>
              </w:rPr>
            </m:ctrlPr>
          </m:sSubPr>
          <m:e>
            <m:r>
              <m:rPr>
                <m:sty m:val="p"/>
              </m:rPr>
              <w:rPr>
                <w:rFonts w:ascii="Cambria Math" w:eastAsia="宋体" w:hAnsi="Cambria Math" w:cs="Times New Roman"/>
                <w:szCs w:val="21"/>
              </w:rPr>
              <m:t>λ</m:t>
            </m:r>
          </m:e>
          <m:sub>
            <m:r>
              <m:rPr>
                <m:sty m:val="p"/>
              </m:rPr>
              <w:rPr>
                <w:rFonts w:ascii="Cambria Math" w:eastAsia="宋体" w:hAnsi="Cambria Math" w:cs="Times New Roman"/>
                <w:szCs w:val="21"/>
              </w:rPr>
              <m:t>Renew</m:t>
            </m:r>
          </m:sub>
        </m:sSub>
      </m:oMath>
      <w:r w:rsidR="009F0C4F" w:rsidRPr="00C613BE">
        <w:rPr>
          <w:rFonts w:ascii="Times New Roman" w:eastAsia="宋体" w:hAnsi="Times New Roman" w:cs="Times New Roman"/>
          <w:szCs w:val="21"/>
        </w:rPr>
        <w:t xml:space="preserve"> is the Penalty coefficient for renewable curtailment, </w:t>
      </w:r>
      <m:oMath>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sty m:val="p"/>
              </m:rPr>
              <w:rPr>
                <w:rFonts w:ascii="Cambria Math" w:eastAsia="宋体" w:hAnsi="Cambria Math" w:cs="Times New Roman"/>
                <w:szCs w:val="21"/>
              </w:rPr>
              <m:t>Renew</m:t>
            </m:r>
            <m:r>
              <m:rPr>
                <m:nor/>
              </m:rPr>
              <w:rPr>
                <w:rFonts w:ascii="Times New Roman" w:eastAsia="宋体" w:hAnsi="Times New Roman" w:cs="Times New Roman"/>
                <w:szCs w:val="21"/>
              </w:rPr>
              <m:t>,dis</m:t>
            </m:r>
          </m:sub>
        </m:sSub>
      </m:oMath>
      <w:r w:rsidR="009F0C4F" w:rsidRPr="00C613BE">
        <w:rPr>
          <w:rFonts w:ascii="Times New Roman" w:eastAsia="宋体" w:hAnsi="Times New Roman" w:cs="Times New Roman"/>
          <w:szCs w:val="21"/>
        </w:rPr>
        <w:t xml:space="preserve"> is the curtailed renewable power; </w:t>
      </w:r>
      <m:oMath>
        <m:sSub>
          <m:sSubPr>
            <m:ctrlPr>
              <w:rPr>
                <w:rFonts w:ascii="Cambria Math" w:eastAsia="宋体" w:hAnsi="Cambria Math" w:cs="Times New Roman"/>
                <w:i/>
                <w:szCs w:val="21"/>
              </w:rPr>
            </m:ctrlPr>
          </m:sSubPr>
          <m:e>
            <m:r>
              <w:rPr>
                <w:rFonts w:ascii="Cambria Math" w:eastAsia="宋体" w:hAnsi="Cambria Math" w:cs="Times New Roman"/>
                <w:szCs w:val="21"/>
              </w:rPr>
              <m:t>α</m:t>
            </m:r>
          </m:e>
          <m:sub>
            <m:r>
              <m:rPr>
                <m:nor/>
              </m:rPr>
              <w:rPr>
                <w:rFonts w:ascii="Times New Roman" w:eastAsia="宋体" w:hAnsi="Times New Roman" w:cs="Times New Roman"/>
                <w:szCs w:val="21"/>
              </w:rPr>
              <m:t>load</m:t>
            </m:r>
          </m:sub>
        </m:sSub>
      </m:oMath>
      <w:r w:rsidR="009F0C4F" w:rsidRPr="00C613BE">
        <w:rPr>
          <w:rFonts w:ascii="Times New Roman" w:eastAsia="宋体" w:hAnsi="Times New Roman" w:cs="Times New Roman"/>
          <w:szCs w:val="21"/>
        </w:rPr>
        <w:t xml:space="preserve"> is the penalty coefficient for load curtailment, </w:t>
      </w:r>
      <m:oMath>
        <m:sSub>
          <m:sSubPr>
            <m:ctrlPr>
              <w:rPr>
                <w:rFonts w:ascii="Cambria Math" w:eastAsia="宋体" w:hAnsi="Cambria Math" w:cs="Times New Roman"/>
                <w:i/>
                <w:szCs w:val="21"/>
              </w:rPr>
            </m:ctrlPr>
          </m:sSubPr>
          <m:e>
            <m:r>
              <w:rPr>
                <w:rFonts w:ascii="Cambria Math" w:eastAsia="宋体" w:hAnsi="Cambria Math" w:cs="Times New Roman"/>
                <w:szCs w:val="21"/>
              </w:rPr>
              <m:t>P</m:t>
            </m:r>
          </m:e>
          <m:sub>
            <m:r>
              <m:rPr>
                <m:nor/>
              </m:rPr>
              <w:rPr>
                <w:rFonts w:ascii="Times New Roman" w:eastAsia="宋体" w:hAnsi="Times New Roman" w:cs="Times New Roman"/>
                <w:szCs w:val="21"/>
              </w:rPr>
              <m:t>load</m:t>
            </m:r>
          </m:sub>
        </m:sSub>
      </m:oMath>
      <w:r w:rsidR="009F0C4F" w:rsidRPr="00C613BE">
        <w:rPr>
          <w:rFonts w:ascii="Times New Roman" w:eastAsia="宋体" w:hAnsi="Times New Roman" w:cs="Times New Roman"/>
          <w:szCs w:val="21"/>
        </w:rPr>
        <w:t xml:space="preserve"> is the curtailed load amount.</w:t>
      </w:r>
    </w:p>
    <w:p w14:paraId="1BD4B243" w14:textId="77777777" w:rsidR="00525432" w:rsidRPr="00C613BE" w:rsidRDefault="0052543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To evaluate system reliability under climate change, renewable equipment failure dynamics are incorporated. Component failure probabilities are determined by combining climate model wind data with vulnerability curves. Monte Carlo simulation generates component failure states. For computational tractability, failure states are clustered using the elbow method to identify representative states for optimization. This captures climate-induced failures and system impacts.</w:t>
      </w:r>
    </w:p>
    <w:p w14:paraId="7C37BA7A" w14:textId="3F7243F3" w:rsidR="00401998" w:rsidRPr="00C613BE" w:rsidRDefault="00525432"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Vulnerability curves </w:t>
      </w:r>
      <w:r w:rsidR="0081486D"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{"citationID":"UC3kzldX","properties":{"formattedCitation":"\\super 7,26\\uc0\\u8211{}33\\nosupersub{}","plainCitation":"7,26–33","noteIndex":0},"citationItems":[{"id":346,"uris":["http://zotero.org/users/16842078/items/FCSNYNI9"],"itemData":{"id":346,"type":"article-journal","abstract":"Energy system optimization models often incorporate climate change impacts to examine different energy futures and draw insights that inform policy. However, increased risk of extreme weather events from climate change has proven more difficult to model. Here, we present an energy system optimization model that incorporates hurricane risks by combining storm probabilities with infrastructure fragility curves, and demonstrate its utility in the context of Puerto Rico, an island territory of the United States that had its energy system severely damaged by Hurricane Maria in 2017. The model assesses the potential to change grid architecture, fuel mix and grid hardening measures considering hurricane impacts as well as climate mitigation policies. When hurricane trends are included, 2040 electricity cost projections increase by 32% based on historical hurricane frequencies and by 82% for increased hurricane frequencies. Transitioning to renewables and natural gas reduces costs and emissions independent of climate mitigation policies.","container-title":"Nature Energy","DOI":"10.1038/s41560-020-00758-6","ISSN":"2058-7546","issue":"3","journalAbbreviation":"Nat Energy","language":"en","license":"2021 The Author(s), under exclusive licence to Springer Nature Limited","note":"publisher: Nature Publishing Group","page":"240-249","source":"www.nature.com","title":"Extending energy system modelling to include extreme weather risks and application to hurricane events in Puerto Rico","volume":"6","author":[{"family":"Bennett","given":"Jeffrey A."},{"family":"Trevisan","given":"Claire N."},{"family":"DeCarolis","given":"Joseph F."},{"family":"Ortiz-García","given":"Cecilio"},{"family":"Pérez-Lugo","given":"Marla"},{"family":"Etienne","given":"Bevin T."},{"family":"Clarens","given":"Andres F."}],"issued":{"date-parts":[["2021",3]]}},"label":"page"},{"id":383,"uris":["http://zotero.org/users/16842078/items/CTNWKM4D"],"itemData":{"id":383,"type":"article-journal","abstract":"To more effectively extract the vast wind energy in marine areas, offshore wind turbines have been constructed with slender tower and large rotor. External vibration sources such as aerodynamic, sea wave and seismic loadings can threaten the safety of these energy infrastructures. It is important to evaluate the reliability of offshore wind turbines subjected to external vibration sources. Previous research works on the wind turbine fragility analyses only considered the fragility of the tower by assuming the wind turbine was in the parked condition with the blade mass lumped at the top of the tower. The study of the fragility of the blade which is one of the most important components of a wind turbine has not been reported. In the present study, a detailed three-dimensional (3D) ﬁnite element (FE) model of the NREL 5 MW wind turbine is developed in ABAQUS, and the tower and blades are explicitly modelled to realistically estimate the aerodynamic loads and structural behaviours of the wind turbine. The uncertainties of the structural mass, stiffness and damping are taken into account to develop the probabilistic wind-induced demand models for the tower and blades. The dynamic behaviours of the wind turbine subjected to the simultaneous aerodynamic and sea wave loadings are investigated in a probabilistic frame and the fragility curves for both the tower and blades under the parked and operating conditions are derived and discussed.","container-title":"Renewable Energy","DOI":"10.1016/j.renene.2020.07.066","ISSN":"09601481","journalAbbreviation":"Renewable Energy","language":"en","page":"1269-1282","source":"DOI.org (Crossref)","title":"Fragility analyses of offshore wind turbines subjected to aerodynamic and sea wave loadings","volume":"160","author":[{"family":"Zuo","given":"Haoran"},{"family":"Bi","given":"Kaiming"},{"family":"Hao","given":"Hong"},{"family":"Xin","given":"Yu"},{"family":"Li","given":"Jun"},{"family":"Li","given":"Chao"}],"issued":{"date-parts":[["2020",11]]}}},{"id":385,"uris":["http://zotero.org/users/16842078/items/ZY5C6QBK"],"itemData":{"id":385,"type":"article-journal","abstract":"Wind technology is an effective solution for the carbon neutral over the world. Offshore wind turbines (OWTs) have therefore seen unprecedented development over the decades. Fragility and vulnerability of OWTs are vital in structural performance evaluation and risk assessment of infrastructural systems under natural hazards. Previous research mainly focused on the fragility of OWTs with monopile substructure in the normal operating or parked conditions. In the present study, a realistic situation with respect to the emergency shutdown mode is considered for the OWTs with monopile, tripod, and jacket substructures. A procedure to establish fragility and vulnerability models is developed. Numerical models using a combination of FE software are implemented and validated for dynamic analyses and pushover analyses. Then, the fragility and vulnerability models of the main structural subsystems including rotor, nacelle, tower, and substructure are separately established according to the developed procedure, so as to the fragility and vulnerability models of the whole wind turbine. Besides, impact of operational condition and characteristics of substructure on fragility and vulnerability is comprehensively compared and discussed.","container-title":"Engineering Structures","DOI":"10.1016/j.engstruct.2023.116625","ISSN":"01410296","journalAbbreviation":"Engineering Structures","language":"en","page":"116625","source":"DOI.org (Crossref)","title":"Fragility and vulnerability development of offshore wind turbines under aero-hydro loadings","volume":"293","author":[{"family":"Cheng","given":"Yusong"},{"family":"Luo","given":"Yuxiao"},{"family":"Wang","given":"Jianze"},{"family":"Dai","given":"Kaoshan"},{"family":"Wang","given":"Wenze"},{"family":"El Damatty","given":"Ashraf"}],"issued":{"date-parts":[["2023",10]]}}},{"id":391,"uris":["http://zotero.org/users/16842078/items/IA82S8GM"],"itemData":{"id":391,"type":"article-journal","abstract":"This paper develops models for hurricane exposure, fragility curve-based damage to electrical transmission grid components and power generating stations using Monte-Carlo simulation, and restoration cost to predict resiliency factors including power generation capacity lost and the restoration cost for electrical transmission grid and power generation system damages. Synthetic grid data are used to model the Energy Reliability Council of Texas (ERCOT) electrical grid. A case study is developed based on Hurricane Harvey. This work is extended to evaluate the changes to resiliency as the percentage of renewable sources is increased from 2017 levels to levels corresponding to the NREL Futures Study 2050 Texas scenarios for 50% and 80% renewable energy.","container-title":"IEEE Transactions on Power Systems","DOI":"10.1109/TPWRS.2019.2942279","ISSN":"0885-8950, 1558-0679","issue":"2","journalAbbreviation":"IEEE Trans. Power Syst.","language":"en","license":"https://ieeexplore.ieee.org/Xplorehelp/downloads/license-information/IEEE.html","page":"929-937","source":"DOI.org (Crossref)","title":"Modeling Electrical Grid Resilience Under Hurricane Wind Conditions With Increased Solar and Wind Power Generation","volume":"35","author":[{"family":"Watson","given":"Eileen B."},{"family":"Etemadi","given":"Amir Hossein"}],"issued":{"date-parts":[["2020",3]]}}},{"id":387,"uris":["http://zotero.org/users/16842078/items/2GDNQLKE"],"itemData":{"id":387,"type":"article-journal","abstract":"The scenario of growing demand for construction of wind turbine structures in Mexico poses the need of analyzing the hazards that aﬀect this kind of structures in that country. Current Mexican standards include wind turbine support structures in their earthquake design chapter, but no information is included regarding the wind design. This work focuses on the analysis of an onshore 5 MW wind turbine structure, similar to those currently installed in Mexico, under the simultaneous action of wind and earthquake for diﬀerent intensities. The analyses performed consider the rotor in both: parked and in operation conditions. Wind speed records are obtained from simulations based on an Auto Regressive and Moving Average model and the Veers’ method, while the ground motion records are simulated to be consistent with design spectra for a zone in the Southwest of Mexico, near the coast of the Paciﬁc Ocean, which happens to be the region with the greatest installed wind capacity in Mexico and also a region of strong seismic hazard. The numerical results obtained are employed in a multi-hazard fragility analysis, which shows that the critical action for the structure depends on the operational state of the turbine.","container-title":"Engineering Structures","DOI":"10.1016/j.engstruct.2019.109929","ISSN":"01410296","journalAbbreviation":"Engineering Structures","language":"en","page":"109929","source":"DOI.org (Crossref)","title":"Multi-hazard fragility analysis for a wind turbine support structure: An application to the Southwest of Mexico","title-short":"Multi-hazard fragility analysis for a wind turbine support structure","volume":"209","author":[{"family":"Martín Del Campo","given":"J.O."},{"family":"Pozos-Estrada","given":"A."}],"issued":{"date-parts":[["2020",4]]}}},{"id":379,"uris":["http://zotero.org/users/16842078/items/7E6QGTC7"],"itemData":{"id":379,"type":"article-journal","abstract":"This paper deals with a surrogate modeling-based fragility estimate of monopile offshore wind turbine (OWT) towers subjected to wind and wave loadings. The monopile 5-MW OWT specified by the National Renewable Energy Laboratory (NREL), United States was used as the base model for this study. Aero- and hydrodynamic simulations of the OWT were first performed via Fatigue, Aerodynamics, Structures, and Turbulence (FAST) developed by the NREL to determine its critical wave-and-wind responses, to determine peak tower top deflections, flexural moments, and shear forces. Through least squares regression with the simulation data, two surrogate models, Response Surface Metamodel (RSM) and Stepwise Multiple Linear Regression (SMLR) were developed to predict the critical OWT responses caused by both wind and wave loads and to develop its fragility curves at a low computational cost. Responses and fragility curves resulting from each of the surrogate models were compared to those from the FAST simulation, demonstrating the effectiveness of the RSM in terms of accuracy to replicate the FAST results. As a result of the comparison, the RSM was adopted as the final model to estimate the multi-wind-and-wave vulnerability of the OWT in terms of fragility surfaces considering uncertainties in a broad spectrum of its loads and capacities. Major findings indicated that the wind speed was observed to be the most critical load parameter for peak tower top deflections with response observed in the range of 2.2 5 m at a wind speed of 5 m/s to 5.5 m at 70 m/s, while the wave height appeared to be the major contributor to the vulnerability on flexural moments with the observed peak value of 1.75 × 108 Nm at a wave height of 1 m increased to 5.75 × 108 Nm at 20 m. It was also found that structural characteristics parameters related to the OWT’s capacities, including hub height, rotor diameter, and monopile thickness have a significant impact on the overall vulnerability with one-quarter exceeding probability for mudline flexure was noted at 83.26 m, 151 m, and 0.133 m, respectively.","container-title":"Renewable and Sustainable Energy Reviews","DOI":"10.1016/j.rser.2022.112552","ISSN":"13640321","journalAbbreviation":"Renewable and Sustainable Energy Reviews","language":"en","page":"112552","source":"DOI.org (Crossref)","title":"Multi-Hazard Fragility Analysis of Offshore Wind Turbine Portfolios using Surrogate Models","volume":"165","author":[{"family":"Seo","given":"Junwon"},{"family":"Pokhrel","given":"Jharna"},{"family":"Hu","given":"Jong Wan"}],"issued":{"date-parts":[["2022",9]]}}},{"id":389,"uris":["http://zotero.org/users/16842078/item</w:instrText>
      </w:r>
      <w:r w:rsidR="000A7AE0">
        <w:rPr>
          <w:rFonts w:ascii="Times New Roman" w:eastAsia="宋体" w:hAnsi="Times New Roman" w:cs="Times New Roman" w:hint="eastAsia"/>
          <w:szCs w:val="21"/>
        </w:rPr>
        <w:instrText>s/NARH8M56"],"itemData":{"id":389,"type":"article-journal","abstract":"A probabilistic risk assessment to estimate the economic impact on wind turbine towers subjected to cyclone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induced wind loads is applied. An event</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based probabilistic framework is use</w:instrText>
      </w:r>
      <w:r w:rsidR="000A7AE0">
        <w:rPr>
          <w:rFonts w:ascii="Times New Roman" w:eastAsia="宋体" w:hAnsi="Times New Roman" w:cs="Times New Roman"/>
          <w:szCs w:val="21"/>
        </w:rPr>
        <w:instrText>d to assess the risk parameters for selected hazard events. The results are integrated considering all uncertainties related to each part of the process in a probabilistic formal way. The hazard is defined by a set of nonoverlapping stochastic events that exhaust the considered sample space, including the spatial distribution, the annual frequency, and the randomness of the hazard intensity. The vulnerability is defined in terms of the first and second statistical moments: the expected damage and its corresponding variance (or standard deviation) for a certain type of wind turbine towers. The vulnerability component of the model is an important contribution of the study; it uses a realistic modeling of the wind field, and instead of one (as in other studi</w:instrText>
      </w:r>
      <w:r w:rsidR="000A7AE0">
        <w:rPr>
          <w:rFonts w:ascii="Times New Roman" w:eastAsia="宋体" w:hAnsi="Times New Roman" w:cs="Times New Roman" w:hint="eastAsia"/>
          <w:szCs w:val="21"/>
        </w:rPr>
        <w:instrText>es), three failure modes are considered to characterize the vulnerability. The risk is expressed in economic terms, namely, the single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event expected loss, the average annual loss, the pure premium, and the loss exceedance curve. The approach is applied t</w:instrText>
      </w:r>
      <w:r w:rsidR="000A7AE0">
        <w:rPr>
          <w:rFonts w:ascii="Times New Roman" w:eastAsia="宋体" w:hAnsi="Times New Roman" w:cs="Times New Roman"/>
          <w:szCs w:val="21"/>
        </w:rPr>
        <w:instrText>o a probabilistic tropical cyclone wind risk assessment on 3001 wind turbine towers from 65 wind farms in Mexico. It is concluded that the selected metrics are of especial importance for risk retention (financing), particularly if schemes or risk transfer instruments are to be defined, and therefore, they will be a very valuable contribution to further studies in defining strategies for financial protection of national infrastructure against wind disasters induced by cyclones.","container-title":"Wind Ene</w:instrText>
      </w:r>
      <w:r w:rsidR="000A7AE0">
        <w:rPr>
          <w:rFonts w:ascii="Times New Roman" w:eastAsia="宋体" w:hAnsi="Times New Roman" w:cs="Times New Roman" w:hint="eastAsia"/>
          <w:szCs w:val="21"/>
        </w:rPr>
        <w:instrText>rgy","DOI":"10.1002/we.2436","ISSN":"1095-4244, 1099-1824","issue":"3","journalAbbreviation":"Wind Energy","language":"en","page":"528-546","source":"DOI.org (Crossref)","title":"Probabilistic risk assessment on wind turbine towers subjected to cyclone</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induced wind loads","volume":"23","author":[{"family":"Jaimes","given":"Miguel A."},{"family":"Garc</w:instrText>
      </w:r>
      <w:r w:rsidR="000A7AE0">
        <w:rPr>
          <w:rFonts w:ascii="Times New Roman" w:eastAsia="宋体" w:hAnsi="Times New Roman" w:cs="Times New Roman" w:hint="eastAsia"/>
          <w:szCs w:val="21"/>
        </w:rPr>
        <w:instrText>í</w:instrText>
      </w:r>
      <w:r w:rsidR="000A7AE0">
        <w:rPr>
          <w:rFonts w:ascii="Times New Roman" w:eastAsia="宋体" w:hAnsi="Times New Roman" w:cs="Times New Roman" w:hint="eastAsia"/>
          <w:szCs w:val="21"/>
        </w:rPr>
        <w:instrText>a</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Soto","given":"A. David"},{"family":"Mart</w:instrText>
      </w:r>
      <w:r w:rsidR="000A7AE0">
        <w:rPr>
          <w:rFonts w:ascii="Times New Roman" w:eastAsia="宋体" w:hAnsi="Times New Roman" w:cs="Times New Roman" w:hint="eastAsia"/>
          <w:szCs w:val="21"/>
        </w:rPr>
        <w:instrText>í</w:instrText>
      </w:r>
      <w:r w:rsidR="000A7AE0">
        <w:rPr>
          <w:rFonts w:ascii="Times New Roman" w:eastAsia="宋体" w:hAnsi="Times New Roman" w:cs="Times New Roman" w:hint="eastAsia"/>
          <w:szCs w:val="21"/>
        </w:rPr>
        <w:instrText>n Del Campo","given":"J. Osvaldo"},{"family":"Pozos</w:instrText>
      </w:r>
      <w:r w:rsidR="000A7AE0">
        <w:rPr>
          <w:rFonts w:ascii="Times New Roman" w:eastAsia="宋体" w:hAnsi="Times New Roman" w:cs="Times New Roman" w:hint="eastAsia"/>
          <w:szCs w:val="21"/>
        </w:rPr>
        <w:instrText>‐</w:instrText>
      </w:r>
      <w:r w:rsidR="000A7AE0">
        <w:rPr>
          <w:rFonts w:ascii="Times New Roman" w:eastAsia="宋体" w:hAnsi="Times New Roman" w:cs="Times New Roman" w:hint="eastAsia"/>
          <w:szCs w:val="21"/>
        </w:rPr>
        <w:instrText>Estrada","given":"Adri</w:instrText>
      </w:r>
      <w:r w:rsidR="000A7AE0">
        <w:rPr>
          <w:rFonts w:ascii="Times New Roman" w:eastAsia="宋体" w:hAnsi="Times New Roman" w:cs="Times New Roman" w:hint="eastAsia"/>
          <w:szCs w:val="21"/>
        </w:rPr>
        <w:instrText>á</w:instrText>
      </w:r>
      <w:r w:rsidR="000A7AE0">
        <w:rPr>
          <w:rFonts w:ascii="Times New Roman" w:eastAsia="宋体" w:hAnsi="Times New Roman" w:cs="Times New Roman" w:hint="eastAsia"/>
          <w:szCs w:val="21"/>
        </w:rPr>
        <w:instrText>n"}],"issued":{"date-parts":[["2020",3</w:instrText>
      </w:r>
      <w:r w:rsidR="000A7AE0">
        <w:rPr>
          <w:rFonts w:ascii="Times New Roman" w:eastAsia="宋体" w:hAnsi="Times New Roman" w:cs="Times New Roman"/>
          <w:szCs w:val="21"/>
        </w:rPr>
        <w:instrText xml:space="preserve">]]}}},{"id":393,"uris":["http://zotero.org/users/16842078/items/WSL2YFZE"],"itemData":{"id":393,"type":"article-journal","abstract":"Emerging offshore renewable energy technologies are expected to become an important part of the future energy system, and reliability for these new technologies in different metocean scenarios must be guaranteed. This poses a challenge in extreme weather scenarios like storms, in particular for less mature technologies such as wave energy. Not only the offshore survivability must be controlled; the restoration after disruptive events and failures should be addressed and optimized. Offshore operations are costly and cannot be carried out if the weather is too harsh, and the resulting downtime after failures may be financially devastating for projects. In this paper, the resilience of large wave energy systems is studied with respect to wave conditions, metocean dependent failure rates, and weather windows available for offshore repair operations. A metoceanand time-dependent failure rate is derived based on a Weibull distribution, which is a novelty of the paper. The performance of the farm is assessed using the varying failure rates and metocean data at different offshore sites. Critical metocean thresholds for different offshore vessels are considered, and the resilience is quantified using relevant measures such as unavailability and expected energy not supplied. The resilience analysis is coupled to an economic assessment of the wave farm and different repair strategies. Our results show that the commonly used assumption of constant failure rates is seen to overestimate the annual energy production than when a more realistic varying failure rate is used. Two offshore sites are compared, and the availability is found to be higher at the calmer site. Most of the evaluated repair strategies cannot be considered to be economically justified, when compared to the cost of the energy not supplied.","container-title":"Ocean Engineering","DOI":"10.1016/j.oceaneng.2023.114678","ISSN":"00298018","journalAbbreviation":"Ocean Engineering","language":"en","page":"114678","source":"DOI.org (Crossref)","title":"Resilience of wave energy farms using metocean dependent failure rates and repair operations","volume":"280","author":[{"family":"Göteman","given":"Malin"},{"family":"Shahroozi","given":"Zahra"},{"family":"Stavropoulou","given":"Charitini"},{"family":"Katsidoniotaki","given":"Eirini"},{"family":"Engström","given":"Jens"}],"issued":{"date-parts":[["2023",7]]}}},{"id":381,"uris":["http://zotero.org/users/16842078/items/9MJHSR6E"],"itemData":{"id":381,"type":"article-journal","abstract":"This paper aims to develop statistical regression-based models to estimate responses of monopile foundation 5 MW Offshore Wind Turbines (OWTs) subjected to multi-wind-and-wave loads and to assess its fragilities. Establishing the regression models began with the use of the Latin Hypercube Sampling (LHS) method incorporating 5 MW OWT input parameters related to structural and loading conditions along with material properties. With the LHS-based input parameters, 120 OWT computational models were created through Fatigue, Aerodynamic, Structures, and Turbulence (FAST) tools developed by the National Renewable Energy Laboratory (NREL). Critical responses, such as tower-top deﬂection, corresponding to each of the models were determined by performing its FAST aero-hydro dynamic simulations. The regression models involved a series of developed explanatory functions based on a matrix of the FAST responses and LHS parameters under a Stepwise Multiple Linear Regression (SMLR) approach. Multi-wind-and-wave fragilities were estimated for each of the critical responses of the 120 OWT models. Key ﬁndings showed that the wind-sensitive blade tip deﬂection resulted in the fragility of 99% at a critical wind speed of 75 m/s and a wave height of 20m, while the mudline ﬂexural moment resulting from the same wind speed and wave height caused the fragility up to 98%.","container-title":"Renewable Energy","DOI":"10.1016/j.renene.2020.10.015","ISSN":"09601481","journalAbbreviation":"Renewable Energy","language":"en","page":"1495-1507","source":"DOI.org (Crossref)","title":"Statistical model for fragility estimates of offshore wind turbines subjected to aero-hydro dynamic loads","volume":"163","author":[{"family":"Pokhrel","given":"Jharna"},{"family":"Seo","given":"Junwon"}],"issued":{"date-parts":[["2021",1]]}},"label":"page"}],"schema":"https://github.com/citation-style-language/schema/raw/master/csl-citation.json"} </w:instrText>
      </w:r>
      <w:r w:rsidR="0081486D"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7,26–33</w:t>
      </w:r>
      <w:r w:rsidR="0081486D" w:rsidRPr="00C613BE">
        <w:rPr>
          <w:rFonts w:ascii="Times New Roman" w:eastAsia="宋体" w:hAnsi="Times New Roman" w:cs="Times New Roman"/>
          <w:szCs w:val="21"/>
        </w:rPr>
        <w:fldChar w:fldCharType="end"/>
      </w:r>
      <w:r w:rsidR="0081486D"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define failure probability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Pr="00C613BE">
        <w:rPr>
          <w:rFonts w:ascii="Times New Roman" w:eastAsia="宋体" w:hAnsi="Times New Roman" w:cs="Times New Roman"/>
          <w:szCs w:val="21"/>
        </w:rPr>
        <w:t>) as functions of wind speed (</w:t>
      </w:r>
      <m:oMath>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oMath>
      <w:r w:rsidRPr="00C613BE">
        <w:rPr>
          <w:rFonts w:ascii="Times New Roman" w:eastAsia="宋体" w:hAnsi="Times New Roman" w:cs="Times New Roman"/>
          <w:szCs w:val="21"/>
        </w:rPr>
        <w:t>) or wave height (</w:t>
      </w:r>
      <m:oMath>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oMath>
      <w:r w:rsidRPr="00C613BE">
        <w:rPr>
          <w:rFonts w:ascii="Times New Roman" w:eastAsia="宋体" w:hAnsi="Times New Roman" w:cs="Times New Roman"/>
          <w:szCs w:val="21"/>
        </w:rPr>
        <w:t>):</w:t>
      </w:r>
      <w:r w:rsidR="00401998" w:rsidRPr="00C613BE">
        <w:rPr>
          <w:rFonts w:ascii="Times New Roman" w:eastAsia="宋体" w:hAnsi="Times New Roman" w:cs="Times New Roman"/>
          <w:szCs w:val="21"/>
        </w:rPr>
        <w:t xml:space="preserve"> </w:t>
      </w:r>
    </w:p>
    <w:p w14:paraId="00F9CC71" w14:textId="654D5206"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F</m:t>
              </m:r>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8</m:t>
                  </m:r>
                </m:e>
              </m:d>
            </m:e>
          </m:eqArr>
        </m:oMath>
      </m:oMathPara>
    </w:p>
    <w:p w14:paraId="0A24B0BE" w14:textId="4B88BCEA"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WT</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≤30</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-30</m:t>
                          </m:r>
                        </m:num>
                        <m:den>
                          <m:r>
                            <m:rPr>
                              <m:sty m:val="p"/>
                            </m:rPr>
                            <w:rPr>
                              <w:rFonts w:ascii="Cambria Math" w:eastAsia="宋体" w:hAnsi="Cambria Math" w:cs="Times New Roman"/>
                              <w:szCs w:val="21"/>
                            </w:rPr>
                            <m:t>60-30</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30&lt;</m:t>
                          </m:r>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≤60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&gt;60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9</m:t>
                  </m:r>
                </m:e>
              </m:d>
            </m:e>
          </m:eqArr>
        </m:oMath>
      </m:oMathPara>
    </w:p>
    <w:p w14:paraId="3C9D2A83" w14:textId="73E0057E"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PV</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≤40</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-40</m:t>
                          </m:r>
                        </m:num>
                        <m:den>
                          <m:r>
                            <m:rPr>
                              <m:sty m:val="p"/>
                            </m:rPr>
                            <w:rPr>
                              <w:rFonts w:ascii="Cambria Math" w:eastAsia="宋体" w:hAnsi="Cambria Math" w:cs="Times New Roman"/>
                              <w:szCs w:val="21"/>
                            </w:rPr>
                            <m:t>80-40</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40&lt;</m:t>
                          </m:r>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≤80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t</m:t>
                          </m:r>
                        </m:sub>
                      </m:sSub>
                      <m:r>
                        <m:rPr>
                          <m:sty m:val="p"/>
                        </m:rPr>
                        <w:rPr>
                          <w:rFonts w:ascii="Cambria Math" w:eastAsia="宋体" w:hAnsi="Cambria Math" w:cs="Times New Roman"/>
                          <w:szCs w:val="21"/>
                        </w:rPr>
                        <m:t>&gt;80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10</m:t>
                  </m:r>
                </m:e>
              </m:d>
            </m:e>
          </m:eqArr>
        </m:oMath>
      </m:oMathPara>
    </w:p>
    <w:p w14:paraId="3DE3031D" w14:textId="416157C8"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F</m:t>
                  </m:r>
                </m:e>
                <m:sub>
                  <m:r>
                    <w:rPr>
                      <w:rFonts w:ascii="Cambria Math" w:eastAsia="宋体" w:hAnsi="Cambria Math" w:cs="Times New Roman"/>
                      <w:szCs w:val="21"/>
                    </w:rPr>
                    <m:t>WAVE</m:t>
                  </m:r>
                </m:sub>
              </m:sSub>
              <m:d>
                <m:dPr>
                  <m:ctrlPr>
                    <w:rPr>
                      <w:rFonts w:ascii="Cambria Math" w:eastAsia="宋体" w:hAnsi="Cambria Math" w:cs="Times New Roman"/>
                      <w:szCs w:val="21"/>
                    </w:rPr>
                  </m:ctrlPr>
                </m:dPr>
                <m:e>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e>
              </m:d>
              <m:r>
                <m:rPr>
                  <m:sty m:val="p"/>
                </m:rPr>
                <w:rPr>
                  <w:rFonts w:ascii="Cambria Math" w:eastAsia="宋体" w:hAnsi="Cambria Math" w:cs="Times New Roman"/>
                  <w:szCs w:val="21"/>
                </w:rPr>
                <m:t>=</m:t>
              </m:r>
              <m:d>
                <m:dPr>
                  <m:begChr m:val="{"/>
                  <m:endChr m:val=""/>
                  <m:ctrlPr>
                    <w:rPr>
                      <w:rFonts w:ascii="Cambria Math" w:eastAsia="宋体" w:hAnsi="Cambria Math" w:cs="Times New Roman"/>
                      <w:szCs w:val="21"/>
                    </w:rPr>
                  </m:ctrlPr>
                </m:dPr>
                <m:e>
                  <m:eqArr>
                    <m:eqArrPr>
                      <m:ctrlPr>
                        <w:rPr>
                          <w:rFonts w:ascii="Cambria Math" w:eastAsia="宋体" w:hAnsi="Cambria Math" w:cs="Times New Roman"/>
                          <w:szCs w:val="21"/>
                        </w:rPr>
                      </m:ctrlPr>
                    </m:eqArrPr>
                    <m:e>
                      <m:r>
                        <m:rPr>
                          <m:sty m:val="p"/>
                        </m:rPr>
                        <w:rPr>
                          <w:rFonts w:ascii="Cambria Math" w:eastAsia="宋体" w:hAnsi="Cambria Math" w:cs="Times New Roman"/>
                          <w:szCs w:val="21"/>
                        </w:rPr>
                        <m:t xml:space="preserve">0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≤5</m:t>
                      </m:r>
                    </m:e>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-5</m:t>
                          </m:r>
                        </m:num>
                        <m:den>
                          <m:r>
                            <m:rPr>
                              <m:sty m:val="p"/>
                            </m:rPr>
                            <w:rPr>
                              <w:rFonts w:ascii="Cambria Math" w:eastAsia="宋体" w:hAnsi="Cambria Math" w:cs="Times New Roman"/>
                              <w:szCs w:val="21"/>
                            </w:rPr>
                            <m:t>20-5</m:t>
                          </m:r>
                        </m:den>
                      </m:f>
                      <m:r>
                        <m:rPr>
                          <m:sty m:val="p"/>
                        </m:rPr>
                        <w:rPr>
                          <w:rFonts w:ascii="Cambria Math" w:eastAsia="宋体" w:hAnsi="Cambria Math" w:cs="Times New Roman"/>
                          <w:szCs w:val="21"/>
                        </w:rPr>
                        <m:t xml:space="preserve">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5&lt;</m:t>
                          </m:r>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 xml:space="preserve">≤20 </m:t>
                      </m:r>
                    </m:e>
                    <m:e>
                      <m:r>
                        <m:rPr>
                          <m:sty m:val="p"/>
                        </m:rPr>
                        <w:rPr>
                          <w:rFonts w:ascii="Cambria Math" w:eastAsia="宋体" w:hAnsi="Cambria Math" w:cs="Times New Roman"/>
                          <w:szCs w:val="21"/>
                        </w:rPr>
                        <m:t xml:space="preserve">1             </m:t>
                      </m:r>
                      <m:r>
                        <w:rPr>
                          <w:rFonts w:ascii="Cambria Math" w:eastAsia="宋体" w:hAnsi="Cambria Math" w:cs="Times New Roman"/>
                          <w:szCs w:val="21"/>
                        </w:rPr>
                        <m:t>if</m:t>
                      </m:r>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H</m:t>
                          </m:r>
                        </m:e>
                        <m:sub>
                          <m:r>
                            <w:rPr>
                              <w:rFonts w:ascii="Cambria Math" w:eastAsia="宋体" w:hAnsi="Cambria Math" w:cs="Times New Roman"/>
                              <w:szCs w:val="21"/>
                            </w:rPr>
                            <m:t>t</m:t>
                          </m:r>
                        </m:sub>
                      </m:sSub>
                      <m:r>
                        <m:rPr>
                          <m:sty m:val="p"/>
                        </m:rPr>
                        <w:rPr>
                          <w:rFonts w:ascii="Cambria Math" w:eastAsia="宋体" w:hAnsi="Cambria Math" w:cs="Times New Roman"/>
                          <w:szCs w:val="21"/>
                        </w:rPr>
                        <m:t>&gt;20</m:t>
                      </m:r>
                    </m:e>
                  </m:eqAr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11</m:t>
                  </m:r>
                </m:e>
              </m:d>
            </m:e>
          </m:eqArr>
        </m:oMath>
      </m:oMathPara>
    </w:p>
    <w:p w14:paraId="6BF2B145" w14:textId="70B914E1" w:rsidR="00401998" w:rsidRPr="00C613BE" w:rsidRDefault="00B41114"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To simulate component failure events, at each time step </w:t>
      </w:r>
      <m:oMath>
        <m:r>
          <w:rPr>
            <w:rFonts w:ascii="Cambria Math" w:eastAsia="宋体" w:hAnsi="Cambria Math" w:cs="Times New Roman"/>
            <w:szCs w:val="21"/>
          </w:rPr>
          <m:t>t</m:t>
        </m:r>
      </m:oMath>
      <w:r w:rsidRPr="00C613BE">
        <w:rPr>
          <w:rFonts w:ascii="Times New Roman" w:eastAsia="宋体" w:hAnsi="Times New Roman" w:cs="Times New Roman"/>
          <w:szCs w:val="21"/>
        </w:rPr>
        <w:t>, a random number </w:t>
      </w:r>
      <m:oMath>
        <m:r>
          <w:rPr>
            <w:rFonts w:ascii="Cambria Math" w:eastAsia="宋体" w:hAnsi="Cambria Math" w:cs="Times New Roman"/>
            <w:szCs w:val="21"/>
          </w:rPr>
          <m:t>r</m:t>
        </m:r>
      </m:oMath>
      <w:r w:rsidRPr="00C613BE">
        <w:rPr>
          <w:rFonts w:ascii="Times New Roman" w:eastAsia="宋体" w:hAnsi="Times New Roman" w:cs="Times New Roman"/>
          <w:szCs w:val="21"/>
        </w:rPr>
        <w:t xml:space="preserve"> </w:t>
      </w:r>
      <w:r w:rsidR="00401998" w:rsidRPr="00C613BE">
        <w:rPr>
          <w:rFonts w:ascii="Cambria Math" w:eastAsia="宋体" w:hAnsi="Cambria Math" w:cs="Cambria Math"/>
          <w:szCs w:val="21"/>
        </w:rPr>
        <w:t>∈</w:t>
      </w:r>
      <w:r w:rsidRPr="00C613BE">
        <w:rPr>
          <w:rFonts w:ascii="Times New Roman" w:eastAsia="宋体" w:hAnsi="Times New Roman" w:cs="Times New Roman"/>
          <w:szCs w:val="21"/>
        </w:rPr>
        <w:t xml:space="preserve"> </w:t>
      </w:r>
      <w:r w:rsidR="00401998" w:rsidRPr="00C613BE">
        <w:rPr>
          <w:rFonts w:ascii="Times New Roman" w:eastAsia="宋体" w:hAnsi="Times New Roman" w:cs="Times New Roman"/>
          <w:szCs w:val="21"/>
        </w:rPr>
        <w:t>[0,1]</w:t>
      </w:r>
      <w:r w:rsidRPr="00C613BE">
        <w:rPr>
          <w:rFonts w:ascii="Times New Roman" w:eastAsia="宋体" w:hAnsi="Times New Roman" w:cs="Times New Roman"/>
          <w:szCs w:val="21"/>
        </w:rPr>
        <w:t xml:space="preserve"> is generated for each component </w:t>
      </w:r>
      <m:oMath>
        <m:r>
          <w:rPr>
            <w:rFonts w:ascii="Cambria Math" w:eastAsia="宋体" w:hAnsi="Cambria Math" w:cs="Times New Roman"/>
            <w:szCs w:val="21"/>
          </w:rPr>
          <m:t>i</m:t>
        </m:r>
      </m:oMath>
      <w:r w:rsidRPr="00C613BE">
        <w:rPr>
          <w:rFonts w:ascii="Times New Roman" w:eastAsia="宋体" w:hAnsi="Times New Roman" w:cs="Times New Roman"/>
          <w:szCs w:val="21"/>
        </w:rPr>
        <w:t xml:space="preserve">. Failure is triggered if </w:t>
      </w:r>
      <m:oMath>
        <m:r>
          <w:rPr>
            <w:rFonts w:ascii="Cambria Math" w:eastAsia="宋体" w:hAnsi="Cambria Math" w:cs="Times New Roman"/>
            <w:szCs w:val="21"/>
          </w:rPr>
          <m:t>r</m:t>
        </m:r>
      </m:oMath>
      <w:r w:rsidR="00401998" w:rsidRPr="00C613BE">
        <w:rPr>
          <w:rFonts w:ascii="Times New Roman" w:eastAsia="宋体" w:hAnsi="Times New Roman" w:cs="Times New Roman"/>
          <w:szCs w:val="21"/>
        </w:rPr>
        <w:t xml:space="preserve"> &lt;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fail</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Pr="00C613BE">
        <w:rPr>
          <w:rFonts w:ascii="Times New Roman" w:eastAsia="宋体" w:hAnsi="Times New Roman" w:cs="Times New Roman"/>
          <w:szCs w:val="21"/>
        </w:rPr>
        <w:t>.</w:t>
      </w:r>
      <w:r w:rsidR="000649F8"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Affected components remain inoperable until repairs are completed. </w:t>
      </w:r>
      <w:r w:rsidR="00CC3756" w:rsidRPr="00C613BE">
        <w:rPr>
          <w:rFonts w:ascii="Times New Roman" w:eastAsia="宋体" w:hAnsi="Times New Roman" w:cs="Times New Roman"/>
          <w:szCs w:val="21"/>
        </w:rPr>
        <w:t xml:space="preserve">The repair duration </w:t>
      </w:r>
      <m:oMath>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repair</m:t>
            </m:r>
            <m:r>
              <m:rPr>
                <m:sty m:val="p"/>
              </m:rPr>
              <w:rPr>
                <w:rFonts w:ascii="Cambria Math" w:eastAsia="宋体" w:hAnsi="Cambria Math" w:cs="Times New Roman"/>
                <w:szCs w:val="21"/>
              </w:rPr>
              <m:t>,</m:t>
            </m:r>
            <m:r>
              <w:rPr>
                <w:rFonts w:ascii="Cambria Math" w:eastAsia="宋体" w:hAnsi="Cambria Math" w:cs="Times New Roman"/>
                <w:szCs w:val="21"/>
              </w:rPr>
              <m:t>i</m:t>
            </m:r>
          </m:sub>
        </m:sSub>
      </m:oMath>
      <w:r w:rsidR="00CC3756" w:rsidRPr="00C613BE">
        <w:rPr>
          <w:rFonts w:ascii="Times New Roman" w:eastAsia="宋体" w:hAnsi="Times New Roman" w:cs="Times New Roman"/>
          <w:szCs w:val="21"/>
        </w:rPr>
        <w:t>is determined based on assumptions accounting for the island</w:t>
      </w:r>
      <w:r w:rsidR="000649F8" w:rsidRPr="00C613BE">
        <w:rPr>
          <w:rFonts w:ascii="Times New Roman" w:eastAsia="宋体" w:hAnsi="Times New Roman" w:cs="Times New Roman"/>
          <w:szCs w:val="21"/>
        </w:rPr>
        <w:t>’</w:t>
      </w:r>
      <w:r w:rsidR="00CC3756" w:rsidRPr="00C613BE">
        <w:rPr>
          <w:rFonts w:ascii="Times New Roman" w:eastAsia="宋体" w:hAnsi="Times New Roman" w:cs="Times New Roman"/>
          <w:szCs w:val="21"/>
        </w:rPr>
        <w:t>s geographical constraints</w:t>
      </w:r>
      <w:r w:rsidR="00401998" w:rsidRPr="00C613BE">
        <w:rPr>
          <w:rFonts w:ascii="Times New Roman" w:eastAsia="宋体" w:hAnsi="Times New Roman" w:cs="Times New Roman"/>
          <w:szCs w:val="21"/>
        </w:rPr>
        <w:fldChar w:fldCharType="begin"/>
      </w:r>
      <w:r w:rsidR="000A7AE0">
        <w:rPr>
          <w:rFonts w:ascii="Times New Roman" w:eastAsia="宋体" w:hAnsi="Times New Roman" w:cs="Times New Roman"/>
          <w:szCs w:val="21"/>
        </w:rPr>
        <w:instrText xml:space="preserve"> ADDIN ZOTERO_ITEM CSL_CITATION {"citationID":"aNZ867J3","properties":{"formattedCitation":"\\super 34,35\\nosupersub{}","plainCitation":"34,35","noteIndex":0},"citationItems":[{"id":395,"uris":["http://zotero.org/users/16842078/items/H7L8G6QA"],"itemData":{"id":395,"type":"article-journal","abstract":"Determining and understanding offshore wind turbine failure rates and resource requirement for repair are vital for modelling and reducing O&amp;M costs and in turn reducing the cost of energy. While few offshore failure rates have been published in the past even less details on resource requirement for repair exist in the public domain. Based on ~350 offshore wind turbines throughout Europe this paper provides failure rates for the overall wind turbine and its sub-assemblies. It also provides failure rates by year of operation, cost category and failure modes for the components/sub-assemblies that are the highest contributor to the overall failure rate. Repair times, average repair costs and average number of technicians required for repair are also detailed in this paper. An onshore to offshore failure rate comparison is carried out for generators and converters based on this analysis and an analysis carried out in a past publication. The results of this paper will contribute to offshore wind O&amp;M cost and resource modelling and aid in better decision making for O&amp;M planners and managers. Copyright © 2015 John Wiley &amp; Sons, Ltd.","container-title":"Wind Energy","DOI":"10.1002/we.1887","ISSN":"1095-4244, 1099-1824","issue":"6","journalAbbreviation":"Wind Energy","language":"en","license":"http://onlinelibrary.wiley.com/termsAndConditions#vor","page":"1107-1119","source":"DOI.org (Crossref)","title":"Failure rate, repair time and unscheduled O&amp;M cost analysis of offshore wind turbines","volume":"19","author":[{"family":"Carroll","given":"James"},{"family":"McDonald","given":"Alasdair"},{"family":"McMillan","given":"David"}],"issued":{"date-parts":[["2016",6]]}}},{"id":397,"uris":["http://zotero.org/users/16842078/items/8EDVHZYE"],"itemData":{"id":397,"type":"article-journal","abstract":"The main purpose of this paper is to design a scientiﬁc-based probabilistic model based on Markov chains, to calculate reliability indicators, such as mean time between failure (MTBF) and mean time to failure (MTTF) based on probabilities, to compute failure rates based on statistical data, and to provide an algorithm to calculate the maximum number of interruptions and the maximum duration of one interruption for a photovoltaic power plant (PV-PP) meant to improve the operation and maintenance (O&amp;M) activities and optimize the stocks of the spare parts. Over almost two years, events are recorded at PV-PP Agigea with an installed power of 0.5 MW. The predictive maintenance of future events and stockpile sizing at the PV-PP Agigea are developed taking into account the maintenance activities carried out at the plant’s components since the commissioning of the PV-PP Agigea. Based on the PV-PP data and the intervention reports that consist of the incidents recorded between February 2016 and December 2017, it is intended to determine by statistical methods the following basic reliability indicators: failure rate, usually symbolized by λ, deﬁned as the average number of failures on time unit, and the maximum number of interruptions (Nmax ) eliminated through repairs or replacements during the reference period, determined for a certain level of risk.","container-title":"IEEE Access","DOI":"10.1109/ACCESS.2019.2907098","ISSN":"2169-3536","journalAbbreviation":"IEEE Access","language":"en","license":"https://ieeexplore.ieee.org/Xplorehelp/downloads/license-information/OAPA.html","page":"39142-39157","source":"DOI.org (Crossref)","title":"Photovoltaic Power Plants (PV-PP) Reliability Indicators for Improving Operation and Maintenance Activities. A Case Study of PV-PP Agigea Located in Romania","volume":"7","author":[{"family":"Oprea","given":"Simona-Vasilica"},{"family":"Bara","given":"Adela"},{"family":"Preotescu","given":"Dan"},{"family":"Elefterescu","given":"Luminita"}],"issued":{"date-parts":[["2019"]]}}}],"schema":"https://github.com/citation-style-language/schema/raw/master/csl-citation.json"} </w:instrText>
      </w:r>
      <w:r w:rsidR="00401998" w:rsidRPr="00C613BE">
        <w:rPr>
          <w:rFonts w:ascii="Times New Roman" w:eastAsia="宋体" w:hAnsi="Times New Roman" w:cs="Times New Roman"/>
          <w:szCs w:val="21"/>
        </w:rPr>
        <w:fldChar w:fldCharType="separate"/>
      </w:r>
      <w:r w:rsidR="000A7AE0" w:rsidRPr="000A7AE0">
        <w:rPr>
          <w:rFonts w:ascii="Times New Roman" w:hAnsi="Times New Roman" w:cs="Times New Roman"/>
          <w:kern w:val="0"/>
          <w:vertAlign w:val="superscript"/>
        </w:rPr>
        <w:t>34,35</w:t>
      </w:r>
      <w:r w:rsidR="00401998" w:rsidRPr="00C613BE">
        <w:rPr>
          <w:rFonts w:ascii="Times New Roman" w:eastAsia="宋体" w:hAnsi="Times New Roman" w:cs="Times New Roman"/>
          <w:szCs w:val="21"/>
        </w:rPr>
        <w:fldChar w:fldCharType="end"/>
      </w:r>
      <w:r w:rsidR="000649F8" w:rsidRPr="00C613BE">
        <w:rPr>
          <w:rFonts w:ascii="Times New Roman" w:eastAsia="宋体" w:hAnsi="Times New Roman" w:cs="Times New Roman"/>
          <w:szCs w:val="21"/>
        </w:rPr>
        <w:t>, with maintenance restricted to periods of wind speeds below 20 m/s due to extreme weather limitations. During repairs, failed components are considered unavailable, reducing system capacity and impacting overall energy supply reliability:</w:t>
      </w:r>
    </w:p>
    <w:p w14:paraId="58878240" w14:textId="4A97AEC2"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 xml:space="preserve">≤ </m:t>
              </m:r>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12</m:t>
                  </m:r>
                </m:e>
              </m:d>
            </m:e>
          </m:eqArr>
        </m:oMath>
      </m:oMathPara>
    </w:p>
    <w:p w14:paraId="619CB787" w14:textId="15FC63E0" w:rsidR="00401998" w:rsidRPr="00C613BE" w:rsidRDefault="000649F8"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oMath>
      <w:r w:rsidRPr="00C613BE">
        <w:rPr>
          <w:rFonts w:ascii="Times New Roman" w:eastAsia="宋体" w:hAnsi="Times New Roman" w:cs="Times New Roman"/>
          <w:szCs w:val="21"/>
        </w:rPr>
        <w:t xml:space="preserve"> is the actual output of component </w:t>
      </w:r>
      <m:oMath>
        <m:r>
          <w:rPr>
            <w:rFonts w:ascii="Cambria Math" w:eastAsia="宋体" w:hAnsi="Cambria Math" w:cs="Times New Roman"/>
            <w:szCs w:val="21"/>
          </w:rPr>
          <m:t>i</m:t>
        </m:r>
      </m:oMath>
      <w:r w:rsidRPr="00C613BE">
        <w:rPr>
          <w:rFonts w:ascii="Times New Roman" w:eastAsia="宋体" w:hAnsi="Times New Roman" w:cs="Times New Roman"/>
          <w:szCs w:val="21"/>
        </w:rPr>
        <w:t xml:space="preserve"> at time </w:t>
      </w:r>
      <m:oMath>
        <m:r>
          <w:rPr>
            <w:rFonts w:ascii="Cambria Math" w:eastAsia="宋体" w:hAnsi="Cambria Math" w:cs="Times New Roman"/>
            <w:szCs w:val="21"/>
          </w:rPr>
          <m:t>t</m:t>
        </m:r>
      </m:oMath>
      <w:r w:rsidR="00401998" w:rsidRPr="00C613BE">
        <w:rPr>
          <w:rFonts w:ascii="Times New Roman" w:eastAsia="宋体" w:hAnsi="Times New Roman" w:cs="Times New Roman"/>
          <w:szCs w:val="21"/>
        </w:rPr>
        <w:t>，</w:t>
      </w:r>
      <m:oMath>
        <m:sSub>
          <m:sSubPr>
            <m:ctrlPr>
              <w:rPr>
                <w:rFonts w:ascii="Cambria Math" w:eastAsia="宋体" w:hAnsi="Cambria Math" w:cs="Times New Roman"/>
                <w:szCs w:val="21"/>
              </w:rPr>
            </m:ctrlPr>
          </m:sSubPr>
          <m:e>
            <m:r>
              <w:rPr>
                <w:rFonts w:ascii="Cambria Math" w:eastAsia="宋体" w:hAnsi="Cambria Math" w:cs="Times New Roman"/>
                <w:szCs w:val="21"/>
              </w:rPr>
              <m:t>a</m:t>
            </m:r>
          </m:e>
          <m:sub>
            <m:r>
              <w:rPr>
                <w:rFonts w:ascii="Cambria Math" w:eastAsia="宋体" w:hAnsi="Cambria Math" w:cs="Times New Roman"/>
                <w:szCs w:val="21"/>
              </w:rPr>
              <m:t>i</m:t>
            </m:r>
          </m:sub>
        </m:sSub>
      </m:oMath>
      <w:r w:rsidR="00F87E49" w:rsidRPr="00C613BE">
        <w:rPr>
          <w:rFonts w:ascii="Times New Roman" w:eastAsia="宋体" w:hAnsi="Times New Roman" w:cs="Times New Roman"/>
          <w:szCs w:val="21"/>
        </w:rPr>
        <w:t xml:space="preserve"> denotes its rated capacity, and </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r>
          <m:rPr>
            <m:sty m:val="p"/>
          </m:rPr>
          <w:rPr>
            <w:rFonts w:ascii="Cambria Math" w:eastAsia="宋体" w:hAnsi="Cambria Math" w:cs="Times New Roman"/>
            <w:szCs w:val="21"/>
          </w:rPr>
          <m:t>(</m:t>
        </m:r>
        <m:r>
          <w:rPr>
            <w:rFonts w:ascii="Cambria Math" w:eastAsia="宋体" w:hAnsi="Cambria Math" w:cs="Times New Roman"/>
            <w:szCs w:val="21"/>
          </w:rPr>
          <m:t>t</m:t>
        </m:r>
        <m:r>
          <m:rPr>
            <m:sty m:val="p"/>
          </m:rPr>
          <w:rPr>
            <w:rFonts w:ascii="Cambria Math" w:eastAsia="宋体" w:hAnsi="Cambria Math" w:cs="Times New Roman"/>
            <w:szCs w:val="21"/>
          </w:rPr>
          <m:t>)</m:t>
        </m:r>
      </m:oMath>
      <w:r w:rsidR="00F87E49" w:rsidRPr="00C613BE">
        <w:rPr>
          <w:rFonts w:ascii="Times New Roman" w:eastAsia="宋体" w:hAnsi="Times New Roman" w:cs="Times New Roman"/>
          <w:szCs w:val="21"/>
        </w:rPr>
        <w:t xml:space="preserve"> is a binary state variable</w:t>
      </w:r>
      <w:r w:rsidR="004B3BB4" w:rsidRPr="00C613BE">
        <w:rPr>
          <w:rFonts w:ascii="Times New Roman" w:eastAsia="宋体" w:hAnsi="Times New Roman" w:cs="Times New Roman"/>
          <w:szCs w:val="21"/>
        </w:rPr>
        <w:t xml:space="preserve"> (</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=1</m:t>
        </m:r>
      </m:oMath>
      <w:r w:rsidR="004B3BB4" w:rsidRPr="00C613BE">
        <w:rPr>
          <w:rFonts w:ascii="Times New Roman" w:eastAsia="宋体" w:hAnsi="Times New Roman" w:cs="Times New Roman"/>
          <w:szCs w:val="21"/>
        </w:rPr>
        <w:t>: operational</w:t>
      </w:r>
      <w:r w:rsidR="00401998" w:rsidRPr="00C613BE">
        <w:rPr>
          <w:rFonts w:ascii="Times New Roman" w:eastAsia="宋体" w:hAnsi="Times New Roman" w:cs="Times New Roman"/>
          <w:szCs w:val="21"/>
        </w:rPr>
        <w:t>，</w:t>
      </w:r>
      <m:oMath>
        <m:sSub>
          <m:sSubPr>
            <m:ctrlPr>
              <w:rPr>
                <w:rFonts w:ascii="Cambria Math" w:eastAsia="宋体" w:hAnsi="Cambria Math" w:cs="Times New Roman"/>
                <w:szCs w:val="21"/>
              </w:rPr>
            </m:ctrlPr>
          </m:sSubPr>
          <m:e>
            <m:r>
              <w:rPr>
                <w:rFonts w:ascii="Cambria Math" w:eastAsia="宋体" w:hAnsi="Cambria Math" w:cs="Times New Roman"/>
                <w:szCs w:val="21"/>
              </w:rPr>
              <m:t>S</m:t>
            </m:r>
          </m:e>
          <m:sub>
            <m:r>
              <w:rPr>
                <w:rFonts w:ascii="Cambria Math" w:eastAsia="宋体" w:hAnsi="Cambria Math" w:cs="Times New Roman"/>
                <w:szCs w:val="21"/>
              </w:rPr>
              <m:t>i</m:t>
            </m:r>
          </m:sub>
        </m:sSub>
        <m:d>
          <m:dPr>
            <m:ctrlPr>
              <w:rPr>
                <w:rFonts w:ascii="Cambria Math" w:eastAsia="宋体" w:hAnsi="Cambria Math" w:cs="Times New Roman"/>
                <w:szCs w:val="21"/>
              </w:rPr>
            </m:ctrlPr>
          </m:dPr>
          <m:e>
            <m:r>
              <w:rPr>
                <w:rFonts w:ascii="Cambria Math" w:eastAsia="宋体" w:hAnsi="Cambria Math" w:cs="Times New Roman"/>
                <w:szCs w:val="21"/>
              </w:rPr>
              <m:t>t</m:t>
            </m:r>
          </m:e>
        </m:d>
        <m:r>
          <m:rPr>
            <m:sty m:val="p"/>
          </m:rPr>
          <w:rPr>
            <w:rFonts w:ascii="Cambria Math" w:eastAsia="宋体" w:hAnsi="Cambria Math" w:cs="Times New Roman"/>
            <w:szCs w:val="21"/>
          </w:rPr>
          <m:t>=0</m:t>
        </m:r>
      </m:oMath>
      <w:r w:rsidR="004B3BB4" w:rsidRPr="00C613BE">
        <w:rPr>
          <w:rFonts w:ascii="Times New Roman" w:eastAsia="宋体" w:hAnsi="Times New Roman" w:cs="Times New Roman"/>
          <w:szCs w:val="21"/>
        </w:rPr>
        <w:t>: failed).</w:t>
      </w:r>
    </w:p>
    <w:p w14:paraId="08A8BA96" w14:textId="77777777" w:rsidR="00AA36B7" w:rsidRPr="00C613BE" w:rsidRDefault="00AA36B7"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The Average Service Availability Index (</w:t>
      </w:r>
      <w:r w:rsidRPr="00C613BE">
        <w:rPr>
          <w:rFonts w:ascii="Times New Roman" w:eastAsia="宋体" w:hAnsi="Times New Roman" w:cs="Times New Roman"/>
          <w:i/>
          <w:iCs/>
          <w:szCs w:val="21"/>
        </w:rPr>
        <w:t>ASAI</w:t>
      </w:r>
      <w:r w:rsidRPr="00C613BE">
        <w:rPr>
          <w:rFonts w:ascii="Times New Roman" w:eastAsia="宋体" w:hAnsi="Times New Roman" w:cs="Times New Roman"/>
          <w:szCs w:val="21"/>
        </w:rPr>
        <w:t xml:space="preserve">) quantifies the energy system’s sustained supply </w:t>
      </w:r>
      <w:r w:rsidRPr="00C613BE">
        <w:rPr>
          <w:rFonts w:ascii="Times New Roman" w:eastAsia="宋体" w:hAnsi="Times New Roman" w:cs="Times New Roman"/>
          <w:szCs w:val="21"/>
        </w:rPr>
        <w:lastRenderedPageBreak/>
        <w:t>capability for each load type:</w:t>
      </w:r>
    </w:p>
    <w:p w14:paraId="3EF886C8" w14:textId="220A854E" w:rsidR="00401998" w:rsidRPr="00C613BE" w:rsidRDefault="00000000" w:rsidP="00C14660">
      <w:pPr>
        <w:ind w:firstLineChars="200" w:firstLine="420"/>
        <w:rPr>
          <w:rFonts w:ascii="Times New Roman" w:eastAsia="宋体" w:hAnsi="Times New Roman" w:cs="Times New Roman"/>
          <w:szCs w:val="21"/>
        </w:rPr>
      </w:pPr>
      <m:oMathPara>
        <m:oMath>
          <m:eqArr>
            <m:eqArrPr>
              <m:maxDist m:val="1"/>
              <m:ctrlPr>
                <w:rPr>
                  <w:rFonts w:ascii="Cambria Math" w:eastAsia="宋体" w:hAnsi="Cambria Math" w:cs="Times New Roman"/>
                  <w:szCs w:val="21"/>
                </w:rPr>
              </m:ctrlPr>
            </m:eqArrPr>
            <m:e>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r>
                <m:rPr>
                  <m:sty m:val="p"/>
                </m:rPr>
                <w:rPr>
                  <w:rFonts w:ascii="Cambria Math" w:eastAsia="宋体" w:hAnsi="Cambria Math" w:cs="Times New Roman"/>
                  <w:szCs w:val="21"/>
                </w:rPr>
                <m:t>=</m:t>
              </m:r>
              <m:d>
                <m:dPr>
                  <m:ctrlPr>
                    <w:rPr>
                      <w:rFonts w:ascii="Cambria Math" w:eastAsia="宋体" w:hAnsi="Cambria Math" w:cs="Times New Roman"/>
                      <w:szCs w:val="21"/>
                    </w:rPr>
                  </m:ctrlPr>
                </m:dPr>
                <m:e>
                  <m:r>
                    <m:rPr>
                      <m:sty m:val="p"/>
                    </m:rPr>
                    <w:rPr>
                      <w:rFonts w:ascii="Cambria Math" w:eastAsia="宋体" w:hAnsi="Cambria Math" w:cs="Times New Roman"/>
                      <w:szCs w:val="21"/>
                    </w:rPr>
                    <m:t>1-</m:t>
                  </m:r>
                  <m:nary>
                    <m:naryPr>
                      <m:chr m:val="∑"/>
                      <m:limLoc m:val="undOvr"/>
                      <m:ctrlPr>
                        <w:rPr>
                          <w:rFonts w:ascii="Cambria Math" w:eastAsia="宋体" w:hAnsi="Cambria Math" w:cs="Times New Roman"/>
                          <w:szCs w:val="21"/>
                        </w:rPr>
                      </m:ctrlPr>
                    </m:naryPr>
                    <m:sub>
                      <m:r>
                        <w:rPr>
                          <w:rFonts w:ascii="Cambria Math" w:eastAsia="宋体" w:hAnsi="Cambria Math" w:cs="Times New Roman"/>
                          <w:szCs w:val="21"/>
                        </w:rPr>
                        <m:t>t</m:t>
                      </m:r>
                      <m:r>
                        <m:rPr>
                          <m:sty m:val="p"/>
                        </m:rPr>
                        <w:rPr>
                          <w:rFonts w:ascii="Cambria Math" w:eastAsia="宋体" w:hAnsi="Cambria Math" w:cs="Times New Roman"/>
                          <w:szCs w:val="21"/>
                        </w:rPr>
                        <m:t>=1</m:t>
                      </m:r>
                    </m:sub>
                    <m:sup>
                      <m:r>
                        <w:rPr>
                          <w:rFonts w:ascii="Cambria Math" w:eastAsia="宋体" w:hAnsi="Cambria Math" w:cs="Times New Roman"/>
                          <w:szCs w:val="21"/>
                        </w:rPr>
                        <m:t>h</m:t>
                      </m:r>
                    </m:sup>
                    <m:e>
                      <m:f>
                        <m:fPr>
                          <m:ctrlPr>
                            <w:rPr>
                              <w:rFonts w:ascii="Cambria Math" w:eastAsia="宋体" w:hAnsi="Cambria Math" w:cs="Times New Roman"/>
                              <w:szCs w:val="21"/>
                            </w:rPr>
                          </m:ctrlPr>
                        </m:fPr>
                        <m:num>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cut</m:t>
                              </m:r>
                            </m:sub>
                          </m:sSub>
                          <m:d>
                            <m:dPr>
                              <m:ctrlPr>
                                <w:rPr>
                                  <w:rFonts w:ascii="Cambria Math" w:eastAsia="宋体" w:hAnsi="Cambria Math" w:cs="Times New Roman"/>
                                  <w:szCs w:val="21"/>
                                </w:rPr>
                              </m:ctrlPr>
                            </m:dPr>
                            <m:e>
                              <m:r>
                                <w:rPr>
                                  <w:rFonts w:ascii="Cambria Math" w:eastAsia="宋体" w:hAnsi="Cambria Math" w:cs="Times New Roman"/>
                                  <w:szCs w:val="21"/>
                                </w:rPr>
                                <m:t>t</m:t>
                              </m:r>
                            </m:e>
                          </m:d>
                        </m:num>
                        <m:den>
                          <m:r>
                            <w:rPr>
                              <w:rFonts w:ascii="Cambria Math" w:eastAsia="宋体" w:hAnsi="Cambria Math" w:cs="Times New Roman"/>
                              <w:szCs w:val="21"/>
                            </w:rPr>
                            <m:t>h</m:t>
                          </m:r>
                        </m:den>
                      </m:f>
                    </m:e>
                  </m:nary>
                </m:e>
              </m:d>
              <m:r>
                <m:rPr>
                  <m:sty m:val="p"/>
                </m:rPr>
                <w:rPr>
                  <w:rFonts w:ascii="Cambria Math" w:eastAsia="宋体" w:hAnsi="Cambria Math" w:cs="Times New Roman"/>
                  <w:szCs w:val="21"/>
                </w:rPr>
                <m:t>×100% #</m:t>
              </m:r>
              <m:d>
                <m:dPr>
                  <m:ctrlPr>
                    <w:rPr>
                      <w:rFonts w:ascii="Cambria Math" w:eastAsia="宋体" w:hAnsi="Cambria Math" w:cs="Times New Roman"/>
                      <w:szCs w:val="21"/>
                    </w:rPr>
                  </m:ctrlPr>
                </m:dPr>
                <m:e>
                  <m:r>
                    <m:rPr>
                      <m:sty m:val="p"/>
                    </m:rPr>
                    <w:rPr>
                      <w:rFonts w:ascii="Cambria Math" w:eastAsia="宋体" w:hAnsi="Cambria Math" w:cs="Times New Roman"/>
                      <w:szCs w:val="21"/>
                    </w:rPr>
                    <m:t>13</m:t>
                  </m:r>
                </m:e>
              </m:d>
              <m:ctrlPr>
                <w:rPr>
                  <w:rFonts w:ascii="Cambria Math" w:eastAsia="Cambria Math" w:hAnsi="Cambria Math" w:cs="Times New Roman"/>
                  <w:szCs w:val="21"/>
                </w:rPr>
              </m:ctrlPr>
            </m:e>
            <m:e>
              <m:r>
                <m:rPr>
                  <m:sty m:val="p"/>
                </m:rPr>
                <w:rPr>
                  <w:rFonts w:ascii="Cambria Math" w:eastAsia="宋体" w:hAnsi="Cambria Math" w:cs="Times New Roman"/>
                  <w:szCs w:val="21"/>
                </w:rPr>
                <m:t xml:space="preserve"> </m:t>
              </m:r>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Elec</m:t>
              </m:r>
              <m:r>
                <m:rPr>
                  <m:sty m:val="p"/>
                </m:rPr>
                <w:rPr>
                  <w:rFonts w:ascii="Cambria Math" w:eastAsia="宋体" w:hAnsi="Cambria Math" w:cs="Times New Roman"/>
                  <w:szCs w:val="21"/>
                </w:rPr>
                <m:t>,</m:t>
              </m:r>
              <m:r>
                <w:rPr>
                  <w:rFonts w:ascii="Cambria Math" w:eastAsia="宋体" w:hAnsi="Cambria Math" w:cs="Times New Roman"/>
                  <w:szCs w:val="21"/>
                </w:rPr>
                <m:t>Heat</m:t>
              </m:r>
              <m:r>
                <m:rPr>
                  <m:sty m:val="p"/>
                </m:rPr>
                <w:rPr>
                  <w:rFonts w:ascii="Cambria Math" w:eastAsia="宋体" w:hAnsi="Cambria Math" w:cs="Times New Roman"/>
                  <w:szCs w:val="21"/>
                </w:rPr>
                <m:t>,</m:t>
              </m:r>
              <m:r>
                <w:rPr>
                  <w:rFonts w:ascii="Cambria Math" w:eastAsia="宋体" w:hAnsi="Cambria Math" w:cs="Times New Roman"/>
                  <w:szCs w:val="21"/>
                </w:rPr>
                <m:t>Cooling</m:t>
              </m:r>
              <m:r>
                <m:rPr>
                  <m:sty m:val="p"/>
                </m:rPr>
                <w:rPr>
                  <w:rFonts w:ascii="Cambria Math" w:eastAsia="宋体" w:hAnsi="Cambria Math" w:cs="Times New Roman"/>
                  <w:szCs w:val="21"/>
                </w:rPr>
                <m:t>}</m:t>
              </m:r>
            </m:e>
          </m:eqArr>
        </m:oMath>
      </m:oMathPara>
    </w:p>
    <w:p w14:paraId="5F578CB5" w14:textId="403C5FB5" w:rsidR="00401998" w:rsidRPr="00C613BE" w:rsidRDefault="00AA36B7" w:rsidP="00C14660">
      <w:pPr>
        <w:ind w:firstLineChars="200" w:firstLine="420"/>
        <w:rPr>
          <w:rFonts w:ascii="Times New Roman" w:eastAsia="宋体" w:hAnsi="Times New Roman" w:cs="Times New Roman"/>
          <w:szCs w:val="21"/>
        </w:rPr>
      </w:pPr>
      <w:r w:rsidRPr="00C613BE">
        <w:rPr>
          <w:rFonts w:ascii="Times New Roman" w:eastAsia="宋体" w:hAnsi="Times New Roman" w:cs="Times New Roman"/>
          <w:szCs w:val="21"/>
        </w:rPr>
        <w:t xml:space="preserve">Where </w:t>
      </w:r>
      <m:oMath>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oMath>
      <w:r w:rsidRPr="00C613BE">
        <w:rPr>
          <w:rFonts w:ascii="Times New Roman" w:eastAsia="宋体" w:hAnsi="Times New Roman" w:cs="Times New Roman"/>
          <w:szCs w:val="21"/>
        </w:rPr>
        <w:t xml:space="preserve"> is the average service availability index of system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w:t>
      </w:r>
      <m:oMath>
        <m:r>
          <w:rPr>
            <w:rFonts w:ascii="Cambria Math" w:eastAsia="宋体" w:hAnsi="Cambria Math" w:cs="Times New Roman"/>
            <w:szCs w:val="21"/>
          </w:rPr>
          <m:t>h</m:t>
        </m:r>
      </m:oMath>
      <w:r w:rsidRPr="00C613BE">
        <w:rPr>
          <w:rFonts w:ascii="Times New Roman" w:eastAsia="宋体" w:hAnsi="Times New Roman" w:cs="Times New Roman"/>
          <w:szCs w:val="21"/>
        </w:rPr>
        <w:t xml:space="preserve"> is the total simulation time steps, </w:t>
      </w:r>
      <m:oMath>
        <m:sSub>
          <m:sSubPr>
            <m:ctrlPr>
              <w:rPr>
                <w:rFonts w:ascii="Cambria Math" w:eastAsia="宋体" w:hAnsi="Cambria Math" w:cs="Times New Roman"/>
                <w:szCs w:val="21"/>
              </w:rPr>
            </m:ctrlPr>
          </m:sSubPr>
          <m:e>
            <m:r>
              <w:rPr>
                <w:rFonts w:ascii="Cambria Math" w:eastAsia="宋体" w:hAnsi="Cambria Math" w:cs="Times New Roman"/>
                <w:szCs w:val="21"/>
              </w:rPr>
              <m:t>T</m:t>
            </m:r>
          </m:e>
          <m:sub>
            <m:r>
              <w:rPr>
                <w:rFonts w:ascii="Cambria Math" w:eastAsia="宋体" w:hAnsi="Cambria Math" w:cs="Times New Roman"/>
                <w:szCs w:val="21"/>
              </w:rPr>
              <m:t>m</m:t>
            </m:r>
            <m:r>
              <m:rPr>
                <m:sty m:val="p"/>
              </m:rPr>
              <w:rPr>
                <w:rFonts w:ascii="Cambria Math" w:eastAsia="宋体" w:hAnsi="Cambria Math" w:cs="Times New Roman"/>
                <w:szCs w:val="21"/>
              </w:rPr>
              <m:t>,</m:t>
            </m:r>
            <m:r>
              <w:rPr>
                <w:rFonts w:ascii="Cambria Math" w:eastAsia="宋体" w:hAnsi="Cambria Math" w:cs="Times New Roman"/>
                <w:szCs w:val="21"/>
              </w:rPr>
              <m:t>cut</m:t>
            </m:r>
          </m:sub>
        </m:sSub>
        <m:r>
          <m:rPr>
            <m:sty m:val="p"/>
          </m:rPr>
          <w:rPr>
            <w:rFonts w:ascii="Cambria Math" w:eastAsia="宋体" w:hAnsi="Cambria Math" w:cs="Times New Roman"/>
            <w:szCs w:val="21"/>
          </w:rPr>
          <m:t>(</m:t>
        </m:r>
        <m:r>
          <w:rPr>
            <w:rFonts w:ascii="Cambria Math" w:eastAsia="宋体" w:hAnsi="Cambria Math" w:cs="Times New Roman"/>
            <w:szCs w:val="21"/>
          </w:rPr>
          <m:t>t</m:t>
        </m:r>
        <m:r>
          <m:rPr>
            <m:sty m:val="p"/>
          </m:rPr>
          <w:rPr>
            <w:rFonts w:ascii="Cambria Math" w:eastAsia="宋体" w:hAnsi="Cambria Math" w:cs="Times New Roman"/>
            <w:szCs w:val="21"/>
          </w:rPr>
          <m:t>)</m:t>
        </m:r>
      </m:oMath>
      <w:r w:rsidR="00471253" w:rsidRPr="00C613BE">
        <w:rPr>
          <w:rFonts w:ascii="Times New Roman" w:eastAsia="宋体" w:hAnsi="Times New Roman" w:cs="Times New Roman"/>
          <w:szCs w:val="21"/>
        </w:rPr>
        <w:t xml:space="preserve"> </w:t>
      </w:r>
      <w:r w:rsidRPr="00C613BE">
        <w:rPr>
          <w:rFonts w:ascii="Times New Roman" w:eastAsia="宋体" w:hAnsi="Times New Roman" w:cs="Times New Roman"/>
          <w:szCs w:val="21"/>
        </w:rPr>
        <w:t xml:space="preserve">denotes the duration of supply deficit for system </w:t>
      </w:r>
      <m:oMath>
        <m:r>
          <w:rPr>
            <w:rFonts w:ascii="Cambria Math" w:eastAsia="宋体" w:hAnsi="Cambria Math" w:cs="Times New Roman"/>
            <w:szCs w:val="21"/>
          </w:rPr>
          <m:t>m</m:t>
        </m:r>
      </m:oMath>
      <w:r w:rsidRPr="00C613BE">
        <w:rPr>
          <w:rFonts w:ascii="Times New Roman" w:eastAsia="宋体" w:hAnsi="Times New Roman" w:cs="Times New Roman"/>
          <w:szCs w:val="21"/>
        </w:rPr>
        <w:t xml:space="preserve"> at time </w:t>
      </w:r>
      <m:oMath>
        <m:r>
          <w:rPr>
            <w:rFonts w:ascii="Cambria Math" w:eastAsia="宋体" w:hAnsi="Cambria Math" w:cs="Times New Roman"/>
            <w:szCs w:val="21"/>
          </w:rPr>
          <m:t>t</m:t>
        </m:r>
      </m:oMath>
      <w:r w:rsidRPr="00C613BE">
        <w:rPr>
          <w:rFonts w:ascii="Times New Roman" w:eastAsia="宋体" w:hAnsi="Times New Roman" w:cs="Times New Roman"/>
          <w:szCs w:val="21"/>
        </w:rPr>
        <w:t>.</w:t>
      </w:r>
    </w:p>
    <w:p w14:paraId="5D879D2E" w14:textId="15E92CA3" w:rsidR="009C7819" w:rsidRPr="00C613BE" w:rsidRDefault="000A09E7" w:rsidP="00C14660">
      <w:pPr>
        <w:ind w:firstLine="420"/>
        <w:rPr>
          <w:rFonts w:ascii="Times New Roman" w:eastAsia="宋体" w:hAnsi="Times New Roman" w:cs="Times New Roman"/>
          <w:szCs w:val="21"/>
        </w:rPr>
      </w:pPr>
      <w:r w:rsidRPr="00C613BE">
        <w:rPr>
          <w:rFonts w:ascii="Times New Roman" w:eastAsia="宋体" w:hAnsi="Times New Roman" w:cs="Times New Roman"/>
          <w:szCs w:val="21"/>
        </w:rPr>
        <w:t>This reliability constraint (</w:t>
      </w:r>
      <m:oMath>
        <m:sSub>
          <m:sSubPr>
            <m:ctrlPr>
              <w:rPr>
                <w:rFonts w:ascii="Cambria Math" w:eastAsia="宋体" w:hAnsi="Cambria Math" w:cs="Times New Roman"/>
                <w:szCs w:val="21"/>
              </w:rPr>
            </m:ctrlPr>
          </m:sSubPr>
          <m:e>
            <m:r>
              <w:rPr>
                <w:rFonts w:ascii="Cambria Math" w:eastAsia="宋体" w:hAnsi="Cambria Math" w:cs="Times New Roman"/>
                <w:szCs w:val="21"/>
              </w:rPr>
              <m:t>ASAI</m:t>
            </m:r>
          </m:e>
          <m:sub>
            <m:r>
              <w:rPr>
                <w:rFonts w:ascii="Cambria Math" w:eastAsia="宋体" w:hAnsi="Cambria Math" w:cs="Times New Roman"/>
                <w:szCs w:val="21"/>
              </w:rPr>
              <m:t>m</m:t>
            </m:r>
          </m:sub>
        </m:sSub>
      </m:oMath>
      <w:r w:rsidRPr="00C613BE">
        <w:rPr>
          <w:rFonts w:ascii="Times New Roman" w:eastAsia="宋体" w:hAnsi="Times New Roman" w:cs="Times New Roman"/>
          <w:szCs w:val="21"/>
        </w:rPr>
        <w:t xml:space="preserve"> ≥ 99%) is embedded in the lower-level optimization model, ensuring the island’s energy system meets minimum supply requirements under disaster scenarios.</w:t>
      </w:r>
      <w:r w:rsidR="00346EAE" w:rsidRPr="00C613BE">
        <w:rPr>
          <w:rFonts w:ascii="Times New Roman" w:eastAsia="宋体" w:hAnsi="Times New Roman" w:cs="Times New Roman"/>
          <w:szCs w:val="21"/>
        </w:rPr>
        <w:t xml:space="preserve"> Detailed model formulations are provided in Supplementary Note 3.</w:t>
      </w:r>
    </w:p>
    <w:p w14:paraId="157CE901" w14:textId="77777777" w:rsidR="009C7819" w:rsidRPr="00C613BE" w:rsidRDefault="009C7819" w:rsidP="00C14660">
      <w:pPr>
        <w:rPr>
          <w:rFonts w:ascii="Times New Roman" w:eastAsia="宋体" w:hAnsi="Times New Roman" w:cs="Times New Roman"/>
          <w:szCs w:val="21"/>
        </w:rPr>
      </w:pPr>
    </w:p>
    <w:p w14:paraId="45736C49" w14:textId="035E8671" w:rsidR="009C7819" w:rsidRPr="00C613BE" w:rsidRDefault="00804C7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Data availability</w:t>
      </w:r>
    </w:p>
    <w:p w14:paraId="613D1630" w14:textId="0A07AEF1" w:rsidR="00B907DB" w:rsidRPr="00C613BE" w:rsidRDefault="007A709A" w:rsidP="00C14660">
      <w:pPr>
        <w:rPr>
          <w:rFonts w:ascii="Times New Roman" w:eastAsia="宋体" w:hAnsi="Times New Roman" w:cs="Times New Roman"/>
          <w:szCs w:val="21"/>
        </w:rPr>
      </w:pPr>
      <w:r w:rsidRPr="00C613BE">
        <w:rPr>
          <w:rFonts w:ascii="Times New Roman" w:eastAsia="宋体" w:hAnsi="Times New Roman" w:cs="Times New Roman"/>
          <w:szCs w:val="21"/>
        </w:rPr>
        <w:tab/>
      </w:r>
      <w:r w:rsidR="00D92935" w:rsidRPr="00C613BE">
        <w:rPr>
          <w:rFonts w:ascii="Times New Roman" w:eastAsia="宋体" w:hAnsi="Times New Roman" w:cs="Times New Roman"/>
          <w:szCs w:val="21"/>
        </w:rPr>
        <w:t>The wind and photovoltaic power generation profiles, as well as heating/cooling demand data, were obtained from the </w:t>
      </w:r>
      <w:r w:rsidR="00D92935" w:rsidRPr="00C613BE">
        <w:rPr>
          <w:rFonts w:ascii="Times New Roman" w:eastAsia="宋体" w:hAnsi="Times New Roman" w:cs="Times New Roman"/>
          <w:i/>
          <w:iCs/>
          <w:szCs w:val="21"/>
        </w:rPr>
        <w:t>Renewables.ninja</w:t>
      </w:r>
      <w:r w:rsidR="00D92935" w:rsidRPr="00C613BE">
        <w:rPr>
          <w:rFonts w:ascii="Times New Roman" w:eastAsia="宋体" w:hAnsi="Times New Roman" w:cs="Times New Roman"/>
          <w:szCs w:val="21"/>
        </w:rPr>
        <w:t> model and are available at </w:t>
      </w:r>
      <w:hyperlink r:id="rId16" w:tgtFrame="_blank" w:history="1">
        <w:r w:rsidR="00D92935" w:rsidRPr="00C613BE">
          <w:rPr>
            <w:rStyle w:val="af1"/>
            <w:rFonts w:ascii="Times New Roman" w:eastAsia="宋体" w:hAnsi="Times New Roman" w:cs="Times New Roman"/>
            <w:szCs w:val="21"/>
          </w:rPr>
          <w:t>https://www.renewables.ninja/</w:t>
        </w:r>
      </w:hyperlink>
      <w:r w:rsidR="00D92935" w:rsidRPr="00C613BE">
        <w:rPr>
          <w:rFonts w:ascii="Times New Roman" w:eastAsia="宋体" w:hAnsi="Times New Roman" w:cs="Times New Roman"/>
          <w:szCs w:val="21"/>
        </w:rPr>
        <w:t>. Wave energy and wave height data were sourced from the </w:t>
      </w:r>
      <w:r w:rsidR="00D92935" w:rsidRPr="00C613BE">
        <w:rPr>
          <w:rFonts w:ascii="Times New Roman" w:eastAsia="宋体" w:hAnsi="Times New Roman" w:cs="Times New Roman"/>
          <w:i/>
          <w:iCs/>
          <w:szCs w:val="21"/>
        </w:rPr>
        <w:t>Science Data Bank</w:t>
      </w:r>
      <w:r w:rsidR="00D92935" w:rsidRPr="00C613BE">
        <w:rPr>
          <w:rFonts w:ascii="Times New Roman" w:eastAsia="宋体" w:hAnsi="Times New Roman" w:cs="Times New Roman"/>
          <w:szCs w:val="21"/>
        </w:rPr>
        <w:t> repository at </w:t>
      </w:r>
      <w:hyperlink r:id="rId17" w:tgtFrame="_blank" w:history="1">
        <w:r w:rsidR="00D92935" w:rsidRPr="00C613BE">
          <w:rPr>
            <w:rStyle w:val="af1"/>
            <w:rFonts w:ascii="Times New Roman" w:eastAsia="宋体" w:hAnsi="Times New Roman" w:cs="Times New Roman"/>
            <w:szCs w:val="21"/>
          </w:rPr>
          <w:t>https://www.scidb.cn/en/detail?dataSetId=700894282ab745d0b420fe0844c924ae&amp;version=V2</w:t>
        </w:r>
      </w:hyperlink>
      <w:r w:rsidR="00D92935" w:rsidRPr="00C613BE">
        <w:rPr>
          <w:rFonts w:ascii="Times New Roman" w:eastAsia="宋体" w:hAnsi="Times New Roman" w:cs="Times New Roman"/>
          <w:szCs w:val="21"/>
        </w:rPr>
        <w:t>. Population distribution data were derived from the </w:t>
      </w:r>
      <w:r w:rsidR="00D92935" w:rsidRPr="00C613BE">
        <w:rPr>
          <w:rFonts w:ascii="Times New Roman" w:eastAsia="宋体" w:hAnsi="Times New Roman" w:cs="Times New Roman"/>
          <w:i/>
          <w:iCs/>
          <w:szCs w:val="21"/>
        </w:rPr>
        <w:t>LandScan</w:t>
      </w:r>
      <w:r w:rsidR="00D92935" w:rsidRPr="00C613BE">
        <w:rPr>
          <w:rFonts w:ascii="Times New Roman" w:eastAsia="宋体" w:hAnsi="Times New Roman" w:cs="Times New Roman"/>
          <w:szCs w:val="21"/>
        </w:rPr>
        <w:t> database hosted by Oak Ridge National Laboratory and are accessible at </w:t>
      </w:r>
      <w:hyperlink r:id="rId18" w:tgtFrame="_blank" w:history="1">
        <w:r w:rsidR="00D92935" w:rsidRPr="00C613BE">
          <w:rPr>
            <w:rStyle w:val="af1"/>
            <w:rFonts w:ascii="Times New Roman" w:eastAsia="宋体" w:hAnsi="Times New Roman" w:cs="Times New Roman"/>
            <w:szCs w:val="21"/>
          </w:rPr>
          <w:t>https://landscan.ornl.gov/</w:t>
        </w:r>
      </w:hyperlink>
      <w:r w:rsidR="00D92935" w:rsidRPr="00C613BE">
        <w:rPr>
          <w:rFonts w:ascii="Times New Roman" w:eastAsia="宋体" w:hAnsi="Times New Roman" w:cs="Times New Roman"/>
          <w:szCs w:val="21"/>
        </w:rPr>
        <w:t>. Climate model data were downloaded from the </w:t>
      </w:r>
      <w:r w:rsidR="00D92935" w:rsidRPr="00C613BE">
        <w:rPr>
          <w:rFonts w:ascii="Times New Roman" w:eastAsia="宋体" w:hAnsi="Times New Roman" w:cs="Times New Roman"/>
          <w:i/>
          <w:iCs/>
          <w:szCs w:val="21"/>
        </w:rPr>
        <w:t>Earth System Grid Federation (ESGF)</w:t>
      </w:r>
      <w:r w:rsidR="00D92935" w:rsidRPr="00C613BE">
        <w:rPr>
          <w:rFonts w:ascii="Times New Roman" w:eastAsia="宋体" w:hAnsi="Times New Roman" w:cs="Times New Roman"/>
          <w:szCs w:val="21"/>
        </w:rPr>
        <w:t> portal (</w:t>
      </w:r>
      <w:hyperlink r:id="rId19" w:tgtFrame="_blank" w:history="1">
        <w:r w:rsidR="00D92935" w:rsidRPr="00C613BE">
          <w:rPr>
            <w:rStyle w:val="af1"/>
            <w:rFonts w:ascii="Times New Roman" w:eastAsia="宋体" w:hAnsi="Times New Roman" w:cs="Times New Roman"/>
            <w:szCs w:val="21"/>
          </w:rPr>
          <w:t>https://esgf-ui.ceda.ac.uk/cog/search/cmip6-ceda/</w:t>
        </w:r>
      </w:hyperlink>
      <w:r w:rsidR="00D92935" w:rsidRPr="00C613BE">
        <w:rPr>
          <w:rFonts w:ascii="Times New Roman" w:eastAsia="宋体" w:hAnsi="Times New Roman" w:cs="Times New Roman"/>
          <w:szCs w:val="21"/>
        </w:rPr>
        <w:t>).</w:t>
      </w:r>
    </w:p>
    <w:p w14:paraId="6A514185" w14:textId="77777777" w:rsidR="00804C7B" w:rsidRPr="00C613BE" w:rsidRDefault="00804C7B" w:rsidP="00C14660">
      <w:pPr>
        <w:rPr>
          <w:rFonts w:ascii="Times New Roman" w:eastAsia="宋体" w:hAnsi="Times New Roman" w:cs="Times New Roman"/>
          <w:szCs w:val="21"/>
        </w:rPr>
      </w:pPr>
    </w:p>
    <w:p w14:paraId="4CB8FB92" w14:textId="18C7AD56" w:rsidR="00804C7B" w:rsidRPr="00C613BE" w:rsidRDefault="00804C7B"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Code availability</w:t>
      </w:r>
    </w:p>
    <w:p w14:paraId="2E651DBF" w14:textId="08C8F6A6" w:rsidR="00804C7B" w:rsidRPr="00C613BE" w:rsidRDefault="00FA7E30" w:rsidP="00C14660">
      <w:pPr>
        <w:ind w:firstLine="420"/>
        <w:rPr>
          <w:rFonts w:ascii="Times New Roman" w:eastAsia="宋体" w:hAnsi="Times New Roman" w:cs="Times New Roman"/>
          <w:szCs w:val="21"/>
          <w14:ligatures w14:val="none"/>
        </w:rPr>
      </w:pPr>
      <w:r w:rsidRPr="00C613BE">
        <w:rPr>
          <w:rFonts w:ascii="Times New Roman" w:eastAsia="宋体" w:hAnsi="Times New Roman" w:cs="Times New Roman"/>
          <w:szCs w:val="21"/>
          <w14:ligatures w14:val="none"/>
        </w:rPr>
        <w:t>The code used in this study is available in the GitHub repository at</w:t>
      </w:r>
      <w:r w:rsidR="00421B19" w:rsidRPr="00C613BE">
        <w:rPr>
          <w:rFonts w:ascii="Times New Roman" w:eastAsia="宋体" w:hAnsi="Times New Roman" w:cs="Times New Roman"/>
          <w:szCs w:val="21"/>
          <w14:ligatures w14:val="none"/>
        </w:rPr>
        <w:t xml:space="preserve"> </w:t>
      </w:r>
      <w:hyperlink r:id="rId20" w:history="1">
        <w:r w:rsidR="00421B19" w:rsidRPr="00C613BE">
          <w:rPr>
            <w:rStyle w:val="af1"/>
            <w:rFonts w:ascii="Times New Roman" w:eastAsia="宋体" w:hAnsi="Times New Roman" w:cs="Times New Roman"/>
            <w:szCs w:val="21"/>
            <w14:ligatures w14:val="none"/>
          </w:rPr>
          <w:t>https://github.com/LeventRRR/Island-energy-optimization.git</w:t>
        </w:r>
      </w:hyperlink>
      <w:r w:rsidR="00421B19" w:rsidRPr="00C613BE">
        <w:rPr>
          <w:rFonts w:ascii="Times New Roman" w:eastAsia="宋体" w:hAnsi="Times New Roman" w:cs="Times New Roman"/>
          <w:szCs w:val="21"/>
          <w14:ligatures w14:val="none"/>
        </w:rPr>
        <w:t>.</w:t>
      </w:r>
      <w:r w:rsidRPr="00C613BE">
        <w:rPr>
          <w:rFonts w:ascii="Times New Roman" w:eastAsia="宋体" w:hAnsi="Times New Roman" w:cs="Times New Roman"/>
          <w:szCs w:val="21"/>
          <w14:ligatures w14:val="none"/>
        </w:rPr>
        <w:t>The code was developed and tested using Python 3.11.7</w:t>
      </w:r>
      <w:r w:rsidR="004B081A" w:rsidRPr="00C613BE">
        <w:rPr>
          <w:rFonts w:ascii="Times New Roman" w:eastAsia="宋体" w:hAnsi="Times New Roman" w:cs="Times New Roman"/>
          <w:szCs w:val="21"/>
          <w14:ligatures w14:val="none"/>
        </w:rPr>
        <w:t xml:space="preserve"> and Gurobi 11.0.3.</w:t>
      </w:r>
    </w:p>
    <w:p w14:paraId="6EA3ED5C" w14:textId="77777777" w:rsidR="00FA7E30" w:rsidRPr="00C613BE" w:rsidRDefault="00FA7E30" w:rsidP="00C14660">
      <w:pPr>
        <w:rPr>
          <w:rFonts w:ascii="Times New Roman" w:eastAsia="宋体" w:hAnsi="Times New Roman" w:cs="Times New Roman"/>
          <w:szCs w:val="21"/>
          <w14:ligatures w14:val="none"/>
        </w:rPr>
      </w:pPr>
    </w:p>
    <w:p w14:paraId="39129A40" w14:textId="6BD462D4" w:rsidR="00A60395" w:rsidRPr="00C613BE" w:rsidRDefault="001D11CC"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t>Reference</w:t>
      </w:r>
    </w:p>
    <w:p w14:paraId="6DF75F90" w14:textId="77777777" w:rsidR="000A7AE0" w:rsidRPr="000A7AE0" w:rsidRDefault="00621DF2" w:rsidP="00C14660">
      <w:pPr>
        <w:pStyle w:val="af0"/>
        <w:spacing w:line="240" w:lineRule="auto"/>
        <w:rPr>
          <w:rFonts w:ascii="Times New Roman" w:hAnsi="Times New Roman" w:cs="Times New Roman"/>
        </w:rPr>
      </w:pPr>
      <w:r w:rsidRPr="00C613BE">
        <w:rPr>
          <w:rFonts w:eastAsia="宋体"/>
          <w:b/>
          <w:bCs/>
          <w:szCs w:val="21"/>
          <w14:ligatures w14:val="none"/>
        </w:rPr>
        <w:fldChar w:fldCharType="begin"/>
      </w:r>
      <w:r w:rsidR="000A7AE0">
        <w:rPr>
          <w:rFonts w:eastAsia="宋体" w:hint="eastAsia"/>
          <w:b/>
          <w:bCs/>
          <w:szCs w:val="21"/>
          <w14:ligatures w14:val="none"/>
        </w:rPr>
        <w:instrText xml:space="preserve"> ADDIN ZOTERO_BIBL {"uncited":[],"omitted":[],"custom":[]} CSL_BIBLIOGRAPHY </w:instrText>
      </w:r>
      <w:r w:rsidRPr="00C613BE">
        <w:rPr>
          <w:rFonts w:eastAsia="宋体"/>
          <w:b/>
          <w:bCs/>
          <w:szCs w:val="21"/>
          <w14:ligatures w14:val="none"/>
        </w:rPr>
        <w:fldChar w:fldCharType="separate"/>
      </w:r>
      <w:r w:rsidR="000A7AE0" w:rsidRPr="000A7AE0">
        <w:rPr>
          <w:rFonts w:ascii="Times New Roman" w:hAnsi="Times New Roman" w:cs="Times New Roman"/>
        </w:rPr>
        <w:t>1.</w:t>
      </w:r>
      <w:r w:rsidR="000A7AE0" w:rsidRPr="000A7AE0">
        <w:rPr>
          <w:rFonts w:ascii="Times New Roman" w:hAnsi="Times New Roman" w:cs="Times New Roman"/>
        </w:rPr>
        <w:tab/>
        <w:t>Renewable Energy Country Profiles - Special edition on islands. https://www.irena.org/publications/2012/Sep/Renewable-Energy-Country-Profiles---Special-edition-on-islands (2012).</w:t>
      </w:r>
    </w:p>
    <w:p w14:paraId="461A02E9"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w:t>
      </w:r>
      <w:r w:rsidRPr="000A7AE0">
        <w:rPr>
          <w:rFonts w:ascii="Times New Roman" w:hAnsi="Times New Roman" w:cs="Times New Roman"/>
        </w:rPr>
        <w:tab/>
        <w:t xml:space="preserve">Bertheau, P. Assessing the impact of renewable energy on local development and the Sustainable Development Goals: Insights from a small Philippine island. </w:t>
      </w:r>
      <w:r w:rsidRPr="000A7AE0">
        <w:rPr>
          <w:rFonts w:ascii="Times New Roman" w:hAnsi="Times New Roman" w:cs="Times New Roman"/>
          <w:i/>
          <w:iCs/>
        </w:rPr>
        <w:t>Technological Forecasting and Social Change</w:t>
      </w:r>
      <w:r w:rsidRPr="000A7AE0">
        <w:rPr>
          <w:rFonts w:ascii="Times New Roman" w:hAnsi="Times New Roman" w:cs="Times New Roman"/>
        </w:rPr>
        <w:t xml:space="preserve"> </w:t>
      </w:r>
      <w:r w:rsidRPr="000A7AE0">
        <w:rPr>
          <w:rFonts w:ascii="Times New Roman" w:hAnsi="Times New Roman" w:cs="Times New Roman"/>
          <w:b/>
          <w:bCs/>
        </w:rPr>
        <w:t>153</w:t>
      </w:r>
      <w:r w:rsidRPr="000A7AE0">
        <w:rPr>
          <w:rFonts w:ascii="Times New Roman" w:hAnsi="Times New Roman" w:cs="Times New Roman"/>
        </w:rPr>
        <w:t>, 119919 (2020).</w:t>
      </w:r>
    </w:p>
    <w:p w14:paraId="6EEE783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w:t>
      </w:r>
      <w:r w:rsidRPr="000A7AE0">
        <w:rPr>
          <w:rFonts w:ascii="Times New Roman" w:hAnsi="Times New Roman" w:cs="Times New Roman"/>
        </w:rPr>
        <w:tab/>
        <w:t xml:space="preserve">Katsaprakakis, D. Al. Hybrid power plants in non-interconnected insular systems.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164</w:t>
      </w:r>
      <w:r w:rsidRPr="000A7AE0">
        <w:rPr>
          <w:rFonts w:ascii="Times New Roman" w:hAnsi="Times New Roman" w:cs="Times New Roman"/>
        </w:rPr>
        <w:t>, 268–283 (2016).</w:t>
      </w:r>
    </w:p>
    <w:p w14:paraId="4D85B79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4.</w:t>
      </w:r>
      <w:r w:rsidRPr="000A7AE0">
        <w:rPr>
          <w:rFonts w:ascii="Times New Roman" w:hAnsi="Times New Roman" w:cs="Times New Roman"/>
        </w:rPr>
        <w:tab/>
        <w:t xml:space="preserve">Østergaard, P. A., Duic, N., Noorollahi, Y. &amp; Kalogirou, S. Latest progress in Sustainable Development using renewable energy technology.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162</w:t>
      </w:r>
      <w:r w:rsidRPr="000A7AE0">
        <w:rPr>
          <w:rFonts w:ascii="Times New Roman" w:hAnsi="Times New Roman" w:cs="Times New Roman"/>
        </w:rPr>
        <w:t>, 1554–1562 (2020).</w:t>
      </w:r>
    </w:p>
    <w:p w14:paraId="1DE0A99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5.</w:t>
      </w:r>
      <w:r w:rsidRPr="000A7AE0">
        <w:rPr>
          <w:rFonts w:ascii="Times New Roman" w:hAnsi="Times New Roman" w:cs="Times New Roman"/>
        </w:rPr>
        <w:tab/>
        <w:t>WorldRiskReport 2020 - Focus: Forced Displacement and Migration - World | ReliefWeb. https://reliefweb.int/report/world/worldriskreport-2020-focus-forced-displacement-and-migration (2020).</w:t>
      </w:r>
    </w:p>
    <w:p w14:paraId="4ED602B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6.</w:t>
      </w:r>
      <w:r w:rsidRPr="000A7AE0">
        <w:rPr>
          <w:rFonts w:ascii="Times New Roman" w:hAnsi="Times New Roman" w:cs="Times New Roman"/>
        </w:rPr>
        <w:tab/>
        <w:t xml:space="preserve">To, L. S. </w:t>
      </w:r>
      <w:r w:rsidRPr="000A7AE0">
        <w:rPr>
          <w:rFonts w:ascii="Times New Roman" w:hAnsi="Times New Roman" w:cs="Times New Roman"/>
          <w:i/>
          <w:iCs/>
        </w:rPr>
        <w:t>et al.</w:t>
      </w:r>
      <w:r w:rsidRPr="000A7AE0">
        <w:rPr>
          <w:rFonts w:ascii="Times New Roman" w:hAnsi="Times New Roman" w:cs="Times New Roman"/>
        </w:rPr>
        <w:t xml:space="preserve"> A research and innovation agenda for energy resilience in Pacific Island Countries and Territories.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6</w:t>
      </w:r>
      <w:r w:rsidRPr="000A7AE0">
        <w:rPr>
          <w:rFonts w:ascii="Times New Roman" w:hAnsi="Times New Roman" w:cs="Times New Roman"/>
        </w:rPr>
        <w:t>, 1098–1103 (2021).</w:t>
      </w:r>
    </w:p>
    <w:p w14:paraId="03339EB9"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7.</w:t>
      </w:r>
      <w:r w:rsidRPr="000A7AE0">
        <w:rPr>
          <w:rFonts w:ascii="Times New Roman" w:hAnsi="Times New Roman" w:cs="Times New Roman"/>
        </w:rPr>
        <w:tab/>
        <w:t xml:space="preserve">Bennett, J. A. </w:t>
      </w:r>
      <w:r w:rsidRPr="000A7AE0">
        <w:rPr>
          <w:rFonts w:ascii="Times New Roman" w:hAnsi="Times New Roman" w:cs="Times New Roman"/>
          <w:i/>
          <w:iCs/>
        </w:rPr>
        <w:t>et al.</w:t>
      </w:r>
      <w:r w:rsidRPr="000A7AE0">
        <w:rPr>
          <w:rFonts w:ascii="Times New Roman" w:hAnsi="Times New Roman" w:cs="Times New Roman"/>
        </w:rPr>
        <w:t xml:space="preserve"> Extending energy system modelling to include extreme weather risks and application to hurricane events in Puerto Rico.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6</w:t>
      </w:r>
      <w:r w:rsidRPr="000A7AE0">
        <w:rPr>
          <w:rFonts w:ascii="Times New Roman" w:hAnsi="Times New Roman" w:cs="Times New Roman"/>
        </w:rPr>
        <w:t>, 240–249 (2021).</w:t>
      </w:r>
    </w:p>
    <w:p w14:paraId="6E5CCA1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lastRenderedPageBreak/>
        <w:t>8.</w:t>
      </w:r>
      <w:r w:rsidRPr="000A7AE0">
        <w:rPr>
          <w:rFonts w:ascii="Times New Roman" w:hAnsi="Times New Roman" w:cs="Times New Roman"/>
        </w:rPr>
        <w:tab/>
        <w:t xml:space="preserve">Prasad, R. D., Bansal, R. C. &amp; Raturi, A. A review of Fiji’s energy situation: Challenges and strategies as a small island developing state.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75</w:t>
      </w:r>
      <w:r w:rsidRPr="000A7AE0">
        <w:rPr>
          <w:rFonts w:ascii="Times New Roman" w:hAnsi="Times New Roman" w:cs="Times New Roman"/>
        </w:rPr>
        <w:t>, 278–292 (2017).</w:t>
      </w:r>
    </w:p>
    <w:p w14:paraId="78C0C41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9.</w:t>
      </w:r>
      <w:r w:rsidRPr="000A7AE0">
        <w:rPr>
          <w:rFonts w:ascii="Times New Roman" w:hAnsi="Times New Roman" w:cs="Times New Roman"/>
        </w:rPr>
        <w:tab/>
        <w:t xml:space="preserve">Islands need resilient power systems more than ever. Clean energy can deliver – Analysis. </w:t>
      </w:r>
      <w:r w:rsidRPr="000A7AE0">
        <w:rPr>
          <w:rFonts w:ascii="Times New Roman" w:hAnsi="Times New Roman" w:cs="Times New Roman"/>
          <w:i/>
          <w:iCs/>
        </w:rPr>
        <w:t>IEA</w:t>
      </w:r>
      <w:r w:rsidRPr="000A7AE0">
        <w:rPr>
          <w:rFonts w:ascii="Times New Roman" w:hAnsi="Times New Roman" w:cs="Times New Roman"/>
        </w:rPr>
        <w:t xml:space="preserve"> https://www.iea.org/commentaries/islands-need-resilient-power-systems-more-than-ever-clean-energy-can-deliver (2024).</w:t>
      </w:r>
    </w:p>
    <w:p w14:paraId="1630B0D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10.</w:t>
      </w:r>
      <w:r w:rsidRPr="000A7AE0">
        <w:rPr>
          <w:rFonts w:ascii="Times New Roman" w:hAnsi="Times New Roman" w:cs="Times New Roman"/>
        </w:rPr>
        <w:tab/>
        <w:t xml:space="preserve">Hybrid renewable mini-grids on non-interconnected small islands: Review of case studies.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116</w:t>
      </w:r>
      <w:r w:rsidRPr="000A7AE0">
        <w:rPr>
          <w:rFonts w:ascii="Times New Roman" w:hAnsi="Times New Roman" w:cs="Times New Roman"/>
        </w:rPr>
        <w:t>, 109417 (2019).</w:t>
      </w:r>
    </w:p>
    <w:p w14:paraId="64FD821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11.</w:t>
      </w:r>
      <w:r w:rsidRPr="000A7AE0">
        <w:rPr>
          <w:rFonts w:ascii="Times New Roman" w:hAnsi="Times New Roman" w:cs="Times New Roman"/>
        </w:rPr>
        <w:tab/>
        <w:t xml:space="preserve">Villarroel, N., Lazo, J. &amp; Watts, D. High energy costs in insular energy systems and the potential for integrating innovative renewable solutions: The case of Chile.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246</w:t>
      </w:r>
      <w:r w:rsidRPr="000A7AE0">
        <w:rPr>
          <w:rFonts w:ascii="Times New Roman" w:hAnsi="Times New Roman" w:cs="Times New Roman"/>
        </w:rPr>
        <w:t>, 122967 (2025).</w:t>
      </w:r>
    </w:p>
    <w:p w14:paraId="6C73D57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12.</w:t>
      </w:r>
      <w:r w:rsidRPr="000A7AE0">
        <w:rPr>
          <w:rFonts w:ascii="Times New Roman" w:hAnsi="Times New Roman" w:cs="Times New Roman"/>
        </w:rPr>
        <w:tab/>
        <w:t xml:space="preserve">Cross, S., Padfield, D., Ant-Wuorinen, R., King, P. &amp; Syri, S. Benchmarking island power systems: Results, challenges, and solutions for long term sustainability.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80</w:t>
      </w:r>
      <w:r w:rsidRPr="000A7AE0">
        <w:rPr>
          <w:rFonts w:ascii="Times New Roman" w:hAnsi="Times New Roman" w:cs="Times New Roman"/>
        </w:rPr>
        <w:t>, 1269–1291 (2017).</w:t>
      </w:r>
    </w:p>
    <w:p w14:paraId="32D00EE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13.</w:t>
      </w:r>
      <w:r w:rsidRPr="000A7AE0">
        <w:rPr>
          <w:rFonts w:ascii="Times New Roman" w:hAnsi="Times New Roman" w:cs="Times New Roman"/>
        </w:rPr>
        <w:tab/>
        <w:t xml:space="preserve">Meschede, H., Bertheau, P., Khalili, S. &amp; Breyer, C. A review of 100% renewable energy scenarios on islands. </w:t>
      </w:r>
      <w:r w:rsidRPr="000A7AE0">
        <w:rPr>
          <w:rFonts w:ascii="Times New Roman" w:hAnsi="Times New Roman" w:cs="Times New Roman"/>
          <w:i/>
          <w:iCs/>
        </w:rPr>
        <w:t>WIREs Energy &amp; Environment</w:t>
      </w:r>
      <w:r w:rsidRPr="000A7AE0">
        <w:rPr>
          <w:rFonts w:ascii="Times New Roman" w:hAnsi="Times New Roman" w:cs="Times New Roman"/>
        </w:rPr>
        <w:t xml:space="preserve"> </w:t>
      </w:r>
      <w:r w:rsidRPr="000A7AE0">
        <w:rPr>
          <w:rFonts w:ascii="Times New Roman" w:hAnsi="Times New Roman" w:cs="Times New Roman"/>
          <w:b/>
          <w:bCs/>
        </w:rPr>
        <w:t>11</w:t>
      </w:r>
      <w:r w:rsidRPr="000A7AE0">
        <w:rPr>
          <w:rFonts w:ascii="Times New Roman" w:hAnsi="Times New Roman" w:cs="Times New Roman"/>
        </w:rPr>
        <w:t>, e450 (2022).</w:t>
      </w:r>
    </w:p>
    <w:p w14:paraId="72D91021"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14.</w:t>
      </w:r>
      <w:r w:rsidRPr="000A7AE0">
        <w:rPr>
          <w:rFonts w:ascii="Times New Roman" w:hAnsi="Times New Roman" w:cs="Times New Roman"/>
        </w:rPr>
        <w:tab/>
        <w:t>Global Energy Monitor. Global Gas Infrastructure Tracker. (2024).</w:t>
      </w:r>
    </w:p>
    <w:p w14:paraId="0C4CBC2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15.</w:t>
      </w:r>
      <w:r w:rsidRPr="000A7AE0">
        <w:rPr>
          <w:rFonts w:ascii="Times New Roman" w:hAnsi="Times New Roman" w:cs="Times New Roman"/>
        </w:rPr>
        <w:tab/>
        <w:t>Vimmerstedt, Laura and Akar, et al. 2021 Annual Technology Baseline (ATB) Cost and Performance Data for Electricity Generation Technologies. https://doi.org/10.25984/1807473 (2021).</w:t>
      </w:r>
    </w:p>
    <w:p w14:paraId="76D9CE18"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16.</w:t>
      </w:r>
      <w:r w:rsidRPr="000A7AE0">
        <w:rPr>
          <w:rFonts w:ascii="Times New Roman" w:hAnsi="Times New Roman" w:cs="Times New Roman"/>
        </w:rPr>
        <w:tab/>
        <w:t>Electricity Storage Valuation Framework 2020. https://www.irena.org/publications/2020/Mar/Electricity-Storage-Valuation-Framework-2020 (2020).</w:t>
      </w:r>
    </w:p>
    <w:p w14:paraId="1CC470F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17.</w:t>
      </w:r>
      <w:r w:rsidRPr="000A7AE0">
        <w:rPr>
          <w:rFonts w:ascii="Times New Roman" w:hAnsi="Times New Roman" w:cs="Times New Roman"/>
        </w:rPr>
        <w:tab/>
        <w:t xml:space="preserve">Pfenninger, S. &amp; Staffell, I. Long-term patterns of European PV output using 30 years of validated hourly reanalysis and satellite data. </w:t>
      </w:r>
      <w:r w:rsidRPr="000A7AE0">
        <w:rPr>
          <w:rFonts w:ascii="Times New Roman" w:hAnsi="Times New Roman" w:cs="Times New Roman"/>
          <w:i/>
          <w:iCs/>
        </w:rPr>
        <w:t>Energy</w:t>
      </w:r>
      <w:r w:rsidRPr="000A7AE0">
        <w:rPr>
          <w:rFonts w:ascii="Times New Roman" w:hAnsi="Times New Roman" w:cs="Times New Roman"/>
        </w:rPr>
        <w:t xml:space="preserve"> </w:t>
      </w:r>
      <w:r w:rsidRPr="000A7AE0">
        <w:rPr>
          <w:rFonts w:ascii="Times New Roman" w:hAnsi="Times New Roman" w:cs="Times New Roman"/>
          <w:b/>
          <w:bCs/>
        </w:rPr>
        <w:t>114</w:t>
      </w:r>
      <w:r w:rsidRPr="000A7AE0">
        <w:rPr>
          <w:rFonts w:ascii="Times New Roman" w:hAnsi="Times New Roman" w:cs="Times New Roman"/>
        </w:rPr>
        <w:t>, 1251–1265 (2016).</w:t>
      </w:r>
    </w:p>
    <w:p w14:paraId="372DC211"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18.</w:t>
      </w:r>
      <w:r w:rsidRPr="000A7AE0">
        <w:rPr>
          <w:rFonts w:ascii="Times New Roman" w:hAnsi="Times New Roman" w:cs="Times New Roman"/>
        </w:rPr>
        <w:tab/>
        <w:t xml:space="preserve">Staffell, I. &amp; Pfenninger, S. Using bias-corrected reanalysis to simulate current and future wind power output. </w:t>
      </w:r>
      <w:r w:rsidRPr="000A7AE0">
        <w:rPr>
          <w:rFonts w:ascii="Times New Roman" w:hAnsi="Times New Roman" w:cs="Times New Roman"/>
          <w:i/>
          <w:iCs/>
        </w:rPr>
        <w:t>Energy</w:t>
      </w:r>
      <w:r w:rsidRPr="000A7AE0">
        <w:rPr>
          <w:rFonts w:ascii="Times New Roman" w:hAnsi="Times New Roman" w:cs="Times New Roman"/>
        </w:rPr>
        <w:t xml:space="preserve"> </w:t>
      </w:r>
      <w:r w:rsidRPr="000A7AE0">
        <w:rPr>
          <w:rFonts w:ascii="Times New Roman" w:hAnsi="Times New Roman" w:cs="Times New Roman"/>
          <w:b/>
          <w:bCs/>
        </w:rPr>
        <w:t>114</w:t>
      </w:r>
      <w:r w:rsidRPr="000A7AE0">
        <w:rPr>
          <w:rFonts w:ascii="Times New Roman" w:hAnsi="Times New Roman" w:cs="Times New Roman"/>
        </w:rPr>
        <w:t>, 1224–1239 (2016).</w:t>
      </w:r>
    </w:p>
    <w:p w14:paraId="717ACAF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19.</w:t>
      </w:r>
      <w:r w:rsidRPr="000A7AE0">
        <w:rPr>
          <w:rFonts w:ascii="Times New Roman" w:hAnsi="Times New Roman" w:cs="Times New Roman"/>
        </w:rPr>
        <w:tab/>
        <w:t xml:space="preserve">Jiang, X., Xie, B., Bao, Y. &amp; Song, Z. Global 3-hourly wind-wave and swell data for wave climate and wave energy resource research from 1950 to 2100. </w:t>
      </w:r>
      <w:r w:rsidRPr="000A7AE0">
        <w:rPr>
          <w:rFonts w:ascii="Times New Roman" w:hAnsi="Times New Roman" w:cs="Times New Roman"/>
          <w:i/>
          <w:iCs/>
        </w:rPr>
        <w:t>Sci Data</w:t>
      </w:r>
      <w:r w:rsidRPr="000A7AE0">
        <w:rPr>
          <w:rFonts w:ascii="Times New Roman" w:hAnsi="Times New Roman" w:cs="Times New Roman"/>
        </w:rPr>
        <w:t xml:space="preserve"> </w:t>
      </w:r>
      <w:r w:rsidRPr="000A7AE0">
        <w:rPr>
          <w:rFonts w:ascii="Times New Roman" w:hAnsi="Times New Roman" w:cs="Times New Roman"/>
          <w:b/>
          <w:bCs/>
        </w:rPr>
        <w:t>10</w:t>
      </w:r>
      <w:r w:rsidRPr="000A7AE0">
        <w:rPr>
          <w:rFonts w:ascii="Times New Roman" w:hAnsi="Times New Roman" w:cs="Times New Roman"/>
        </w:rPr>
        <w:t>, 225 (2023).</w:t>
      </w:r>
    </w:p>
    <w:p w14:paraId="0EC90F78"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20.</w:t>
      </w:r>
      <w:r w:rsidRPr="000A7AE0">
        <w:rPr>
          <w:rFonts w:ascii="Times New Roman" w:hAnsi="Times New Roman" w:cs="Times New Roman"/>
        </w:rPr>
        <w:tab/>
        <w:t xml:space="preserve">Staffell, I., Pfenninger, S. &amp; Johnson, N. A global model of hourly space heating and cooling demand at multiple spatial scales. </w:t>
      </w:r>
      <w:r w:rsidRPr="000A7AE0">
        <w:rPr>
          <w:rFonts w:ascii="Times New Roman" w:hAnsi="Times New Roman" w:cs="Times New Roman"/>
          <w:i/>
          <w:iCs/>
        </w:rPr>
        <w:t>Nat Energy</w:t>
      </w:r>
      <w:r w:rsidRPr="000A7AE0">
        <w:rPr>
          <w:rFonts w:ascii="Times New Roman" w:hAnsi="Times New Roman" w:cs="Times New Roman"/>
        </w:rPr>
        <w:t xml:space="preserve"> </w:t>
      </w:r>
      <w:r w:rsidRPr="000A7AE0">
        <w:rPr>
          <w:rFonts w:ascii="Times New Roman" w:hAnsi="Times New Roman" w:cs="Times New Roman"/>
          <w:b/>
          <w:bCs/>
        </w:rPr>
        <w:t>8</w:t>
      </w:r>
      <w:r w:rsidRPr="000A7AE0">
        <w:rPr>
          <w:rFonts w:ascii="Times New Roman" w:hAnsi="Times New Roman" w:cs="Times New Roman"/>
        </w:rPr>
        <w:t>, 1328–1344 (2023).</w:t>
      </w:r>
    </w:p>
    <w:p w14:paraId="526328D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21.</w:t>
      </w:r>
      <w:r w:rsidRPr="000A7AE0">
        <w:rPr>
          <w:rFonts w:ascii="Times New Roman" w:hAnsi="Times New Roman" w:cs="Times New Roman"/>
        </w:rPr>
        <w:tab/>
        <w:t xml:space="preserve">Muratori, M., Roberts, M. C., Sioshansi, R., Marano, V. &amp; Rizzoni, G. A highly resolved modeling technique to simulate residential power demand.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107</w:t>
      </w:r>
      <w:r w:rsidRPr="000A7AE0">
        <w:rPr>
          <w:rFonts w:ascii="Times New Roman" w:hAnsi="Times New Roman" w:cs="Times New Roman"/>
        </w:rPr>
        <w:t>, 465–473 (2013).</w:t>
      </w:r>
    </w:p>
    <w:p w14:paraId="41219292"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22.</w:t>
      </w:r>
      <w:r w:rsidRPr="000A7AE0">
        <w:rPr>
          <w:rFonts w:ascii="Times New Roman" w:hAnsi="Times New Roman" w:cs="Times New Roman"/>
        </w:rPr>
        <w:tab/>
        <w:t xml:space="preserve">Meschede, H., Holzapfel, P., Kadelbach, F. &amp; Hesselbach, J. Classification of global island regarding the opportunity of using RES. </w:t>
      </w:r>
      <w:r w:rsidRPr="000A7AE0">
        <w:rPr>
          <w:rFonts w:ascii="Times New Roman" w:hAnsi="Times New Roman" w:cs="Times New Roman"/>
          <w:i/>
          <w:iCs/>
        </w:rPr>
        <w:t>Applied Energy</w:t>
      </w:r>
      <w:r w:rsidRPr="000A7AE0">
        <w:rPr>
          <w:rFonts w:ascii="Times New Roman" w:hAnsi="Times New Roman" w:cs="Times New Roman"/>
        </w:rPr>
        <w:t xml:space="preserve"> </w:t>
      </w:r>
      <w:r w:rsidRPr="000A7AE0">
        <w:rPr>
          <w:rFonts w:ascii="Times New Roman" w:hAnsi="Times New Roman" w:cs="Times New Roman"/>
          <w:b/>
          <w:bCs/>
        </w:rPr>
        <w:t>175</w:t>
      </w:r>
      <w:r w:rsidRPr="000A7AE0">
        <w:rPr>
          <w:rFonts w:ascii="Times New Roman" w:hAnsi="Times New Roman" w:cs="Times New Roman"/>
        </w:rPr>
        <w:t>, 251–258 (2016).</w:t>
      </w:r>
    </w:p>
    <w:p w14:paraId="4000D12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23.</w:t>
      </w:r>
      <w:r w:rsidRPr="000A7AE0">
        <w:rPr>
          <w:rFonts w:ascii="Times New Roman" w:hAnsi="Times New Roman" w:cs="Times New Roman"/>
        </w:rPr>
        <w:tab/>
        <w:t>Rose, A., McKee, J., Sims, K., Bright, E., Reith, A., &amp; Urban, M. LandScan Global 2020 [Data set]. Oak Ridge National Laboratory. https://doi.org/10.48690/1523378 (2021).</w:t>
      </w:r>
    </w:p>
    <w:p w14:paraId="7A65283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24.</w:t>
      </w:r>
      <w:r w:rsidRPr="000A7AE0">
        <w:rPr>
          <w:rFonts w:ascii="Times New Roman" w:hAnsi="Times New Roman" w:cs="Times New Roman"/>
        </w:rPr>
        <w:tab/>
        <w:t xml:space="preserve">Weigelt, P., Jetz, W. &amp; Kreft, H. Bioclimatic and physical characterization of the world’s islands. </w:t>
      </w:r>
      <w:r w:rsidRPr="000A7AE0">
        <w:rPr>
          <w:rFonts w:ascii="Times New Roman" w:hAnsi="Times New Roman" w:cs="Times New Roman"/>
          <w:i/>
          <w:iCs/>
        </w:rPr>
        <w:t>Proc. Natl. Acad. Sci. U.S.A.</w:t>
      </w:r>
      <w:r w:rsidRPr="000A7AE0">
        <w:rPr>
          <w:rFonts w:ascii="Times New Roman" w:hAnsi="Times New Roman" w:cs="Times New Roman"/>
        </w:rPr>
        <w:t xml:space="preserve"> </w:t>
      </w:r>
      <w:r w:rsidRPr="000A7AE0">
        <w:rPr>
          <w:rFonts w:ascii="Times New Roman" w:hAnsi="Times New Roman" w:cs="Times New Roman"/>
          <w:b/>
          <w:bCs/>
        </w:rPr>
        <w:t>110</w:t>
      </w:r>
      <w:r w:rsidRPr="000A7AE0">
        <w:rPr>
          <w:rFonts w:ascii="Times New Roman" w:hAnsi="Times New Roman" w:cs="Times New Roman"/>
        </w:rPr>
        <w:t>, 15307–15312 (2013).</w:t>
      </w:r>
    </w:p>
    <w:p w14:paraId="15C4149B"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25.</w:t>
      </w:r>
      <w:r w:rsidRPr="000A7AE0">
        <w:rPr>
          <w:rFonts w:ascii="Times New Roman" w:hAnsi="Times New Roman" w:cs="Times New Roman"/>
        </w:rPr>
        <w:tab/>
        <w:t>Mizuta, Ryo; Yoshimura, Hiromasa; Ose, Tomoaki; Hosaka, Masahiro; Yukimoto, Seiji. MRI MRI-AGCM3-2-H model output prepared for CMIP6 HighResMIP. World Data Center for Climate (WDCC) at DKRZ (2023).</w:t>
      </w:r>
    </w:p>
    <w:p w14:paraId="1E573D5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26.</w:t>
      </w:r>
      <w:r w:rsidRPr="000A7AE0">
        <w:rPr>
          <w:rFonts w:ascii="Times New Roman" w:hAnsi="Times New Roman" w:cs="Times New Roman"/>
        </w:rPr>
        <w:tab/>
        <w:t xml:space="preserve">Zuo, H. </w:t>
      </w:r>
      <w:r w:rsidRPr="000A7AE0">
        <w:rPr>
          <w:rFonts w:ascii="Times New Roman" w:hAnsi="Times New Roman" w:cs="Times New Roman"/>
          <w:i/>
          <w:iCs/>
        </w:rPr>
        <w:t>et al.</w:t>
      </w:r>
      <w:r w:rsidRPr="000A7AE0">
        <w:rPr>
          <w:rFonts w:ascii="Times New Roman" w:hAnsi="Times New Roman" w:cs="Times New Roman"/>
        </w:rPr>
        <w:t xml:space="preserve"> Fragility analyses of offshore wind turbines subjected to aerodynamic and sea </w:t>
      </w:r>
      <w:r w:rsidRPr="000A7AE0">
        <w:rPr>
          <w:rFonts w:ascii="Times New Roman" w:hAnsi="Times New Roman" w:cs="Times New Roman"/>
        </w:rPr>
        <w:lastRenderedPageBreak/>
        <w:t xml:space="preserve">wave loadings.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160</w:t>
      </w:r>
      <w:r w:rsidRPr="000A7AE0">
        <w:rPr>
          <w:rFonts w:ascii="Times New Roman" w:hAnsi="Times New Roman" w:cs="Times New Roman"/>
        </w:rPr>
        <w:t>, 1269–1282 (2020).</w:t>
      </w:r>
    </w:p>
    <w:p w14:paraId="13D869C7"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27.</w:t>
      </w:r>
      <w:r w:rsidRPr="000A7AE0">
        <w:rPr>
          <w:rFonts w:ascii="Times New Roman" w:hAnsi="Times New Roman" w:cs="Times New Roman"/>
        </w:rPr>
        <w:tab/>
        <w:t xml:space="preserve">Cheng, Y. </w:t>
      </w:r>
      <w:r w:rsidRPr="000A7AE0">
        <w:rPr>
          <w:rFonts w:ascii="Times New Roman" w:hAnsi="Times New Roman" w:cs="Times New Roman"/>
          <w:i/>
          <w:iCs/>
        </w:rPr>
        <w:t>et al.</w:t>
      </w:r>
      <w:r w:rsidRPr="000A7AE0">
        <w:rPr>
          <w:rFonts w:ascii="Times New Roman" w:hAnsi="Times New Roman" w:cs="Times New Roman"/>
        </w:rPr>
        <w:t xml:space="preserve"> Fragility and vulnerability development of offshore wind turbines under aero-hydro loadings. </w:t>
      </w:r>
      <w:r w:rsidRPr="000A7AE0">
        <w:rPr>
          <w:rFonts w:ascii="Times New Roman" w:hAnsi="Times New Roman" w:cs="Times New Roman"/>
          <w:i/>
          <w:iCs/>
        </w:rPr>
        <w:t>Engineering Structures</w:t>
      </w:r>
      <w:r w:rsidRPr="000A7AE0">
        <w:rPr>
          <w:rFonts w:ascii="Times New Roman" w:hAnsi="Times New Roman" w:cs="Times New Roman"/>
        </w:rPr>
        <w:t xml:space="preserve"> </w:t>
      </w:r>
      <w:r w:rsidRPr="000A7AE0">
        <w:rPr>
          <w:rFonts w:ascii="Times New Roman" w:hAnsi="Times New Roman" w:cs="Times New Roman"/>
          <w:b/>
          <w:bCs/>
        </w:rPr>
        <w:t>293</w:t>
      </w:r>
      <w:r w:rsidRPr="000A7AE0">
        <w:rPr>
          <w:rFonts w:ascii="Times New Roman" w:hAnsi="Times New Roman" w:cs="Times New Roman"/>
        </w:rPr>
        <w:t>, 116625 (2023).</w:t>
      </w:r>
    </w:p>
    <w:p w14:paraId="705EBBDA"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28.</w:t>
      </w:r>
      <w:r w:rsidRPr="000A7AE0">
        <w:rPr>
          <w:rFonts w:ascii="Times New Roman" w:hAnsi="Times New Roman" w:cs="Times New Roman"/>
        </w:rPr>
        <w:tab/>
        <w:t xml:space="preserve">Watson, E. B. &amp; Etemadi, A. H. Modeling Electrical Grid Resilience Under Hurricane Wind Conditions With Increased Solar and Wind Power Generation. </w:t>
      </w:r>
      <w:r w:rsidRPr="000A7AE0">
        <w:rPr>
          <w:rFonts w:ascii="Times New Roman" w:hAnsi="Times New Roman" w:cs="Times New Roman"/>
          <w:i/>
          <w:iCs/>
        </w:rPr>
        <w:t>IEEE Trans. Power Syst.</w:t>
      </w:r>
      <w:r w:rsidRPr="000A7AE0">
        <w:rPr>
          <w:rFonts w:ascii="Times New Roman" w:hAnsi="Times New Roman" w:cs="Times New Roman"/>
        </w:rPr>
        <w:t xml:space="preserve"> </w:t>
      </w:r>
      <w:r w:rsidRPr="000A7AE0">
        <w:rPr>
          <w:rFonts w:ascii="Times New Roman" w:hAnsi="Times New Roman" w:cs="Times New Roman"/>
          <w:b/>
          <w:bCs/>
        </w:rPr>
        <w:t>35</w:t>
      </w:r>
      <w:r w:rsidRPr="000A7AE0">
        <w:rPr>
          <w:rFonts w:ascii="Times New Roman" w:hAnsi="Times New Roman" w:cs="Times New Roman"/>
        </w:rPr>
        <w:t>, 929–937 (2020).</w:t>
      </w:r>
    </w:p>
    <w:p w14:paraId="7D597BC0"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29.</w:t>
      </w:r>
      <w:r w:rsidRPr="000A7AE0">
        <w:rPr>
          <w:rFonts w:ascii="Times New Roman" w:hAnsi="Times New Roman" w:cs="Times New Roman"/>
        </w:rPr>
        <w:tab/>
        <w:t xml:space="preserve">Martín Del Campo, J. O. &amp; Pozos-Estrada, A. Multi-hazard fragility analysis for a wind turbine support structure: An application to the Southwest of Mexico. </w:t>
      </w:r>
      <w:r w:rsidRPr="000A7AE0">
        <w:rPr>
          <w:rFonts w:ascii="Times New Roman" w:hAnsi="Times New Roman" w:cs="Times New Roman"/>
          <w:i/>
          <w:iCs/>
        </w:rPr>
        <w:t>Engineering Structures</w:t>
      </w:r>
      <w:r w:rsidRPr="000A7AE0">
        <w:rPr>
          <w:rFonts w:ascii="Times New Roman" w:hAnsi="Times New Roman" w:cs="Times New Roman"/>
        </w:rPr>
        <w:t xml:space="preserve"> </w:t>
      </w:r>
      <w:r w:rsidRPr="000A7AE0">
        <w:rPr>
          <w:rFonts w:ascii="Times New Roman" w:hAnsi="Times New Roman" w:cs="Times New Roman"/>
          <w:b/>
          <w:bCs/>
        </w:rPr>
        <w:t>209</w:t>
      </w:r>
      <w:r w:rsidRPr="000A7AE0">
        <w:rPr>
          <w:rFonts w:ascii="Times New Roman" w:hAnsi="Times New Roman" w:cs="Times New Roman"/>
        </w:rPr>
        <w:t>, 109929 (2020).</w:t>
      </w:r>
    </w:p>
    <w:p w14:paraId="6CED61C5"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30.</w:t>
      </w:r>
      <w:r w:rsidRPr="000A7AE0">
        <w:rPr>
          <w:rFonts w:ascii="Times New Roman" w:hAnsi="Times New Roman" w:cs="Times New Roman"/>
        </w:rPr>
        <w:tab/>
        <w:t xml:space="preserve">Seo, J., Pokhrel, J. &amp; Hu, J. W. Multi-Hazard Fragility Analysis of Offshore Wind Turbine Portfolios using Surrogate Models. </w:t>
      </w:r>
      <w:r w:rsidRPr="000A7AE0">
        <w:rPr>
          <w:rFonts w:ascii="Times New Roman" w:hAnsi="Times New Roman" w:cs="Times New Roman"/>
          <w:i/>
          <w:iCs/>
        </w:rPr>
        <w:t>Renewable and Sustainable Energy Reviews</w:t>
      </w:r>
      <w:r w:rsidRPr="000A7AE0">
        <w:rPr>
          <w:rFonts w:ascii="Times New Roman" w:hAnsi="Times New Roman" w:cs="Times New Roman"/>
        </w:rPr>
        <w:t xml:space="preserve"> </w:t>
      </w:r>
      <w:r w:rsidRPr="000A7AE0">
        <w:rPr>
          <w:rFonts w:ascii="Times New Roman" w:hAnsi="Times New Roman" w:cs="Times New Roman"/>
          <w:b/>
          <w:bCs/>
        </w:rPr>
        <w:t>165</w:t>
      </w:r>
      <w:r w:rsidRPr="000A7AE0">
        <w:rPr>
          <w:rFonts w:ascii="Times New Roman" w:hAnsi="Times New Roman" w:cs="Times New Roman"/>
        </w:rPr>
        <w:t>, 112552 (2022).</w:t>
      </w:r>
    </w:p>
    <w:p w14:paraId="69CCA77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31.</w:t>
      </w:r>
      <w:r w:rsidRPr="000A7AE0">
        <w:rPr>
          <w:rFonts w:ascii="Times New Roman" w:hAnsi="Times New Roman" w:cs="Times New Roman"/>
        </w:rPr>
        <w:tab/>
        <w:t xml:space="preserve">Jaimes, M. A., García‐Soto, A. D., Martín Del Campo, J. O. &amp; Pozos‐Estrada, A. Probabilistic risk assessment on wind turbine towers subjected to cyclone‐induced wind loads. </w:t>
      </w:r>
      <w:r w:rsidRPr="000A7AE0">
        <w:rPr>
          <w:rFonts w:ascii="Times New Roman" w:hAnsi="Times New Roman" w:cs="Times New Roman"/>
          <w:i/>
          <w:iCs/>
        </w:rPr>
        <w:t>Wind Energy</w:t>
      </w:r>
      <w:r w:rsidRPr="000A7AE0">
        <w:rPr>
          <w:rFonts w:ascii="Times New Roman" w:hAnsi="Times New Roman" w:cs="Times New Roman"/>
        </w:rPr>
        <w:t xml:space="preserve"> </w:t>
      </w:r>
      <w:r w:rsidRPr="000A7AE0">
        <w:rPr>
          <w:rFonts w:ascii="Times New Roman" w:hAnsi="Times New Roman" w:cs="Times New Roman"/>
          <w:b/>
          <w:bCs/>
        </w:rPr>
        <w:t>23</w:t>
      </w:r>
      <w:r w:rsidRPr="000A7AE0">
        <w:rPr>
          <w:rFonts w:ascii="Times New Roman" w:hAnsi="Times New Roman" w:cs="Times New Roman"/>
        </w:rPr>
        <w:t>, 528–546 (2020).</w:t>
      </w:r>
    </w:p>
    <w:p w14:paraId="6B428063"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32.</w:t>
      </w:r>
      <w:r w:rsidRPr="000A7AE0">
        <w:rPr>
          <w:rFonts w:ascii="Times New Roman" w:hAnsi="Times New Roman" w:cs="Times New Roman"/>
        </w:rPr>
        <w:tab/>
        <w:t xml:space="preserve">Göteman, M., Shahroozi, Z., Stavropoulou, C., Katsidoniotaki, E. &amp; Engström, J. Resilience of wave energy farms using metocean dependent failure rates and repair operations. </w:t>
      </w:r>
      <w:r w:rsidRPr="000A7AE0">
        <w:rPr>
          <w:rFonts w:ascii="Times New Roman" w:hAnsi="Times New Roman" w:cs="Times New Roman"/>
          <w:i/>
          <w:iCs/>
        </w:rPr>
        <w:t>Ocean Engineering</w:t>
      </w:r>
      <w:r w:rsidRPr="000A7AE0">
        <w:rPr>
          <w:rFonts w:ascii="Times New Roman" w:hAnsi="Times New Roman" w:cs="Times New Roman"/>
        </w:rPr>
        <w:t xml:space="preserve"> </w:t>
      </w:r>
      <w:r w:rsidRPr="000A7AE0">
        <w:rPr>
          <w:rFonts w:ascii="Times New Roman" w:hAnsi="Times New Roman" w:cs="Times New Roman"/>
          <w:b/>
          <w:bCs/>
        </w:rPr>
        <w:t>280</w:t>
      </w:r>
      <w:r w:rsidRPr="000A7AE0">
        <w:rPr>
          <w:rFonts w:ascii="Times New Roman" w:hAnsi="Times New Roman" w:cs="Times New Roman"/>
        </w:rPr>
        <w:t>, 114678 (2023).</w:t>
      </w:r>
    </w:p>
    <w:p w14:paraId="71443A37"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33.</w:t>
      </w:r>
      <w:r w:rsidRPr="000A7AE0">
        <w:rPr>
          <w:rFonts w:ascii="Times New Roman" w:hAnsi="Times New Roman" w:cs="Times New Roman"/>
        </w:rPr>
        <w:tab/>
        <w:t xml:space="preserve">Pokhrel, J. &amp; Seo, J. Statistical model for fragility estimates of offshore wind turbines subjected to aero-hydro dynamic loads. </w:t>
      </w:r>
      <w:r w:rsidRPr="000A7AE0">
        <w:rPr>
          <w:rFonts w:ascii="Times New Roman" w:hAnsi="Times New Roman" w:cs="Times New Roman"/>
          <w:i/>
          <w:iCs/>
        </w:rPr>
        <w:t>Renewable Energy</w:t>
      </w:r>
      <w:r w:rsidRPr="000A7AE0">
        <w:rPr>
          <w:rFonts w:ascii="Times New Roman" w:hAnsi="Times New Roman" w:cs="Times New Roman"/>
        </w:rPr>
        <w:t xml:space="preserve"> </w:t>
      </w:r>
      <w:r w:rsidRPr="000A7AE0">
        <w:rPr>
          <w:rFonts w:ascii="Times New Roman" w:hAnsi="Times New Roman" w:cs="Times New Roman"/>
          <w:b/>
          <w:bCs/>
        </w:rPr>
        <w:t>163</w:t>
      </w:r>
      <w:r w:rsidRPr="000A7AE0">
        <w:rPr>
          <w:rFonts w:ascii="Times New Roman" w:hAnsi="Times New Roman" w:cs="Times New Roman"/>
        </w:rPr>
        <w:t>, 1495–1507 (2021).</w:t>
      </w:r>
    </w:p>
    <w:p w14:paraId="617A51AE"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34.</w:t>
      </w:r>
      <w:r w:rsidRPr="000A7AE0">
        <w:rPr>
          <w:rFonts w:ascii="Times New Roman" w:hAnsi="Times New Roman" w:cs="Times New Roman"/>
        </w:rPr>
        <w:tab/>
        <w:t xml:space="preserve">Carroll, J., McDonald, A. &amp; McMillan, D. Failure rate, repair time and unscheduled O&amp;M cost analysis of offshore wind turbines. </w:t>
      </w:r>
      <w:r w:rsidRPr="000A7AE0">
        <w:rPr>
          <w:rFonts w:ascii="Times New Roman" w:hAnsi="Times New Roman" w:cs="Times New Roman"/>
          <w:i/>
          <w:iCs/>
        </w:rPr>
        <w:t>Wind Energy</w:t>
      </w:r>
      <w:r w:rsidRPr="000A7AE0">
        <w:rPr>
          <w:rFonts w:ascii="Times New Roman" w:hAnsi="Times New Roman" w:cs="Times New Roman"/>
        </w:rPr>
        <w:t xml:space="preserve"> </w:t>
      </w:r>
      <w:r w:rsidRPr="000A7AE0">
        <w:rPr>
          <w:rFonts w:ascii="Times New Roman" w:hAnsi="Times New Roman" w:cs="Times New Roman"/>
          <w:b/>
          <w:bCs/>
        </w:rPr>
        <w:t>19</w:t>
      </w:r>
      <w:r w:rsidRPr="000A7AE0">
        <w:rPr>
          <w:rFonts w:ascii="Times New Roman" w:hAnsi="Times New Roman" w:cs="Times New Roman"/>
        </w:rPr>
        <w:t>, 1107–1119 (2016).</w:t>
      </w:r>
    </w:p>
    <w:p w14:paraId="2C9C6A3C" w14:textId="77777777" w:rsidR="000A7AE0" w:rsidRPr="000A7AE0" w:rsidRDefault="000A7AE0" w:rsidP="00C14660">
      <w:pPr>
        <w:pStyle w:val="af0"/>
        <w:spacing w:line="240" w:lineRule="auto"/>
        <w:rPr>
          <w:rFonts w:ascii="Times New Roman" w:hAnsi="Times New Roman" w:cs="Times New Roman"/>
        </w:rPr>
      </w:pPr>
      <w:r w:rsidRPr="000A7AE0">
        <w:rPr>
          <w:rFonts w:ascii="Times New Roman" w:hAnsi="Times New Roman" w:cs="Times New Roman"/>
        </w:rPr>
        <w:t>35.</w:t>
      </w:r>
      <w:r w:rsidRPr="000A7AE0">
        <w:rPr>
          <w:rFonts w:ascii="Times New Roman" w:hAnsi="Times New Roman" w:cs="Times New Roman"/>
        </w:rPr>
        <w:tab/>
        <w:t xml:space="preserve">Oprea, S.-V., Bara, A., Preotescu, D. &amp; Elefterescu, L. Photovoltaic Power Plants (PV-PP) Reliability Indicators for Improving Operation and Maintenance Activities. A Case Study of PV-PP Agigea Located in Romania. </w:t>
      </w:r>
      <w:r w:rsidRPr="000A7AE0">
        <w:rPr>
          <w:rFonts w:ascii="Times New Roman" w:hAnsi="Times New Roman" w:cs="Times New Roman"/>
          <w:i/>
          <w:iCs/>
        </w:rPr>
        <w:t>IEEE Access</w:t>
      </w:r>
      <w:r w:rsidRPr="000A7AE0">
        <w:rPr>
          <w:rFonts w:ascii="Times New Roman" w:hAnsi="Times New Roman" w:cs="Times New Roman"/>
        </w:rPr>
        <w:t xml:space="preserve"> </w:t>
      </w:r>
      <w:r w:rsidRPr="000A7AE0">
        <w:rPr>
          <w:rFonts w:ascii="Times New Roman" w:hAnsi="Times New Roman" w:cs="Times New Roman"/>
          <w:b/>
          <w:bCs/>
        </w:rPr>
        <w:t>7</w:t>
      </w:r>
      <w:r w:rsidRPr="000A7AE0">
        <w:rPr>
          <w:rFonts w:ascii="Times New Roman" w:hAnsi="Times New Roman" w:cs="Times New Roman"/>
        </w:rPr>
        <w:t>, 39142–39157 (2019).</w:t>
      </w:r>
    </w:p>
    <w:p w14:paraId="34164AEE" w14:textId="78AFD1A6" w:rsidR="00621DF2" w:rsidRPr="00C613BE" w:rsidRDefault="00621DF2" w:rsidP="00C14660">
      <w:pPr>
        <w:rPr>
          <w:rFonts w:ascii="Times New Roman" w:eastAsia="宋体" w:hAnsi="Times New Roman" w:cs="Times New Roman"/>
          <w:b/>
          <w:bCs/>
          <w:szCs w:val="21"/>
          <w14:ligatures w14:val="none"/>
        </w:rPr>
      </w:pPr>
      <w:r w:rsidRPr="00C613BE">
        <w:rPr>
          <w:rFonts w:ascii="Times New Roman" w:eastAsia="宋体" w:hAnsi="Times New Roman" w:cs="Times New Roman"/>
          <w:b/>
          <w:bCs/>
          <w:szCs w:val="21"/>
          <w14:ligatures w14:val="none"/>
        </w:rPr>
        <w:fldChar w:fldCharType="end"/>
      </w:r>
    </w:p>
    <w:p w14:paraId="75308C9E" w14:textId="77777777" w:rsidR="00F4530D" w:rsidRPr="00C613BE" w:rsidRDefault="00F4530D" w:rsidP="00C14660">
      <w:pPr>
        <w:rPr>
          <w:rFonts w:ascii="Times New Roman" w:eastAsia="宋体" w:hAnsi="Times New Roman" w:cs="Times New Roman"/>
          <w:b/>
          <w:bCs/>
          <w:szCs w:val="21"/>
          <w14:ligatures w14:val="none"/>
        </w:rPr>
      </w:pPr>
    </w:p>
    <w:p w14:paraId="0868FC50" w14:textId="77777777" w:rsidR="00F4530D" w:rsidRPr="00C613BE" w:rsidRDefault="00F4530D" w:rsidP="00C14660">
      <w:pPr>
        <w:rPr>
          <w:rFonts w:ascii="Times New Roman" w:eastAsia="宋体" w:hAnsi="Times New Roman" w:cs="Times New Roman"/>
          <w:b/>
          <w:bCs/>
          <w:szCs w:val="21"/>
          <w14:ligatures w14:val="none"/>
        </w:rPr>
      </w:pPr>
    </w:p>
    <w:sectPr w:rsidR="00F4530D" w:rsidRPr="00C613BE">
      <w:footerReference w:type="default" r:id="rId21"/>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19C2C" w14:textId="77777777" w:rsidR="001152E7" w:rsidRDefault="001152E7" w:rsidP="00B35394">
      <w:pPr>
        <w:rPr>
          <w:rFonts w:hint="eastAsia"/>
        </w:rPr>
      </w:pPr>
      <w:r>
        <w:separator/>
      </w:r>
    </w:p>
  </w:endnote>
  <w:endnote w:type="continuationSeparator" w:id="0">
    <w:p w14:paraId="2BE2E19B" w14:textId="77777777" w:rsidR="001152E7" w:rsidRDefault="001152E7" w:rsidP="00B3539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1468857"/>
      <w:docPartObj>
        <w:docPartGallery w:val="Page Numbers (Bottom of Page)"/>
        <w:docPartUnique/>
      </w:docPartObj>
    </w:sdtPr>
    <w:sdtContent>
      <w:p w14:paraId="0774E653" w14:textId="1FC2686E" w:rsidR="00621DF2" w:rsidRDefault="00621DF2">
        <w:pPr>
          <w:pStyle w:val="a6"/>
          <w:jc w:val="center"/>
          <w:rPr>
            <w:rFonts w:hint="eastAsia"/>
          </w:rPr>
        </w:pPr>
        <w:r>
          <w:fldChar w:fldCharType="begin"/>
        </w:r>
        <w:r>
          <w:instrText>PAGE   \* MERGEFORMAT</w:instrText>
        </w:r>
        <w:r>
          <w:fldChar w:fldCharType="separate"/>
        </w:r>
        <w:r>
          <w:rPr>
            <w:lang w:val="zh-CN"/>
          </w:rPr>
          <w:t>2</w:t>
        </w:r>
        <w:r>
          <w:fldChar w:fldCharType="end"/>
        </w:r>
      </w:p>
    </w:sdtContent>
  </w:sdt>
  <w:p w14:paraId="11AD61A9" w14:textId="77777777" w:rsidR="00621DF2" w:rsidRDefault="00621DF2">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5012D" w14:textId="77777777" w:rsidR="001152E7" w:rsidRDefault="001152E7" w:rsidP="00B35394">
      <w:pPr>
        <w:rPr>
          <w:rFonts w:hint="eastAsia"/>
        </w:rPr>
      </w:pPr>
      <w:r>
        <w:separator/>
      </w:r>
    </w:p>
  </w:footnote>
  <w:footnote w:type="continuationSeparator" w:id="0">
    <w:p w14:paraId="19529E7F" w14:textId="77777777" w:rsidR="001152E7" w:rsidRDefault="001152E7" w:rsidP="00B3539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243A1B"/>
    <w:multiLevelType w:val="multilevel"/>
    <w:tmpl w:val="DE5868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14314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18"/>
    <w:rsid w:val="00000A6D"/>
    <w:rsid w:val="00000A86"/>
    <w:rsid w:val="00001DD2"/>
    <w:rsid w:val="0000243A"/>
    <w:rsid w:val="00002492"/>
    <w:rsid w:val="0000290F"/>
    <w:rsid w:val="000036AD"/>
    <w:rsid w:val="000036B6"/>
    <w:rsid w:val="00004B80"/>
    <w:rsid w:val="00006D38"/>
    <w:rsid w:val="00011A48"/>
    <w:rsid w:val="00011B25"/>
    <w:rsid w:val="0001321C"/>
    <w:rsid w:val="0001333F"/>
    <w:rsid w:val="000141FD"/>
    <w:rsid w:val="00014FEC"/>
    <w:rsid w:val="00016AFA"/>
    <w:rsid w:val="00021BE7"/>
    <w:rsid w:val="00022979"/>
    <w:rsid w:val="00025D7E"/>
    <w:rsid w:val="0003059A"/>
    <w:rsid w:val="00031C15"/>
    <w:rsid w:val="000325B5"/>
    <w:rsid w:val="000327DD"/>
    <w:rsid w:val="00033BA3"/>
    <w:rsid w:val="000371C4"/>
    <w:rsid w:val="000376B3"/>
    <w:rsid w:val="00040682"/>
    <w:rsid w:val="00041AF6"/>
    <w:rsid w:val="00041FC1"/>
    <w:rsid w:val="00042122"/>
    <w:rsid w:val="00042505"/>
    <w:rsid w:val="00042D4F"/>
    <w:rsid w:val="000438C9"/>
    <w:rsid w:val="00044540"/>
    <w:rsid w:val="000450DD"/>
    <w:rsid w:val="00046E40"/>
    <w:rsid w:val="00050521"/>
    <w:rsid w:val="000508E1"/>
    <w:rsid w:val="00050C18"/>
    <w:rsid w:val="00053C37"/>
    <w:rsid w:val="000552EF"/>
    <w:rsid w:val="00055936"/>
    <w:rsid w:val="00055D5C"/>
    <w:rsid w:val="00056561"/>
    <w:rsid w:val="00056958"/>
    <w:rsid w:val="0006003F"/>
    <w:rsid w:val="000609EC"/>
    <w:rsid w:val="00061889"/>
    <w:rsid w:val="000629ED"/>
    <w:rsid w:val="00063F87"/>
    <w:rsid w:val="00063FB7"/>
    <w:rsid w:val="000649F8"/>
    <w:rsid w:val="00065232"/>
    <w:rsid w:val="00065418"/>
    <w:rsid w:val="00065464"/>
    <w:rsid w:val="00065F43"/>
    <w:rsid w:val="000674C8"/>
    <w:rsid w:val="00072A4D"/>
    <w:rsid w:val="00072F9B"/>
    <w:rsid w:val="000743BE"/>
    <w:rsid w:val="00074BAE"/>
    <w:rsid w:val="00075995"/>
    <w:rsid w:val="000760CD"/>
    <w:rsid w:val="000765EE"/>
    <w:rsid w:val="000767CE"/>
    <w:rsid w:val="00077100"/>
    <w:rsid w:val="00080BF5"/>
    <w:rsid w:val="00081823"/>
    <w:rsid w:val="00081BF4"/>
    <w:rsid w:val="00081E45"/>
    <w:rsid w:val="00082D4E"/>
    <w:rsid w:val="00082E41"/>
    <w:rsid w:val="0008360B"/>
    <w:rsid w:val="0008508D"/>
    <w:rsid w:val="0008512C"/>
    <w:rsid w:val="00085179"/>
    <w:rsid w:val="000853CB"/>
    <w:rsid w:val="00085BF8"/>
    <w:rsid w:val="00085E69"/>
    <w:rsid w:val="0009021D"/>
    <w:rsid w:val="000916BA"/>
    <w:rsid w:val="00092275"/>
    <w:rsid w:val="00092757"/>
    <w:rsid w:val="00094CD6"/>
    <w:rsid w:val="0009584F"/>
    <w:rsid w:val="00095881"/>
    <w:rsid w:val="00097048"/>
    <w:rsid w:val="000A09E7"/>
    <w:rsid w:val="000A0BB6"/>
    <w:rsid w:val="000A0CAE"/>
    <w:rsid w:val="000A1B9B"/>
    <w:rsid w:val="000A2C19"/>
    <w:rsid w:val="000A5CA3"/>
    <w:rsid w:val="000A6B6D"/>
    <w:rsid w:val="000A70D2"/>
    <w:rsid w:val="000A7AE0"/>
    <w:rsid w:val="000B014D"/>
    <w:rsid w:val="000B06F1"/>
    <w:rsid w:val="000B0B55"/>
    <w:rsid w:val="000B23B9"/>
    <w:rsid w:val="000B3551"/>
    <w:rsid w:val="000B3730"/>
    <w:rsid w:val="000B3C6C"/>
    <w:rsid w:val="000B5919"/>
    <w:rsid w:val="000B65E0"/>
    <w:rsid w:val="000B7B64"/>
    <w:rsid w:val="000B7ED2"/>
    <w:rsid w:val="000C0813"/>
    <w:rsid w:val="000C0B9E"/>
    <w:rsid w:val="000C1568"/>
    <w:rsid w:val="000C3C72"/>
    <w:rsid w:val="000C43A7"/>
    <w:rsid w:val="000C448E"/>
    <w:rsid w:val="000C45D9"/>
    <w:rsid w:val="000C5F88"/>
    <w:rsid w:val="000C6AE1"/>
    <w:rsid w:val="000D151B"/>
    <w:rsid w:val="000D1CEB"/>
    <w:rsid w:val="000D30A4"/>
    <w:rsid w:val="000D3C55"/>
    <w:rsid w:val="000D4568"/>
    <w:rsid w:val="000D473F"/>
    <w:rsid w:val="000D52AF"/>
    <w:rsid w:val="000D5EA5"/>
    <w:rsid w:val="000D6F59"/>
    <w:rsid w:val="000D7030"/>
    <w:rsid w:val="000E159F"/>
    <w:rsid w:val="000E237D"/>
    <w:rsid w:val="000E262C"/>
    <w:rsid w:val="000E5B32"/>
    <w:rsid w:val="000E6017"/>
    <w:rsid w:val="000E6756"/>
    <w:rsid w:val="000E7423"/>
    <w:rsid w:val="000E7521"/>
    <w:rsid w:val="000F1DCD"/>
    <w:rsid w:val="000F1F5F"/>
    <w:rsid w:val="000F270C"/>
    <w:rsid w:val="000F2A59"/>
    <w:rsid w:val="000F30D8"/>
    <w:rsid w:val="000F3BD2"/>
    <w:rsid w:val="000F42BA"/>
    <w:rsid w:val="000F4975"/>
    <w:rsid w:val="000F4C32"/>
    <w:rsid w:val="000F5B21"/>
    <w:rsid w:val="000F6890"/>
    <w:rsid w:val="000F75F3"/>
    <w:rsid w:val="000F7F4F"/>
    <w:rsid w:val="0010031A"/>
    <w:rsid w:val="00100535"/>
    <w:rsid w:val="0010073D"/>
    <w:rsid w:val="00101491"/>
    <w:rsid w:val="00101C0B"/>
    <w:rsid w:val="00102675"/>
    <w:rsid w:val="00103BAD"/>
    <w:rsid w:val="00103EE7"/>
    <w:rsid w:val="00103FD2"/>
    <w:rsid w:val="001078A4"/>
    <w:rsid w:val="00107B37"/>
    <w:rsid w:val="0011054D"/>
    <w:rsid w:val="001108C0"/>
    <w:rsid w:val="00111A50"/>
    <w:rsid w:val="00111C04"/>
    <w:rsid w:val="001120BE"/>
    <w:rsid w:val="001124C0"/>
    <w:rsid w:val="00114DD0"/>
    <w:rsid w:val="00114E98"/>
    <w:rsid w:val="001152E7"/>
    <w:rsid w:val="0011570C"/>
    <w:rsid w:val="001161AA"/>
    <w:rsid w:val="001163E1"/>
    <w:rsid w:val="0011682B"/>
    <w:rsid w:val="00117712"/>
    <w:rsid w:val="00117A78"/>
    <w:rsid w:val="00120482"/>
    <w:rsid w:val="001204A8"/>
    <w:rsid w:val="00120690"/>
    <w:rsid w:val="00121671"/>
    <w:rsid w:val="00121762"/>
    <w:rsid w:val="00121C33"/>
    <w:rsid w:val="00123B0B"/>
    <w:rsid w:val="00124759"/>
    <w:rsid w:val="00126BD8"/>
    <w:rsid w:val="001274A5"/>
    <w:rsid w:val="00127E5A"/>
    <w:rsid w:val="00130C36"/>
    <w:rsid w:val="00131FEF"/>
    <w:rsid w:val="00132C5D"/>
    <w:rsid w:val="001334B2"/>
    <w:rsid w:val="001351BF"/>
    <w:rsid w:val="00135693"/>
    <w:rsid w:val="00136271"/>
    <w:rsid w:val="00136DF9"/>
    <w:rsid w:val="0013720C"/>
    <w:rsid w:val="001406C3"/>
    <w:rsid w:val="00140848"/>
    <w:rsid w:val="00141E20"/>
    <w:rsid w:val="001422C6"/>
    <w:rsid w:val="001423E5"/>
    <w:rsid w:val="001427B0"/>
    <w:rsid w:val="0014419A"/>
    <w:rsid w:val="0014512F"/>
    <w:rsid w:val="00145567"/>
    <w:rsid w:val="001456E2"/>
    <w:rsid w:val="00145EF8"/>
    <w:rsid w:val="0014672D"/>
    <w:rsid w:val="0015064A"/>
    <w:rsid w:val="00150E4D"/>
    <w:rsid w:val="00150F1C"/>
    <w:rsid w:val="001512F7"/>
    <w:rsid w:val="00151DA3"/>
    <w:rsid w:val="00151E89"/>
    <w:rsid w:val="00152CDA"/>
    <w:rsid w:val="00154CE2"/>
    <w:rsid w:val="001562A7"/>
    <w:rsid w:val="00156851"/>
    <w:rsid w:val="00161444"/>
    <w:rsid w:val="00161621"/>
    <w:rsid w:val="00161CEB"/>
    <w:rsid w:val="001625CB"/>
    <w:rsid w:val="00162666"/>
    <w:rsid w:val="00163A54"/>
    <w:rsid w:val="00164412"/>
    <w:rsid w:val="00164529"/>
    <w:rsid w:val="0016464A"/>
    <w:rsid w:val="00167F30"/>
    <w:rsid w:val="001708B5"/>
    <w:rsid w:val="00173487"/>
    <w:rsid w:val="00173E1A"/>
    <w:rsid w:val="00175025"/>
    <w:rsid w:val="0017502D"/>
    <w:rsid w:val="00175992"/>
    <w:rsid w:val="00176608"/>
    <w:rsid w:val="00176AAD"/>
    <w:rsid w:val="0018047B"/>
    <w:rsid w:val="00180EB4"/>
    <w:rsid w:val="00181BC7"/>
    <w:rsid w:val="00181EA2"/>
    <w:rsid w:val="00181FE7"/>
    <w:rsid w:val="00182D73"/>
    <w:rsid w:val="0018454B"/>
    <w:rsid w:val="00185463"/>
    <w:rsid w:val="00185E0E"/>
    <w:rsid w:val="00186CA0"/>
    <w:rsid w:val="00186F11"/>
    <w:rsid w:val="001878F3"/>
    <w:rsid w:val="00190897"/>
    <w:rsid w:val="00191078"/>
    <w:rsid w:val="0019119B"/>
    <w:rsid w:val="001920CE"/>
    <w:rsid w:val="001934D2"/>
    <w:rsid w:val="00193AFF"/>
    <w:rsid w:val="00194D2D"/>
    <w:rsid w:val="00195A78"/>
    <w:rsid w:val="001979BF"/>
    <w:rsid w:val="00197C7B"/>
    <w:rsid w:val="001A03DC"/>
    <w:rsid w:val="001A07C5"/>
    <w:rsid w:val="001A0977"/>
    <w:rsid w:val="001A19A0"/>
    <w:rsid w:val="001A2699"/>
    <w:rsid w:val="001A2B45"/>
    <w:rsid w:val="001A4AFD"/>
    <w:rsid w:val="001A4DDB"/>
    <w:rsid w:val="001A55CD"/>
    <w:rsid w:val="001A5AB3"/>
    <w:rsid w:val="001A5C7D"/>
    <w:rsid w:val="001A6190"/>
    <w:rsid w:val="001A79EE"/>
    <w:rsid w:val="001B33BC"/>
    <w:rsid w:val="001B7518"/>
    <w:rsid w:val="001C236A"/>
    <w:rsid w:val="001C3656"/>
    <w:rsid w:val="001C5A92"/>
    <w:rsid w:val="001C6718"/>
    <w:rsid w:val="001D11CC"/>
    <w:rsid w:val="001D252B"/>
    <w:rsid w:val="001D3885"/>
    <w:rsid w:val="001D39FE"/>
    <w:rsid w:val="001D3DE2"/>
    <w:rsid w:val="001D494D"/>
    <w:rsid w:val="001D5823"/>
    <w:rsid w:val="001D5CE8"/>
    <w:rsid w:val="001D60E6"/>
    <w:rsid w:val="001D7843"/>
    <w:rsid w:val="001E052F"/>
    <w:rsid w:val="001E1F43"/>
    <w:rsid w:val="001E3184"/>
    <w:rsid w:val="001E32C8"/>
    <w:rsid w:val="001E3635"/>
    <w:rsid w:val="001E4046"/>
    <w:rsid w:val="001E415F"/>
    <w:rsid w:val="001E49BE"/>
    <w:rsid w:val="001E4ADB"/>
    <w:rsid w:val="001E526D"/>
    <w:rsid w:val="001E542C"/>
    <w:rsid w:val="001E59E6"/>
    <w:rsid w:val="001F0695"/>
    <w:rsid w:val="001F15B0"/>
    <w:rsid w:val="001F1EA0"/>
    <w:rsid w:val="001F2094"/>
    <w:rsid w:val="001F2C09"/>
    <w:rsid w:val="001F486F"/>
    <w:rsid w:val="001F4F57"/>
    <w:rsid w:val="001F5D4E"/>
    <w:rsid w:val="001F6652"/>
    <w:rsid w:val="001F667C"/>
    <w:rsid w:val="001F70E9"/>
    <w:rsid w:val="00202190"/>
    <w:rsid w:val="002023C0"/>
    <w:rsid w:val="00203C45"/>
    <w:rsid w:val="0020528D"/>
    <w:rsid w:val="00205520"/>
    <w:rsid w:val="00213576"/>
    <w:rsid w:val="00213A9A"/>
    <w:rsid w:val="00216A65"/>
    <w:rsid w:val="002177F4"/>
    <w:rsid w:val="00222F3F"/>
    <w:rsid w:val="002239A6"/>
    <w:rsid w:val="00225AC8"/>
    <w:rsid w:val="00225DA9"/>
    <w:rsid w:val="00230982"/>
    <w:rsid w:val="002335DA"/>
    <w:rsid w:val="00233D64"/>
    <w:rsid w:val="00234887"/>
    <w:rsid w:val="00235A10"/>
    <w:rsid w:val="002369D1"/>
    <w:rsid w:val="002400EA"/>
    <w:rsid w:val="00242968"/>
    <w:rsid w:val="00243758"/>
    <w:rsid w:val="00243D08"/>
    <w:rsid w:val="00244B0E"/>
    <w:rsid w:val="0024510A"/>
    <w:rsid w:val="002461FE"/>
    <w:rsid w:val="00250909"/>
    <w:rsid w:val="00250A38"/>
    <w:rsid w:val="00250D58"/>
    <w:rsid w:val="00253F0C"/>
    <w:rsid w:val="00254202"/>
    <w:rsid w:val="00254F79"/>
    <w:rsid w:val="002563B6"/>
    <w:rsid w:val="00256595"/>
    <w:rsid w:val="00257A64"/>
    <w:rsid w:val="002600E8"/>
    <w:rsid w:val="0026013A"/>
    <w:rsid w:val="0026114D"/>
    <w:rsid w:val="002615A2"/>
    <w:rsid w:val="002619CF"/>
    <w:rsid w:val="00262296"/>
    <w:rsid w:val="0026256F"/>
    <w:rsid w:val="00263BFF"/>
    <w:rsid w:val="00265834"/>
    <w:rsid w:val="002669FB"/>
    <w:rsid w:val="00266BD8"/>
    <w:rsid w:val="00267814"/>
    <w:rsid w:val="00267ED7"/>
    <w:rsid w:val="00271FD7"/>
    <w:rsid w:val="0027292A"/>
    <w:rsid w:val="00274310"/>
    <w:rsid w:val="00276495"/>
    <w:rsid w:val="002766DE"/>
    <w:rsid w:val="00276F8B"/>
    <w:rsid w:val="002808D0"/>
    <w:rsid w:val="002809E6"/>
    <w:rsid w:val="00282882"/>
    <w:rsid w:val="00283D01"/>
    <w:rsid w:val="0028467B"/>
    <w:rsid w:val="002849A1"/>
    <w:rsid w:val="002858A8"/>
    <w:rsid w:val="002868CD"/>
    <w:rsid w:val="002871CB"/>
    <w:rsid w:val="00287978"/>
    <w:rsid w:val="00287BEE"/>
    <w:rsid w:val="00290EA4"/>
    <w:rsid w:val="00291C5D"/>
    <w:rsid w:val="0029305B"/>
    <w:rsid w:val="00294F64"/>
    <w:rsid w:val="002961BD"/>
    <w:rsid w:val="00296FE1"/>
    <w:rsid w:val="002972EF"/>
    <w:rsid w:val="002A0550"/>
    <w:rsid w:val="002A1448"/>
    <w:rsid w:val="002A17E0"/>
    <w:rsid w:val="002A553E"/>
    <w:rsid w:val="002A6186"/>
    <w:rsid w:val="002A719A"/>
    <w:rsid w:val="002A7A5A"/>
    <w:rsid w:val="002B2D50"/>
    <w:rsid w:val="002B3451"/>
    <w:rsid w:val="002B3E5F"/>
    <w:rsid w:val="002B4D97"/>
    <w:rsid w:val="002B4FE7"/>
    <w:rsid w:val="002B5EEB"/>
    <w:rsid w:val="002B5FE6"/>
    <w:rsid w:val="002B6E55"/>
    <w:rsid w:val="002C0AF3"/>
    <w:rsid w:val="002C1EE1"/>
    <w:rsid w:val="002C1F2F"/>
    <w:rsid w:val="002C3FB4"/>
    <w:rsid w:val="002C53E8"/>
    <w:rsid w:val="002C6D40"/>
    <w:rsid w:val="002C75EE"/>
    <w:rsid w:val="002D045B"/>
    <w:rsid w:val="002D0D8F"/>
    <w:rsid w:val="002D156C"/>
    <w:rsid w:val="002D17D1"/>
    <w:rsid w:val="002D1A10"/>
    <w:rsid w:val="002D2A95"/>
    <w:rsid w:val="002D2F7B"/>
    <w:rsid w:val="002D34B3"/>
    <w:rsid w:val="002D3AEE"/>
    <w:rsid w:val="002D3F4E"/>
    <w:rsid w:val="002D41E5"/>
    <w:rsid w:val="002D4D2F"/>
    <w:rsid w:val="002D4EA5"/>
    <w:rsid w:val="002D5E59"/>
    <w:rsid w:val="002D7F5C"/>
    <w:rsid w:val="002E1580"/>
    <w:rsid w:val="002E32B3"/>
    <w:rsid w:val="002E3B88"/>
    <w:rsid w:val="002E40BF"/>
    <w:rsid w:val="002E4A02"/>
    <w:rsid w:val="002E4A72"/>
    <w:rsid w:val="002E5721"/>
    <w:rsid w:val="002E57F3"/>
    <w:rsid w:val="002E5AFE"/>
    <w:rsid w:val="002E5E3D"/>
    <w:rsid w:val="002E5F03"/>
    <w:rsid w:val="002E60C7"/>
    <w:rsid w:val="002E65A9"/>
    <w:rsid w:val="002E6A27"/>
    <w:rsid w:val="002F0BA0"/>
    <w:rsid w:val="002F30EB"/>
    <w:rsid w:val="002F32FF"/>
    <w:rsid w:val="002F3DFC"/>
    <w:rsid w:val="002F45E1"/>
    <w:rsid w:val="002F5248"/>
    <w:rsid w:val="002F671F"/>
    <w:rsid w:val="002F6A3F"/>
    <w:rsid w:val="002F7CB1"/>
    <w:rsid w:val="00300105"/>
    <w:rsid w:val="00300A81"/>
    <w:rsid w:val="00301607"/>
    <w:rsid w:val="00302898"/>
    <w:rsid w:val="003032B0"/>
    <w:rsid w:val="00303DB1"/>
    <w:rsid w:val="00305036"/>
    <w:rsid w:val="00306962"/>
    <w:rsid w:val="00306D88"/>
    <w:rsid w:val="0030735E"/>
    <w:rsid w:val="003122A5"/>
    <w:rsid w:val="003127FC"/>
    <w:rsid w:val="00313599"/>
    <w:rsid w:val="00313662"/>
    <w:rsid w:val="00313DB5"/>
    <w:rsid w:val="00313F85"/>
    <w:rsid w:val="0031736F"/>
    <w:rsid w:val="00317912"/>
    <w:rsid w:val="00320511"/>
    <w:rsid w:val="00320691"/>
    <w:rsid w:val="00320B5F"/>
    <w:rsid w:val="00320EAB"/>
    <w:rsid w:val="003214EA"/>
    <w:rsid w:val="00322DAB"/>
    <w:rsid w:val="00322FCA"/>
    <w:rsid w:val="00323638"/>
    <w:rsid w:val="003246EF"/>
    <w:rsid w:val="00325165"/>
    <w:rsid w:val="003251A6"/>
    <w:rsid w:val="003261ED"/>
    <w:rsid w:val="00330A1D"/>
    <w:rsid w:val="00336A6B"/>
    <w:rsid w:val="00337464"/>
    <w:rsid w:val="0033795C"/>
    <w:rsid w:val="00340B57"/>
    <w:rsid w:val="00341000"/>
    <w:rsid w:val="003430DB"/>
    <w:rsid w:val="0034328D"/>
    <w:rsid w:val="003443DF"/>
    <w:rsid w:val="00344AA5"/>
    <w:rsid w:val="00344D94"/>
    <w:rsid w:val="003456C8"/>
    <w:rsid w:val="00346EAE"/>
    <w:rsid w:val="00347A4F"/>
    <w:rsid w:val="0035000E"/>
    <w:rsid w:val="00350112"/>
    <w:rsid w:val="003511C7"/>
    <w:rsid w:val="00351CFE"/>
    <w:rsid w:val="0035324A"/>
    <w:rsid w:val="003539A2"/>
    <w:rsid w:val="00354044"/>
    <w:rsid w:val="003543CA"/>
    <w:rsid w:val="00354417"/>
    <w:rsid w:val="0035487A"/>
    <w:rsid w:val="00354C81"/>
    <w:rsid w:val="00356A36"/>
    <w:rsid w:val="00356B11"/>
    <w:rsid w:val="003578D4"/>
    <w:rsid w:val="003602BB"/>
    <w:rsid w:val="003603F9"/>
    <w:rsid w:val="00362EA5"/>
    <w:rsid w:val="0036303A"/>
    <w:rsid w:val="00363C67"/>
    <w:rsid w:val="00364D4B"/>
    <w:rsid w:val="0036659D"/>
    <w:rsid w:val="003665E2"/>
    <w:rsid w:val="00371BF9"/>
    <w:rsid w:val="00373525"/>
    <w:rsid w:val="00373BCC"/>
    <w:rsid w:val="003753A7"/>
    <w:rsid w:val="00376FBD"/>
    <w:rsid w:val="0038085A"/>
    <w:rsid w:val="00380D3C"/>
    <w:rsid w:val="00381269"/>
    <w:rsid w:val="00382578"/>
    <w:rsid w:val="00383460"/>
    <w:rsid w:val="0038660D"/>
    <w:rsid w:val="00386993"/>
    <w:rsid w:val="00387639"/>
    <w:rsid w:val="00390B79"/>
    <w:rsid w:val="0039109D"/>
    <w:rsid w:val="00391AD4"/>
    <w:rsid w:val="00391C60"/>
    <w:rsid w:val="0039485F"/>
    <w:rsid w:val="003951F4"/>
    <w:rsid w:val="00395B99"/>
    <w:rsid w:val="00397AD7"/>
    <w:rsid w:val="003A023A"/>
    <w:rsid w:val="003A1E7F"/>
    <w:rsid w:val="003A2093"/>
    <w:rsid w:val="003A281A"/>
    <w:rsid w:val="003A2861"/>
    <w:rsid w:val="003A5D76"/>
    <w:rsid w:val="003A61EE"/>
    <w:rsid w:val="003A7620"/>
    <w:rsid w:val="003B00F5"/>
    <w:rsid w:val="003B0F4D"/>
    <w:rsid w:val="003B278A"/>
    <w:rsid w:val="003B42C4"/>
    <w:rsid w:val="003B4EE2"/>
    <w:rsid w:val="003B5E4B"/>
    <w:rsid w:val="003B6641"/>
    <w:rsid w:val="003B7053"/>
    <w:rsid w:val="003C00BB"/>
    <w:rsid w:val="003C1AB1"/>
    <w:rsid w:val="003C1C62"/>
    <w:rsid w:val="003C2BDD"/>
    <w:rsid w:val="003C2D27"/>
    <w:rsid w:val="003C3736"/>
    <w:rsid w:val="003C3938"/>
    <w:rsid w:val="003C4517"/>
    <w:rsid w:val="003C5DB5"/>
    <w:rsid w:val="003C7C42"/>
    <w:rsid w:val="003C7EBA"/>
    <w:rsid w:val="003D1DED"/>
    <w:rsid w:val="003D1EC0"/>
    <w:rsid w:val="003D3142"/>
    <w:rsid w:val="003D31B4"/>
    <w:rsid w:val="003D32B8"/>
    <w:rsid w:val="003D3DA1"/>
    <w:rsid w:val="003D4ACF"/>
    <w:rsid w:val="003D6D12"/>
    <w:rsid w:val="003D6FD2"/>
    <w:rsid w:val="003D774E"/>
    <w:rsid w:val="003E049E"/>
    <w:rsid w:val="003E2388"/>
    <w:rsid w:val="003E2D3C"/>
    <w:rsid w:val="003E409D"/>
    <w:rsid w:val="003E56BE"/>
    <w:rsid w:val="003E6FE3"/>
    <w:rsid w:val="003E748B"/>
    <w:rsid w:val="003E7A7F"/>
    <w:rsid w:val="003F01FB"/>
    <w:rsid w:val="003F1900"/>
    <w:rsid w:val="003F1F57"/>
    <w:rsid w:val="003F22B6"/>
    <w:rsid w:val="003F2813"/>
    <w:rsid w:val="003F2FEE"/>
    <w:rsid w:val="003F326A"/>
    <w:rsid w:val="003F56FA"/>
    <w:rsid w:val="003F69D5"/>
    <w:rsid w:val="003F76B2"/>
    <w:rsid w:val="003F7BAD"/>
    <w:rsid w:val="00400182"/>
    <w:rsid w:val="004006AA"/>
    <w:rsid w:val="00400841"/>
    <w:rsid w:val="004009C7"/>
    <w:rsid w:val="00400ABD"/>
    <w:rsid w:val="00400F16"/>
    <w:rsid w:val="00401146"/>
    <w:rsid w:val="00401998"/>
    <w:rsid w:val="00402052"/>
    <w:rsid w:val="00403F28"/>
    <w:rsid w:val="0040429B"/>
    <w:rsid w:val="00404FEB"/>
    <w:rsid w:val="00407002"/>
    <w:rsid w:val="00410F2D"/>
    <w:rsid w:val="0041147E"/>
    <w:rsid w:val="00413836"/>
    <w:rsid w:val="004139D6"/>
    <w:rsid w:val="004155A2"/>
    <w:rsid w:val="004160C6"/>
    <w:rsid w:val="00417BAB"/>
    <w:rsid w:val="00420029"/>
    <w:rsid w:val="00420121"/>
    <w:rsid w:val="004208FC"/>
    <w:rsid w:val="00420CAF"/>
    <w:rsid w:val="00421066"/>
    <w:rsid w:val="00421769"/>
    <w:rsid w:val="00421B19"/>
    <w:rsid w:val="00422CD7"/>
    <w:rsid w:val="00424C91"/>
    <w:rsid w:val="00424D43"/>
    <w:rsid w:val="00426284"/>
    <w:rsid w:val="00426E07"/>
    <w:rsid w:val="004274DB"/>
    <w:rsid w:val="00427CFE"/>
    <w:rsid w:val="004336F1"/>
    <w:rsid w:val="00435DC9"/>
    <w:rsid w:val="00435E83"/>
    <w:rsid w:val="00436869"/>
    <w:rsid w:val="00437342"/>
    <w:rsid w:val="0044033A"/>
    <w:rsid w:val="00440DA2"/>
    <w:rsid w:val="00440EF2"/>
    <w:rsid w:val="00441BB4"/>
    <w:rsid w:val="00442A4A"/>
    <w:rsid w:val="00443148"/>
    <w:rsid w:val="00443F91"/>
    <w:rsid w:val="00444AA3"/>
    <w:rsid w:val="00444EFC"/>
    <w:rsid w:val="00444F0C"/>
    <w:rsid w:val="0044618E"/>
    <w:rsid w:val="0044637B"/>
    <w:rsid w:val="00446B71"/>
    <w:rsid w:val="00446D73"/>
    <w:rsid w:val="00451619"/>
    <w:rsid w:val="004517AD"/>
    <w:rsid w:val="00452D13"/>
    <w:rsid w:val="00452D9D"/>
    <w:rsid w:val="00452FD6"/>
    <w:rsid w:val="0045424A"/>
    <w:rsid w:val="00454959"/>
    <w:rsid w:val="00457960"/>
    <w:rsid w:val="00457D32"/>
    <w:rsid w:val="004603F1"/>
    <w:rsid w:val="00460DB5"/>
    <w:rsid w:val="0046126C"/>
    <w:rsid w:val="00461BE0"/>
    <w:rsid w:val="00461CD9"/>
    <w:rsid w:val="0046240D"/>
    <w:rsid w:val="00464D5C"/>
    <w:rsid w:val="00467071"/>
    <w:rsid w:val="0046710C"/>
    <w:rsid w:val="00470199"/>
    <w:rsid w:val="00470579"/>
    <w:rsid w:val="00471045"/>
    <w:rsid w:val="00471098"/>
    <w:rsid w:val="00471253"/>
    <w:rsid w:val="004718AD"/>
    <w:rsid w:val="00472756"/>
    <w:rsid w:val="004728A3"/>
    <w:rsid w:val="00476C38"/>
    <w:rsid w:val="00477762"/>
    <w:rsid w:val="00477832"/>
    <w:rsid w:val="0048123A"/>
    <w:rsid w:val="004828A3"/>
    <w:rsid w:val="00482C3A"/>
    <w:rsid w:val="00483B9B"/>
    <w:rsid w:val="004844A5"/>
    <w:rsid w:val="004848B8"/>
    <w:rsid w:val="00484B31"/>
    <w:rsid w:val="0048501E"/>
    <w:rsid w:val="00486730"/>
    <w:rsid w:val="0049108E"/>
    <w:rsid w:val="00492553"/>
    <w:rsid w:val="00494976"/>
    <w:rsid w:val="00494CF9"/>
    <w:rsid w:val="00495ADB"/>
    <w:rsid w:val="00496440"/>
    <w:rsid w:val="004966DD"/>
    <w:rsid w:val="00497C19"/>
    <w:rsid w:val="004A6D45"/>
    <w:rsid w:val="004A7975"/>
    <w:rsid w:val="004B081A"/>
    <w:rsid w:val="004B190A"/>
    <w:rsid w:val="004B2038"/>
    <w:rsid w:val="004B2B40"/>
    <w:rsid w:val="004B3BB4"/>
    <w:rsid w:val="004B3DF6"/>
    <w:rsid w:val="004B63BD"/>
    <w:rsid w:val="004B660C"/>
    <w:rsid w:val="004C379D"/>
    <w:rsid w:val="004C57E6"/>
    <w:rsid w:val="004C5904"/>
    <w:rsid w:val="004C5D1C"/>
    <w:rsid w:val="004C5EF8"/>
    <w:rsid w:val="004C6373"/>
    <w:rsid w:val="004C691A"/>
    <w:rsid w:val="004C6A1A"/>
    <w:rsid w:val="004C6CAD"/>
    <w:rsid w:val="004C7707"/>
    <w:rsid w:val="004C7EAA"/>
    <w:rsid w:val="004D0323"/>
    <w:rsid w:val="004D154D"/>
    <w:rsid w:val="004D164B"/>
    <w:rsid w:val="004D1A32"/>
    <w:rsid w:val="004D2BA6"/>
    <w:rsid w:val="004D2D52"/>
    <w:rsid w:val="004D4ACC"/>
    <w:rsid w:val="004D53DD"/>
    <w:rsid w:val="004D612C"/>
    <w:rsid w:val="004D7FA1"/>
    <w:rsid w:val="004E0B17"/>
    <w:rsid w:val="004E0DEA"/>
    <w:rsid w:val="004E18EB"/>
    <w:rsid w:val="004E1FBD"/>
    <w:rsid w:val="004E2B19"/>
    <w:rsid w:val="004E4095"/>
    <w:rsid w:val="004E411B"/>
    <w:rsid w:val="004E5303"/>
    <w:rsid w:val="004E553B"/>
    <w:rsid w:val="004E5D2C"/>
    <w:rsid w:val="004E6184"/>
    <w:rsid w:val="004E64B6"/>
    <w:rsid w:val="004F008E"/>
    <w:rsid w:val="004F47B5"/>
    <w:rsid w:val="004F7881"/>
    <w:rsid w:val="00500690"/>
    <w:rsid w:val="005008A4"/>
    <w:rsid w:val="0050174A"/>
    <w:rsid w:val="0050184B"/>
    <w:rsid w:val="00501F55"/>
    <w:rsid w:val="00512087"/>
    <w:rsid w:val="00512AA1"/>
    <w:rsid w:val="005147D6"/>
    <w:rsid w:val="005155A0"/>
    <w:rsid w:val="005156BA"/>
    <w:rsid w:val="00517851"/>
    <w:rsid w:val="005205AF"/>
    <w:rsid w:val="00520D40"/>
    <w:rsid w:val="00521F8E"/>
    <w:rsid w:val="00522E6F"/>
    <w:rsid w:val="0052462D"/>
    <w:rsid w:val="005246A4"/>
    <w:rsid w:val="00525432"/>
    <w:rsid w:val="0052605C"/>
    <w:rsid w:val="00527695"/>
    <w:rsid w:val="00527CC6"/>
    <w:rsid w:val="00530600"/>
    <w:rsid w:val="00531C80"/>
    <w:rsid w:val="0053258D"/>
    <w:rsid w:val="005332BE"/>
    <w:rsid w:val="005346DE"/>
    <w:rsid w:val="00534911"/>
    <w:rsid w:val="005356F5"/>
    <w:rsid w:val="00537E10"/>
    <w:rsid w:val="0054205A"/>
    <w:rsid w:val="005430B7"/>
    <w:rsid w:val="00544F3E"/>
    <w:rsid w:val="005452A6"/>
    <w:rsid w:val="005453D2"/>
    <w:rsid w:val="005456E8"/>
    <w:rsid w:val="00545DA8"/>
    <w:rsid w:val="00545E38"/>
    <w:rsid w:val="00546FD6"/>
    <w:rsid w:val="005509FB"/>
    <w:rsid w:val="00551513"/>
    <w:rsid w:val="0055172A"/>
    <w:rsid w:val="00551A93"/>
    <w:rsid w:val="00552569"/>
    <w:rsid w:val="00553683"/>
    <w:rsid w:val="005550A2"/>
    <w:rsid w:val="00555715"/>
    <w:rsid w:val="0055660A"/>
    <w:rsid w:val="005604E0"/>
    <w:rsid w:val="005609F4"/>
    <w:rsid w:val="00560D19"/>
    <w:rsid w:val="00562888"/>
    <w:rsid w:val="00562AC8"/>
    <w:rsid w:val="00562E6C"/>
    <w:rsid w:val="00563133"/>
    <w:rsid w:val="0056371E"/>
    <w:rsid w:val="005642BC"/>
    <w:rsid w:val="00564852"/>
    <w:rsid w:val="00566408"/>
    <w:rsid w:val="00566D27"/>
    <w:rsid w:val="00567E06"/>
    <w:rsid w:val="0057048A"/>
    <w:rsid w:val="0057148E"/>
    <w:rsid w:val="00572C26"/>
    <w:rsid w:val="00574291"/>
    <w:rsid w:val="005757A1"/>
    <w:rsid w:val="00575DA4"/>
    <w:rsid w:val="00576A6C"/>
    <w:rsid w:val="005831FD"/>
    <w:rsid w:val="0058324D"/>
    <w:rsid w:val="00583B23"/>
    <w:rsid w:val="0058419D"/>
    <w:rsid w:val="005842EA"/>
    <w:rsid w:val="005843B6"/>
    <w:rsid w:val="00584802"/>
    <w:rsid w:val="005857AE"/>
    <w:rsid w:val="005859D0"/>
    <w:rsid w:val="005872C3"/>
    <w:rsid w:val="0058737B"/>
    <w:rsid w:val="00587729"/>
    <w:rsid w:val="005908DB"/>
    <w:rsid w:val="00592067"/>
    <w:rsid w:val="00592442"/>
    <w:rsid w:val="00592B0E"/>
    <w:rsid w:val="0059450A"/>
    <w:rsid w:val="00595593"/>
    <w:rsid w:val="00595A4C"/>
    <w:rsid w:val="005964DD"/>
    <w:rsid w:val="005A04FD"/>
    <w:rsid w:val="005A158B"/>
    <w:rsid w:val="005A1B97"/>
    <w:rsid w:val="005A1EE8"/>
    <w:rsid w:val="005A23F8"/>
    <w:rsid w:val="005A39B9"/>
    <w:rsid w:val="005A477C"/>
    <w:rsid w:val="005A499C"/>
    <w:rsid w:val="005A4C07"/>
    <w:rsid w:val="005A4E0E"/>
    <w:rsid w:val="005A5AF8"/>
    <w:rsid w:val="005A60F8"/>
    <w:rsid w:val="005A6A86"/>
    <w:rsid w:val="005B0D1C"/>
    <w:rsid w:val="005B1467"/>
    <w:rsid w:val="005B34DA"/>
    <w:rsid w:val="005B3730"/>
    <w:rsid w:val="005B54D9"/>
    <w:rsid w:val="005B5702"/>
    <w:rsid w:val="005B6F4E"/>
    <w:rsid w:val="005B751F"/>
    <w:rsid w:val="005C03C5"/>
    <w:rsid w:val="005C2005"/>
    <w:rsid w:val="005C3E80"/>
    <w:rsid w:val="005C569A"/>
    <w:rsid w:val="005C6832"/>
    <w:rsid w:val="005C763B"/>
    <w:rsid w:val="005C77C5"/>
    <w:rsid w:val="005D00D1"/>
    <w:rsid w:val="005D06BD"/>
    <w:rsid w:val="005D0972"/>
    <w:rsid w:val="005D1B02"/>
    <w:rsid w:val="005D3014"/>
    <w:rsid w:val="005D568A"/>
    <w:rsid w:val="005D6E38"/>
    <w:rsid w:val="005D75CC"/>
    <w:rsid w:val="005E1819"/>
    <w:rsid w:val="005E2452"/>
    <w:rsid w:val="005E28C7"/>
    <w:rsid w:val="005E34EC"/>
    <w:rsid w:val="005E3D16"/>
    <w:rsid w:val="005E4321"/>
    <w:rsid w:val="005E4C6D"/>
    <w:rsid w:val="005E63F2"/>
    <w:rsid w:val="005E65D9"/>
    <w:rsid w:val="005E6C58"/>
    <w:rsid w:val="005E795D"/>
    <w:rsid w:val="005F162A"/>
    <w:rsid w:val="005F1B02"/>
    <w:rsid w:val="005F1BA4"/>
    <w:rsid w:val="005F76A1"/>
    <w:rsid w:val="005F7F44"/>
    <w:rsid w:val="00600792"/>
    <w:rsid w:val="006018E2"/>
    <w:rsid w:val="006032F9"/>
    <w:rsid w:val="006035EC"/>
    <w:rsid w:val="00604D1C"/>
    <w:rsid w:val="00604DB7"/>
    <w:rsid w:val="0060571D"/>
    <w:rsid w:val="0060598D"/>
    <w:rsid w:val="006077FC"/>
    <w:rsid w:val="00610E58"/>
    <w:rsid w:val="00611568"/>
    <w:rsid w:val="00611E95"/>
    <w:rsid w:val="00611FF5"/>
    <w:rsid w:val="00614116"/>
    <w:rsid w:val="00615143"/>
    <w:rsid w:val="0062010F"/>
    <w:rsid w:val="00620139"/>
    <w:rsid w:val="00620778"/>
    <w:rsid w:val="0062098D"/>
    <w:rsid w:val="0062123C"/>
    <w:rsid w:val="00621DF2"/>
    <w:rsid w:val="00623AF2"/>
    <w:rsid w:val="00624662"/>
    <w:rsid w:val="00625D00"/>
    <w:rsid w:val="0062601A"/>
    <w:rsid w:val="00630A9C"/>
    <w:rsid w:val="0063109C"/>
    <w:rsid w:val="00631D9D"/>
    <w:rsid w:val="006340EA"/>
    <w:rsid w:val="006341C4"/>
    <w:rsid w:val="00634234"/>
    <w:rsid w:val="00634B27"/>
    <w:rsid w:val="00634C5A"/>
    <w:rsid w:val="00635E80"/>
    <w:rsid w:val="00636398"/>
    <w:rsid w:val="00636CB6"/>
    <w:rsid w:val="0064139E"/>
    <w:rsid w:val="0064265F"/>
    <w:rsid w:val="0064461F"/>
    <w:rsid w:val="0064517C"/>
    <w:rsid w:val="00645C4D"/>
    <w:rsid w:val="00646149"/>
    <w:rsid w:val="00650C84"/>
    <w:rsid w:val="0065147A"/>
    <w:rsid w:val="00651EEA"/>
    <w:rsid w:val="006520DD"/>
    <w:rsid w:val="00653346"/>
    <w:rsid w:val="00653FF9"/>
    <w:rsid w:val="00655744"/>
    <w:rsid w:val="00655F78"/>
    <w:rsid w:val="00657396"/>
    <w:rsid w:val="00660597"/>
    <w:rsid w:val="00662B73"/>
    <w:rsid w:val="00662BE1"/>
    <w:rsid w:val="0066356E"/>
    <w:rsid w:val="0066375A"/>
    <w:rsid w:val="006637E6"/>
    <w:rsid w:val="0066567E"/>
    <w:rsid w:val="00665957"/>
    <w:rsid w:val="00666978"/>
    <w:rsid w:val="00670686"/>
    <w:rsid w:val="0067072E"/>
    <w:rsid w:val="00671C9F"/>
    <w:rsid w:val="006720D6"/>
    <w:rsid w:val="00674A7E"/>
    <w:rsid w:val="00675C10"/>
    <w:rsid w:val="00676215"/>
    <w:rsid w:val="00676546"/>
    <w:rsid w:val="00680131"/>
    <w:rsid w:val="006802D5"/>
    <w:rsid w:val="00680A7D"/>
    <w:rsid w:val="00680FF6"/>
    <w:rsid w:val="006815D9"/>
    <w:rsid w:val="00681605"/>
    <w:rsid w:val="00681A65"/>
    <w:rsid w:val="00681E92"/>
    <w:rsid w:val="00682125"/>
    <w:rsid w:val="00682C28"/>
    <w:rsid w:val="006831A6"/>
    <w:rsid w:val="00683E3E"/>
    <w:rsid w:val="00684043"/>
    <w:rsid w:val="006851F1"/>
    <w:rsid w:val="00687B80"/>
    <w:rsid w:val="0069049A"/>
    <w:rsid w:val="006907B3"/>
    <w:rsid w:val="00692854"/>
    <w:rsid w:val="00693827"/>
    <w:rsid w:val="0069423D"/>
    <w:rsid w:val="00695E31"/>
    <w:rsid w:val="00696768"/>
    <w:rsid w:val="00696958"/>
    <w:rsid w:val="00696A2A"/>
    <w:rsid w:val="00697A50"/>
    <w:rsid w:val="006A17FC"/>
    <w:rsid w:val="006A1AFA"/>
    <w:rsid w:val="006A1CBB"/>
    <w:rsid w:val="006A3497"/>
    <w:rsid w:val="006A590A"/>
    <w:rsid w:val="006A5F22"/>
    <w:rsid w:val="006A6531"/>
    <w:rsid w:val="006B00DB"/>
    <w:rsid w:val="006B02F9"/>
    <w:rsid w:val="006B334A"/>
    <w:rsid w:val="006B4EE7"/>
    <w:rsid w:val="006B7F15"/>
    <w:rsid w:val="006C16F1"/>
    <w:rsid w:val="006C1749"/>
    <w:rsid w:val="006C25FF"/>
    <w:rsid w:val="006C3959"/>
    <w:rsid w:val="006C56CE"/>
    <w:rsid w:val="006C6123"/>
    <w:rsid w:val="006C6C12"/>
    <w:rsid w:val="006D13CB"/>
    <w:rsid w:val="006D165E"/>
    <w:rsid w:val="006D1B9E"/>
    <w:rsid w:val="006D400E"/>
    <w:rsid w:val="006D4030"/>
    <w:rsid w:val="006D4136"/>
    <w:rsid w:val="006D41A1"/>
    <w:rsid w:val="006D45A9"/>
    <w:rsid w:val="006D68E5"/>
    <w:rsid w:val="006D71FE"/>
    <w:rsid w:val="006E13B1"/>
    <w:rsid w:val="006E1615"/>
    <w:rsid w:val="006E209F"/>
    <w:rsid w:val="006E22AA"/>
    <w:rsid w:val="006E2C65"/>
    <w:rsid w:val="006E377B"/>
    <w:rsid w:val="006E429B"/>
    <w:rsid w:val="006E4BD3"/>
    <w:rsid w:val="006E54FE"/>
    <w:rsid w:val="006E5571"/>
    <w:rsid w:val="006F1667"/>
    <w:rsid w:val="006F179F"/>
    <w:rsid w:val="006F2CE9"/>
    <w:rsid w:val="006F372C"/>
    <w:rsid w:val="006F3BAF"/>
    <w:rsid w:val="006F4EAE"/>
    <w:rsid w:val="006F6699"/>
    <w:rsid w:val="0070010A"/>
    <w:rsid w:val="00702FC6"/>
    <w:rsid w:val="00703F1A"/>
    <w:rsid w:val="00704F77"/>
    <w:rsid w:val="00706170"/>
    <w:rsid w:val="00707B8E"/>
    <w:rsid w:val="007103FA"/>
    <w:rsid w:val="00710607"/>
    <w:rsid w:val="00711762"/>
    <w:rsid w:val="00711EC6"/>
    <w:rsid w:val="007121A9"/>
    <w:rsid w:val="0071243E"/>
    <w:rsid w:val="0071289F"/>
    <w:rsid w:val="00712BC1"/>
    <w:rsid w:val="00716AC5"/>
    <w:rsid w:val="00721139"/>
    <w:rsid w:val="0072121D"/>
    <w:rsid w:val="00722260"/>
    <w:rsid w:val="00724335"/>
    <w:rsid w:val="00725326"/>
    <w:rsid w:val="007275D0"/>
    <w:rsid w:val="00727986"/>
    <w:rsid w:val="00727BF7"/>
    <w:rsid w:val="00727C6A"/>
    <w:rsid w:val="00730D9A"/>
    <w:rsid w:val="007312BC"/>
    <w:rsid w:val="00731847"/>
    <w:rsid w:val="007339D3"/>
    <w:rsid w:val="00734CE2"/>
    <w:rsid w:val="00734F9C"/>
    <w:rsid w:val="007356B8"/>
    <w:rsid w:val="007361FC"/>
    <w:rsid w:val="007364A1"/>
    <w:rsid w:val="00736AF8"/>
    <w:rsid w:val="00737FF6"/>
    <w:rsid w:val="007402F8"/>
    <w:rsid w:val="00740A13"/>
    <w:rsid w:val="00741055"/>
    <w:rsid w:val="00741163"/>
    <w:rsid w:val="007412BC"/>
    <w:rsid w:val="00742453"/>
    <w:rsid w:val="007429A3"/>
    <w:rsid w:val="007437DC"/>
    <w:rsid w:val="007440B2"/>
    <w:rsid w:val="00744E8F"/>
    <w:rsid w:val="00744F7E"/>
    <w:rsid w:val="00744FE8"/>
    <w:rsid w:val="0074566B"/>
    <w:rsid w:val="00745910"/>
    <w:rsid w:val="007466D8"/>
    <w:rsid w:val="00747E18"/>
    <w:rsid w:val="0075097B"/>
    <w:rsid w:val="00750CB5"/>
    <w:rsid w:val="00753E3F"/>
    <w:rsid w:val="007555A8"/>
    <w:rsid w:val="0075694C"/>
    <w:rsid w:val="00762028"/>
    <w:rsid w:val="00763BB1"/>
    <w:rsid w:val="007645FD"/>
    <w:rsid w:val="00764EF4"/>
    <w:rsid w:val="007654C0"/>
    <w:rsid w:val="00771A1C"/>
    <w:rsid w:val="00771D3E"/>
    <w:rsid w:val="00771DFB"/>
    <w:rsid w:val="00771E28"/>
    <w:rsid w:val="00772019"/>
    <w:rsid w:val="007736E8"/>
    <w:rsid w:val="00774070"/>
    <w:rsid w:val="0077456F"/>
    <w:rsid w:val="00774CE0"/>
    <w:rsid w:val="00775A85"/>
    <w:rsid w:val="00775E0B"/>
    <w:rsid w:val="00776EC7"/>
    <w:rsid w:val="00777085"/>
    <w:rsid w:val="0077756B"/>
    <w:rsid w:val="00780550"/>
    <w:rsid w:val="00781110"/>
    <w:rsid w:val="0078190C"/>
    <w:rsid w:val="007820A1"/>
    <w:rsid w:val="007820B5"/>
    <w:rsid w:val="007824AF"/>
    <w:rsid w:val="00784493"/>
    <w:rsid w:val="00784911"/>
    <w:rsid w:val="007850ED"/>
    <w:rsid w:val="00785120"/>
    <w:rsid w:val="00785DAB"/>
    <w:rsid w:val="0078708A"/>
    <w:rsid w:val="00787B79"/>
    <w:rsid w:val="00787C8B"/>
    <w:rsid w:val="00792916"/>
    <w:rsid w:val="00794452"/>
    <w:rsid w:val="00796E34"/>
    <w:rsid w:val="007A03F8"/>
    <w:rsid w:val="007A0440"/>
    <w:rsid w:val="007A0544"/>
    <w:rsid w:val="007A0706"/>
    <w:rsid w:val="007A2791"/>
    <w:rsid w:val="007A3BF3"/>
    <w:rsid w:val="007A595A"/>
    <w:rsid w:val="007A5C21"/>
    <w:rsid w:val="007A709A"/>
    <w:rsid w:val="007A7834"/>
    <w:rsid w:val="007A7C67"/>
    <w:rsid w:val="007B045D"/>
    <w:rsid w:val="007B0C4E"/>
    <w:rsid w:val="007B330E"/>
    <w:rsid w:val="007B38F5"/>
    <w:rsid w:val="007B5B83"/>
    <w:rsid w:val="007B6889"/>
    <w:rsid w:val="007B6DD8"/>
    <w:rsid w:val="007B7E93"/>
    <w:rsid w:val="007C0096"/>
    <w:rsid w:val="007C1014"/>
    <w:rsid w:val="007C13F4"/>
    <w:rsid w:val="007C1DE0"/>
    <w:rsid w:val="007C420B"/>
    <w:rsid w:val="007C48F1"/>
    <w:rsid w:val="007C4B19"/>
    <w:rsid w:val="007C5F6D"/>
    <w:rsid w:val="007C5F8B"/>
    <w:rsid w:val="007C671D"/>
    <w:rsid w:val="007C7576"/>
    <w:rsid w:val="007C7C76"/>
    <w:rsid w:val="007D234D"/>
    <w:rsid w:val="007D285C"/>
    <w:rsid w:val="007D2ACF"/>
    <w:rsid w:val="007D3124"/>
    <w:rsid w:val="007D3195"/>
    <w:rsid w:val="007D6193"/>
    <w:rsid w:val="007D67BE"/>
    <w:rsid w:val="007D6C11"/>
    <w:rsid w:val="007E025D"/>
    <w:rsid w:val="007E0733"/>
    <w:rsid w:val="007E07C4"/>
    <w:rsid w:val="007E1CB5"/>
    <w:rsid w:val="007E2235"/>
    <w:rsid w:val="007E2838"/>
    <w:rsid w:val="007E3187"/>
    <w:rsid w:val="007E32E6"/>
    <w:rsid w:val="007E4364"/>
    <w:rsid w:val="007E43D8"/>
    <w:rsid w:val="007E7029"/>
    <w:rsid w:val="007F011B"/>
    <w:rsid w:val="007F0365"/>
    <w:rsid w:val="007F1AFC"/>
    <w:rsid w:val="007F341A"/>
    <w:rsid w:val="007F450D"/>
    <w:rsid w:val="007F6954"/>
    <w:rsid w:val="008003EB"/>
    <w:rsid w:val="00800CAA"/>
    <w:rsid w:val="008015AC"/>
    <w:rsid w:val="008016D2"/>
    <w:rsid w:val="00801CD9"/>
    <w:rsid w:val="00802702"/>
    <w:rsid w:val="00804392"/>
    <w:rsid w:val="008044BC"/>
    <w:rsid w:val="00804C7B"/>
    <w:rsid w:val="00804CBD"/>
    <w:rsid w:val="00805CDD"/>
    <w:rsid w:val="00806060"/>
    <w:rsid w:val="00807424"/>
    <w:rsid w:val="00807734"/>
    <w:rsid w:val="00807A73"/>
    <w:rsid w:val="008104B0"/>
    <w:rsid w:val="008104E3"/>
    <w:rsid w:val="0081075C"/>
    <w:rsid w:val="008107A1"/>
    <w:rsid w:val="00811553"/>
    <w:rsid w:val="00811C34"/>
    <w:rsid w:val="00812131"/>
    <w:rsid w:val="0081280B"/>
    <w:rsid w:val="00814387"/>
    <w:rsid w:val="00814413"/>
    <w:rsid w:val="0081486D"/>
    <w:rsid w:val="00814A2B"/>
    <w:rsid w:val="008151F0"/>
    <w:rsid w:val="00815DF8"/>
    <w:rsid w:val="00820CC3"/>
    <w:rsid w:val="008211D3"/>
    <w:rsid w:val="0082134E"/>
    <w:rsid w:val="00821964"/>
    <w:rsid w:val="008227E0"/>
    <w:rsid w:val="00823A4E"/>
    <w:rsid w:val="00824003"/>
    <w:rsid w:val="008258E2"/>
    <w:rsid w:val="00825AC8"/>
    <w:rsid w:val="00825DC5"/>
    <w:rsid w:val="0082768D"/>
    <w:rsid w:val="00827ED0"/>
    <w:rsid w:val="00830833"/>
    <w:rsid w:val="00831545"/>
    <w:rsid w:val="00832476"/>
    <w:rsid w:val="008327BB"/>
    <w:rsid w:val="008328C0"/>
    <w:rsid w:val="00833AA2"/>
    <w:rsid w:val="00836312"/>
    <w:rsid w:val="00836835"/>
    <w:rsid w:val="0083692C"/>
    <w:rsid w:val="00837561"/>
    <w:rsid w:val="00840EFD"/>
    <w:rsid w:val="00842518"/>
    <w:rsid w:val="0084291E"/>
    <w:rsid w:val="00842B64"/>
    <w:rsid w:val="00842EE4"/>
    <w:rsid w:val="0084305E"/>
    <w:rsid w:val="008432CB"/>
    <w:rsid w:val="008439EE"/>
    <w:rsid w:val="00843A87"/>
    <w:rsid w:val="00843B9F"/>
    <w:rsid w:val="00844805"/>
    <w:rsid w:val="008453D0"/>
    <w:rsid w:val="00846E12"/>
    <w:rsid w:val="00846F82"/>
    <w:rsid w:val="00847584"/>
    <w:rsid w:val="00850515"/>
    <w:rsid w:val="008506F2"/>
    <w:rsid w:val="008513A6"/>
    <w:rsid w:val="0085317B"/>
    <w:rsid w:val="00856A8C"/>
    <w:rsid w:val="00860489"/>
    <w:rsid w:val="00860CB4"/>
    <w:rsid w:val="008613CE"/>
    <w:rsid w:val="0086181F"/>
    <w:rsid w:val="00861E41"/>
    <w:rsid w:val="00864220"/>
    <w:rsid w:val="008644AC"/>
    <w:rsid w:val="00864E09"/>
    <w:rsid w:val="008656B8"/>
    <w:rsid w:val="0086604D"/>
    <w:rsid w:val="00867050"/>
    <w:rsid w:val="008729DF"/>
    <w:rsid w:val="00872DF7"/>
    <w:rsid w:val="00872E11"/>
    <w:rsid w:val="008737B8"/>
    <w:rsid w:val="00876E45"/>
    <w:rsid w:val="008779F1"/>
    <w:rsid w:val="00877E76"/>
    <w:rsid w:val="00882B7B"/>
    <w:rsid w:val="008850C5"/>
    <w:rsid w:val="00885A56"/>
    <w:rsid w:val="00885B21"/>
    <w:rsid w:val="00886A4A"/>
    <w:rsid w:val="00886FBC"/>
    <w:rsid w:val="0088789E"/>
    <w:rsid w:val="008878BE"/>
    <w:rsid w:val="00891763"/>
    <w:rsid w:val="008919AD"/>
    <w:rsid w:val="00891BBB"/>
    <w:rsid w:val="008924F7"/>
    <w:rsid w:val="00894537"/>
    <w:rsid w:val="00895C43"/>
    <w:rsid w:val="00896EB5"/>
    <w:rsid w:val="008976DE"/>
    <w:rsid w:val="008A0C47"/>
    <w:rsid w:val="008A16F7"/>
    <w:rsid w:val="008A23E6"/>
    <w:rsid w:val="008A27DC"/>
    <w:rsid w:val="008A2E0A"/>
    <w:rsid w:val="008A35B1"/>
    <w:rsid w:val="008A451B"/>
    <w:rsid w:val="008A46FC"/>
    <w:rsid w:val="008B3529"/>
    <w:rsid w:val="008B3D37"/>
    <w:rsid w:val="008B50A0"/>
    <w:rsid w:val="008B70ED"/>
    <w:rsid w:val="008B7583"/>
    <w:rsid w:val="008B7CE0"/>
    <w:rsid w:val="008C05CD"/>
    <w:rsid w:val="008C194E"/>
    <w:rsid w:val="008C2BDC"/>
    <w:rsid w:val="008C3170"/>
    <w:rsid w:val="008C359A"/>
    <w:rsid w:val="008C489B"/>
    <w:rsid w:val="008C49C7"/>
    <w:rsid w:val="008C601F"/>
    <w:rsid w:val="008C6CFE"/>
    <w:rsid w:val="008D046C"/>
    <w:rsid w:val="008D086C"/>
    <w:rsid w:val="008D0C0C"/>
    <w:rsid w:val="008D0CE3"/>
    <w:rsid w:val="008D0EC6"/>
    <w:rsid w:val="008D1E50"/>
    <w:rsid w:val="008D3DB6"/>
    <w:rsid w:val="008D4AD4"/>
    <w:rsid w:val="008D4F05"/>
    <w:rsid w:val="008D53E7"/>
    <w:rsid w:val="008D6516"/>
    <w:rsid w:val="008D6BC7"/>
    <w:rsid w:val="008D7078"/>
    <w:rsid w:val="008D7331"/>
    <w:rsid w:val="008D777B"/>
    <w:rsid w:val="008D7CD2"/>
    <w:rsid w:val="008E0686"/>
    <w:rsid w:val="008E1876"/>
    <w:rsid w:val="008E1967"/>
    <w:rsid w:val="008E1A25"/>
    <w:rsid w:val="008E2776"/>
    <w:rsid w:val="008E439C"/>
    <w:rsid w:val="008E60D3"/>
    <w:rsid w:val="008E61B0"/>
    <w:rsid w:val="008E6774"/>
    <w:rsid w:val="008E69A0"/>
    <w:rsid w:val="008E6F58"/>
    <w:rsid w:val="008F0947"/>
    <w:rsid w:val="008F2A45"/>
    <w:rsid w:val="008F392D"/>
    <w:rsid w:val="008F451A"/>
    <w:rsid w:val="008F5030"/>
    <w:rsid w:val="008F5B6C"/>
    <w:rsid w:val="008F5FE7"/>
    <w:rsid w:val="008F660F"/>
    <w:rsid w:val="008F6ABE"/>
    <w:rsid w:val="00900EE6"/>
    <w:rsid w:val="009019AB"/>
    <w:rsid w:val="00902855"/>
    <w:rsid w:val="009028A4"/>
    <w:rsid w:val="00903500"/>
    <w:rsid w:val="009035F0"/>
    <w:rsid w:val="00905A61"/>
    <w:rsid w:val="00906041"/>
    <w:rsid w:val="0090616C"/>
    <w:rsid w:val="0091167C"/>
    <w:rsid w:val="00911FA1"/>
    <w:rsid w:val="009132F2"/>
    <w:rsid w:val="00913355"/>
    <w:rsid w:val="00913937"/>
    <w:rsid w:val="00914BE4"/>
    <w:rsid w:val="009168A7"/>
    <w:rsid w:val="00917017"/>
    <w:rsid w:val="00917CBC"/>
    <w:rsid w:val="00920315"/>
    <w:rsid w:val="00921636"/>
    <w:rsid w:val="00921C8C"/>
    <w:rsid w:val="00924CCF"/>
    <w:rsid w:val="00925B89"/>
    <w:rsid w:val="00926569"/>
    <w:rsid w:val="009276BB"/>
    <w:rsid w:val="00932259"/>
    <w:rsid w:val="009323F0"/>
    <w:rsid w:val="009325B9"/>
    <w:rsid w:val="009327DD"/>
    <w:rsid w:val="009332C4"/>
    <w:rsid w:val="00934A03"/>
    <w:rsid w:val="00934BA1"/>
    <w:rsid w:val="009376A2"/>
    <w:rsid w:val="00937D85"/>
    <w:rsid w:val="009402D7"/>
    <w:rsid w:val="009407F2"/>
    <w:rsid w:val="009417B2"/>
    <w:rsid w:val="00942D04"/>
    <w:rsid w:val="00943AB5"/>
    <w:rsid w:val="00944248"/>
    <w:rsid w:val="00944606"/>
    <w:rsid w:val="009462B9"/>
    <w:rsid w:val="00947749"/>
    <w:rsid w:val="00947DA5"/>
    <w:rsid w:val="009500B4"/>
    <w:rsid w:val="00951C05"/>
    <w:rsid w:val="00953C8E"/>
    <w:rsid w:val="00954223"/>
    <w:rsid w:val="009551AD"/>
    <w:rsid w:val="00955277"/>
    <w:rsid w:val="00956C7D"/>
    <w:rsid w:val="00957C2E"/>
    <w:rsid w:val="00957F13"/>
    <w:rsid w:val="00960ED1"/>
    <w:rsid w:val="00961236"/>
    <w:rsid w:val="00961586"/>
    <w:rsid w:val="00961D9A"/>
    <w:rsid w:val="00962710"/>
    <w:rsid w:val="0096608D"/>
    <w:rsid w:val="0096633B"/>
    <w:rsid w:val="00970E90"/>
    <w:rsid w:val="00972F67"/>
    <w:rsid w:val="00975C38"/>
    <w:rsid w:val="00975D21"/>
    <w:rsid w:val="00977C80"/>
    <w:rsid w:val="00977E26"/>
    <w:rsid w:val="00977F47"/>
    <w:rsid w:val="009800A4"/>
    <w:rsid w:val="009829BC"/>
    <w:rsid w:val="00982B58"/>
    <w:rsid w:val="009832BF"/>
    <w:rsid w:val="00983375"/>
    <w:rsid w:val="009838CD"/>
    <w:rsid w:val="00983998"/>
    <w:rsid w:val="00983EFC"/>
    <w:rsid w:val="00984933"/>
    <w:rsid w:val="00985948"/>
    <w:rsid w:val="00985D00"/>
    <w:rsid w:val="0098639C"/>
    <w:rsid w:val="0098657A"/>
    <w:rsid w:val="00987775"/>
    <w:rsid w:val="00990284"/>
    <w:rsid w:val="0099052C"/>
    <w:rsid w:val="0099134D"/>
    <w:rsid w:val="00991E1E"/>
    <w:rsid w:val="00992357"/>
    <w:rsid w:val="0099312E"/>
    <w:rsid w:val="00993AF8"/>
    <w:rsid w:val="00996035"/>
    <w:rsid w:val="00996E6A"/>
    <w:rsid w:val="009970BA"/>
    <w:rsid w:val="00997305"/>
    <w:rsid w:val="009A0C2B"/>
    <w:rsid w:val="009A178E"/>
    <w:rsid w:val="009A3A01"/>
    <w:rsid w:val="009A4CFC"/>
    <w:rsid w:val="009A4ECD"/>
    <w:rsid w:val="009A5C7E"/>
    <w:rsid w:val="009A5F71"/>
    <w:rsid w:val="009A6AAB"/>
    <w:rsid w:val="009A6E00"/>
    <w:rsid w:val="009A7358"/>
    <w:rsid w:val="009B05D4"/>
    <w:rsid w:val="009B05F6"/>
    <w:rsid w:val="009B1565"/>
    <w:rsid w:val="009B2175"/>
    <w:rsid w:val="009B3052"/>
    <w:rsid w:val="009B42CF"/>
    <w:rsid w:val="009B43C9"/>
    <w:rsid w:val="009B456B"/>
    <w:rsid w:val="009B4895"/>
    <w:rsid w:val="009B50E1"/>
    <w:rsid w:val="009B5909"/>
    <w:rsid w:val="009B7205"/>
    <w:rsid w:val="009B7AD5"/>
    <w:rsid w:val="009C366A"/>
    <w:rsid w:val="009C60A3"/>
    <w:rsid w:val="009C7819"/>
    <w:rsid w:val="009C7C37"/>
    <w:rsid w:val="009D17BF"/>
    <w:rsid w:val="009D1FEA"/>
    <w:rsid w:val="009D3481"/>
    <w:rsid w:val="009D40EB"/>
    <w:rsid w:val="009D4BC3"/>
    <w:rsid w:val="009D4DC7"/>
    <w:rsid w:val="009D5196"/>
    <w:rsid w:val="009D54A4"/>
    <w:rsid w:val="009D65B7"/>
    <w:rsid w:val="009D669F"/>
    <w:rsid w:val="009D6CFF"/>
    <w:rsid w:val="009D726C"/>
    <w:rsid w:val="009E167B"/>
    <w:rsid w:val="009E2322"/>
    <w:rsid w:val="009E3508"/>
    <w:rsid w:val="009E4623"/>
    <w:rsid w:val="009E58DD"/>
    <w:rsid w:val="009E5F3A"/>
    <w:rsid w:val="009F082E"/>
    <w:rsid w:val="009F0C4F"/>
    <w:rsid w:val="009F3EE6"/>
    <w:rsid w:val="009F46A9"/>
    <w:rsid w:val="009F52F5"/>
    <w:rsid w:val="009F649D"/>
    <w:rsid w:val="009F7299"/>
    <w:rsid w:val="00A0005C"/>
    <w:rsid w:val="00A00558"/>
    <w:rsid w:val="00A0378A"/>
    <w:rsid w:val="00A03A23"/>
    <w:rsid w:val="00A03B6D"/>
    <w:rsid w:val="00A043C7"/>
    <w:rsid w:val="00A10DC7"/>
    <w:rsid w:val="00A111DF"/>
    <w:rsid w:val="00A12D73"/>
    <w:rsid w:val="00A13788"/>
    <w:rsid w:val="00A14F41"/>
    <w:rsid w:val="00A1527C"/>
    <w:rsid w:val="00A168BB"/>
    <w:rsid w:val="00A20441"/>
    <w:rsid w:val="00A207C8"/>
    <w:rsid w:val="00A20A5D"/>
    <w:rsid w:val="00A21CE3"/>
    <w:rsid w:val="00A226CF"/>
    <w:rsid w:val="00A232C4"/>
    <w:rsid w:val="00A23465"/>
    <w:rsid w:val="00A23F99"/>
    <w:rsid w:val="00A242E1"/>
    <w:rsid w:val="00A24F26"/>
    <w:rsid w:val="00A25460"/>
    <w:rsid w:val="00A256E6"/>
    <w:rsid w:val="00A26A94"/>
    <w:rsid w:val="00A32234"/>
    <w:rsid w:val="00A36459"/>
    <w:rsid w:val="00A3677E"/>
    <w:rsid w:val="00A37FFB"/>
    <w:rsid w:val="00A40AE0"/>
    <w:rsid w:val="00A41A5F"/>
    <w:rsid w:val="00A4267D"/>
    <w:rsid w:val="00A44EB0"/>
    <w:rsid w:val="00A451A1"/>
    <w:rsid w:val="00A473E2"/>
    <w:rsid w:val="00A50E8C"/>
    <w:rsid w:val="00A517BD"/>
    <w:rsid w:val="00A51E27"/>
    <w:rsid w:val="00A5550F"/>
    <w:rsid w:val="00A565D3"/>
    <w:rsid w:val="00A57BD0"/>
    <w:rsid w:val="00A57C7E"/>
    <w:rsid w:val="00A60101"/>
    <w:rsid w:val="00A60395"/>
    <w:rsid w:val="00A606D1"/>
    <w:rsid w:val="00A61FCA"/>
    <w:rsid w:val="00A6222D"/>
    <w:rsid w:val="00A632E8"/>
    <w:rsid w:val="00A651D1"/>
    <w:rsid w:val="00A65748"/>
    <w:rsid w:val="00A66C13"/>
    <w:rsid w:val="00A66E6B"/>
    <w:rsid w:val="00A66E8F"/>
    <w:rsid w:val="00A675BA"/>
    <w:rsid w:val="00A67999"/>
    <w:rsid w:val="00A70B2F"/>
    <w:rsid w:val="00A71BF0"/>
    <w:rsid w:val="00A7276A"/>
    <w:rsid w:val="00A72FF1"/>
    <w:rsid w:val="00A736C2"/>
    <w:rsid w:val="00A73C97"/>
    <w:rsid w:val="00A759FF"/>
    <w:rsid w:val="00A75B61"/>
    <w:rsid w:val="00A75E81"/>
    <w:rsid w:val="00A764E5"/>
    <w:rsid w:val="00A76F17"/>
    <w:rsid w:val="00A77438"/>
    <w:rsid w:val="00A806B5"/>
    <w:rsid w:val="00A81467"/>
    <w:rsid w:val="00A81B86"/>
    <w:rsid w:val="00A82AEC"/>
    <w:rsid w:val="00A83BBC"/>
    <w:rsid w:val="00A84A36"/>
    <w:rsid w:val="00A865E6"/>
    <w:rsid w:val="00A86809"/>
    <w:rsid w:val="00A90209"/>
    <w:rsid w:val="00A903F6"/>
    <w:rsid w:val="00A9146A"/>
    <w:rsid w:val="00A9182D"/>
    <w:rsid w:val="00A91CAD"/>
    <w:rsid w:val="00A9289A"/>
    <w:rsid w:val="00A92E4A"/>
    <w:rsid w:val="00A93396"/>
    <w:rsid w:val="00A952E6"/>
    <w:rsid w:val="00A96546"/>
    <w:rsid w:val="00A971FE"/>
    <w:rsid w:val="00AA1488"/>
    <w:rsid w:val="00AA210D"/>
    <w:rsid w:val="00AA31FA"/>
    <w:rsid w:val="00AA360B"/>
    <w:rsid w:val="00AA36B7"/>
    <w:rsid w:val="00AA4132"/>
    <w:rsid w:val="00AA47A4"/>
    <w:rsid w:val="00AA5A61"/>
    <w:rsid w:val="00AA78E0"/>
    <w:rsid w:val="00AB06C1"/>
    <w:rsid w:val="00AB25EB"/>
    <w:rsid w:val="00AB3464"/>
    <w:rsid w:val="00AB3E90"/>
    <w:rsid w:val="00AB4DC6"/>
    <w:rsid w:val="00AB5ADB"/>
    <w:rsid w:val="00AB5B30"/>
    <w:rsid w:val="00AB5E18"/>
    <w:rsid w:val="00AB6A38"/>
    <w:rsid w:val="00AB7920"/>
    <w:rsid w:val="00AB7FB0"/>
    <w:rsid w:val="00AC01B4"/>
    <w:rsid w:val="00AC083D"/>
    <w:rsid w:val="00AC2374"/>
    <w:rsid w:val="00AC2BDA"/>
    <w:rsid w:val="00AC3388"/>
    <w:rsid w:val="00AC339E"/>
    <w:rsid w:val="00AC3A3E"/>
    <w:rsid w:val="00AC58B4"/>
    <w:rsid w:val="00AC60B6"/>
    <w:rsid w:val="00AC79C9"/>
    <w:rsid w:val="00AD2575"/>
    <w:rsid w:val="00AD25A5"/>
    <w:rsid w:val="00AD268D"/>
    <w:rsid w:val="00AD3569"/>
    <w:rsid w:val="00AD45D6"/>
    <w:rsid w:val="00AD5146"/>
    <w:rsid w:val="00AD6BB9"/>
    <w:rsid w:val="00AD7238"/>
    <w:rsid w:val="00AD7B6C"/>
    <w:rsid w:val="00AD7B8D"/>
    <w:rsid w:val="00AD7EB7"/>
    <w:rsid w:val="00AE0329"/>
    <w:rsid w:val="00AE09D5"/>
    <w:rsid w:val="00AE1127"/>
    <w:rsid w:val="00AE1892"/>
    <w:rsid w:val="00AE2877"/>
    <w:rsid w:val="00AE3046"/>
    <w:rsid w:val="00AE5C14"/>
    <w:rsid w:val="00AE6311"/>
    <w:rsid w:val="00AF0067"/>
    <w:rsid w:val="00AF04C8"/>
    <w:rsid w:val="00AF05A1"/>
    <w:rsid w:val="00AF0611"/>
    <w:rsid w:val="00AF2AD0"/>
    <w:rsid w:val="00AF43D8"/>
    <w:rsid w:val="00AF7C09"/>
    <w:rsid w:val="00B048E4"/>
    <w:rsid w:val="00B049E7"/>
    <w:rsid w:val="00B052F1"/>
    <w:rsid w:val="00B1088E"/>
    <w:rsid w:val="00B11CDB"/>
    <w:rsid w:val="00B11E30"/>
    <w:rsid w:val="00B11F10"/>
    <w:rsid w:val="00B152D1"/>
    <w:rsid w:val="00B15A9F"/>
    <w:rsid w:val="00B15FB3"/>
    <w:rsid w:val="00B2001E"/>
    <w:rsid w:val="00B20C07"/>
    <w:rsid w:val="00B212AC"/>
    <w:rsid w:val="00B22606"/>
    <w:rsid w:val="00B22E11"/>
    <w:rsid w:val="00B23860"/>
    <w:rsid w:val="00B24551"/>
    <w:rsid w:val="00B24819"/>
    <w:rsid w:val="00B251D0"/>
    <w:rsid w:val="00B25CAB"/>
    <w:rsid w:val="00B2641E"/>
    <w:rsid w:val="00B30E77"/>
    <w:rsid w:val="00B32778"/>
    <w:rsid w:val="00B32821"/>
    <w:rsid w:val="00B34DFC"/>
    <w:rsid w:val="00B35394"/>
    <w:rsid w:val="00B4028A"/>
    <w:rsid w:val="00B41114"/>
    <w:rsid w:val="00B41399"/>
    <w:rsid w:val="00B42016"/>
    <w:rsid w:val="00B42280"/>
    <w:rsid w:val="00B42ECA"/>
    <w:rsid w:val="00B43466"/>
    <w:rsid w:val="00B44091"/>
    <w:rsid w:val="00B44433"/>
    <w:rsid w:val="00B44D98"/>
    <w:rsid w:val="00B44F41"/>
    <w:rsid w:val="00B45E5F"/>
    <w:rsid w:val="00B46191"/>
    <w:rsid w:val="00B467B0"/>
    <w:rsid w:val="00B476DD"/>
    <w:rsid w:val="00B47950"/>
    <w:rsid w:val="00B50CD5"/>
    <w:rsid w:val="00B51221"/>
    <w:rsid w:val="00B525FE"/>
    <w:rsid w:val="00B549DF"/>
    <w:rsid w:val="00B56896"/>
    <w:rsid w:val="00B57A83"/>
    <w:rsid w:val="00B6087C"/>
    <w:rsid w:val="00B6330D"/>
    <w:rsid w:val="00B663EA"/>
    <w:rsid w:val="00B667AC"/>
    <w:rsid w:val="00B66CC8"/>
    <w:rsid w:val="00B70BB7"/>
    <w:rsid w:val="00B70CFB"/>
    <w:rsid w:val="00B71A4A"/>
    <w:rsid w:val="00B72E79"/>
    <w:rsid w:val="00B72F25"/>
    <w:rsid w:val="00B73A6B"/>
    <w:rsid w:val="00B741D1"/>
    <w:rsid w:val="00B74B0F"/>
    <w:rsid w:val="00B75C78"/>
    <w:rsid w:val="00B779B0"/>
    <w:rsid w:val="00B8070E"/>
    <w:rsid w:val="00B80A33"/>
    <w:rsid w:val="00B821EA"/>
    <w:rsid w:val="00B83622"/>
    <w:rsid w:val="00B856F2"/>
    <w:rsid w:val="00B90034"/>
    <w:rsid w:val="00B907DB"/>
    <w:rsid w:val="00B90E59"/>
    <w:rsid w:val="00B91081"/>
    <w:rsid w:val="00B93CAB"/>
    <w:rsid w:val="00B94C72"/>
    <w:rsid w:val="00B9528F"/>
    <w:rsid w:val="00B9596A"/>
    <w:rsid w:val="00B95A83"/>
    <w:rsid w:val="00B95E9C"/>
    <w:rsid w:val="00B960D4"/>
    <w:rsid w:val="00B9691B"/>
    <w:rsid w:val="00B972DB"/>
    <w:rsid w:val="00B97BCA"/>
    <w:rsid w:val="00BA0EDA"/>
    <w:rsid w:val="00BA332B"/>
    <w:rsid w:val="00BA4DB7"/>
    <w:rsid w:val="00BA51F1"/>
    <w:rsid w:val="00BA7F87"/>
    <w:rsid w:val="00BB19DA"/>
    <w:rsid w:val="00BB1A76"/>
    <w:rsid w:val="00BB367A"/>
    <w:rsid w:val="00BB6C80"/>
    <w:rsid w:val="00BB7BC1"/>
    <w:rsid w:val="00BC1403"/>
    <w:rsid w:val="00BC1637"/>
    <w:rsid w:val="00BC22C2"/>
    <w:rsid w:val="00BC2F19"/>
    <w:rsid w:val="00BC3213"/>
    <w:rsid w:val="00BC3F1B"/>
    <w:rsid w:val="00BC583B"/>
    <w:rsid w:val="00BC5DA3"/>
    <w:rsid w:val="00BC60EC"/>
    <w:rsid w:val="00BC7CC7"/>
    <w:rsid w:val="00BD055D"/>
    <w:rsid w:val="00BD1C72"/>
    <w:rsid w:val="00BD2557"/>
    <w:rsid w:val="00BD3300"/>
    <w:rsid w:val="00BD3A0B"/>
    <w:rsid w:val="00BD5B70"/>
    <w:rsid w:val="00BD6651"/>
    <w:rsid w:val="00BD6B8E"/>
    <w:rsid w:val="00BD6F80"/>
    <w:rsid w:val="00BE044E"/>
    <w:rsid w:val="00BE1399"/>
    <w:rsid w:val="00BE3456"/>
    <w:rsid w:val="00BE37EE"/>
    <w:rsid w:val="00BE612B"/>
    <w:rsid w:val="00BE7F2C"/>
    <w:rsid w:val="00BF06E4"/>
    <w:rsid w:val="00BF0799"/>
    <w:rsid w:val="00BF1577"/>
    <w:rsid w:val="00BF15F2"/>
    <w:rsid w:val="00BF24C0"/>
    <w:rsid w:val="00BF2518"/>
    <w:rsid w:val="00BF263D"/>
    <w:rsid w:val="00BF2C19"/>
    <w:rsid w:val="00BF3691"/>
    <w:rsid w:val="00BF38B4"/>
    <w:rsid w:val="00BF3AA1"/>
    <w:rsid w:val="00BF5CDC"/>
    <w:rsid w:val="00C0028F"/>
    <w:rsid w:val="00C00FE3"/>
    <w:rsid w:val="00C027FD"/>
    <w:rsid w:val="00C02D23"/>
    <w:rsid w:val="00C03230"/>
    <w:rsid w:val="00C03D87"/>
    <w:rsid w:val="00C04092"/>
    <w:rsid w:val="00C04D90"/>
    <w:rsid w:val="00C05C5A"/>
    <w:rsid w:val="00C05E43"/>
    <w:rsid w:val="00C067C3"/>
    <w:rsid w:val="00C06E06"/>
    <w:rsid w:val="00C07CB1"/>
    <w:rsid w:val="00C10495"/>
    <w:rsid w:val="00C122B0"/>
    <w:rsid w:val="00C13A2E"/>
    <w:rsid w:val="00C14660"/>
    <w:rsid w:val="00C14ACE"/>
    <w:rsid w:val="00C168BC"/>
    <w:rsid w:val="00C16BED"/>
    <w:rsid w:val="00C177BE"/>
    <w:rsid w:val="00C21B49"/>
    <w:rsid w:val="00C2262F"/>
    <w:rsid w:val="00C22A90"/>
    <w:rsid w:val="00C22A9A"/>
    <w:rsid w:val="00C23188"/>
    <w:rsid w:val="00C242BB"/>
    <w:rsid w:val="00C249F7"/>
    <w:rsid w:val="00C24AA8"/>
    <w:rsid w:val="00C26809"/>
    <w:rsid w:val="00C268AF"/>
    <w:rsid w:val="00C26AF1"/>
    <w:rsid w:val="00C26FD5"/>
    <w:rsid w:val="00C26FEB"/>
    <w:rsid w:val="00C33470"/>
    <w:rsid w:val="00C3359A"/>
    <w:rsid w:val="00C33B79"/>
    <w:rsid w:val="00C33C6E"/>
    <w:rsid w:val="00C34E47"/>
    <w:rsid w:val="00C35001"/>
    <w:rsid w:val="00C3567F"/>
    <w:rsid w:val="00C359C8"/>
    <w:rsid w:val="00C36899"/>
    <w:rsid w:val="00C40756"/>
    <w:rsid w:val="00C421F5"/>
    <w:rsid w:val="00C42D82"/>
    <w:rsid w:val="00C4348D"/>
    <w:rsid w:val="00C43EA9"/>
    <w:rsid w:val="00C4472F"/>
    <w:rsid w:val="00C44CFF"/>
    <w:rsid w:val="00C45C6A"/>
    <w:rsid w:val="00C46D26"/>
    <w:rsid w:val="00C47C41"/>
    <w:rsid w:val="00C50B91"/>
    <w:rsid w:val="00C515FF"/>
    <w:rsid w:val="00C51AA4"/>
    <w:rsid w:val="00C53984"/>
    <w:rsid w:val="00C55A26"/>
    <w:rsid w:val="00C57EF1"/>
    <w:rsid w:val="00C6003B"/>
    <w:rsid w:val="00C60761"/>
    <w:rsid w:val="00C613BE"/>
    <w:rsid w:val="00C622F0"/>
    <w:rsid w:val="00C63B44"/>
    <w:rsid w:val="00C65E35"/>
    <w:rsid w:val="00C65EE3"/>
    <w:rsid w:val="00C668BD"/>
    <w:rsid w:val="00C66C97"/>
    <w:rsid w:val="00C7088F"/>
    <w:rsid w:val="00C725F5"/>
    <w:rsid w:val="00C731AA"/>
    <w:rsid w:val="00C74058"/>
    <w:rsid w:val="00C746BC"/>
    <w:rsid w:val="00C74FC6"/>
    <w:rsid w:val="00C7682D"/>
    <w:rsid w:val="00C76F02"/>
    <w:rsid w:val="00C770EA"/>
    <w:rsid w:val="00C80AAF"/>
    <w:rsid w:val="00C80B20"/>
    <w:rsid w:val="00C812FA"/>
    <w:rsid w:val="00C813B9"/>
    <w:rsid w:val="00C83321"/>
    <w:rsid w:val="00C846CE"/>
    <w:rsid w:val="00C8736A"/>
    <w:rsid w:val="00C877EF"/>
    <w:rsid w:val="00C87CE9"/>
    <w:rsid w:val="00C90B81"/>
    <w:rsid w:val="00C91626"/>
    <w:rsid w:val="00C91A47"/>
    <w:rsid w:val="00C93003"/>
    <w:rsid w:val="00C936C7"/>
    <w:rsid w:val="00C9375D"/>
    <w:rsid w:val="00C93BF9"/>
    <w:rsid w:val="00C94365"/>
    <w:rsid w:val="00C94929"/>
    <w:rsid w:val="00C94D41"/>
    <w:rsid w:val="00C94FB5"/>
    <w:rsid w:val="00C95419"/>
    <w:rsid w:val="00C961CE"/>
    <w:rsid w:val="00C962B6"/>
    <w:rsid w:val="00C97CBA"/>
    <w:rsid w:val="00CA2456"/>
    <w:rsid w:val="00CA326C"/>
    <w:rsid w:val="00CA3B1D"/>
    <w:rsid w:val="00CA3DE8"/>
    <w:rsid w:val="00CA44A5"/>
    <w:rsid w:val="00CA4E32"/>
    <w:rsid w:val="00CA5489"/>
    <w:rsid w:val="00CA6297"/>
    <w:rsid w:val="00CA6E93"/>
    <w:rsid w:val="00CA7087"/>
    <w:rsid w:val="00CB2EB1"/>
    <w:rsid w:val="00CB364F"/>
    <w:rsid w:val="00CB36D1"/>
    <w:rsid w:val="00CB4036"/>
    <w:rsid w:val="00CB4B5A"/>
    <w:rsid w:val="00CB7146"/>
    <w:rsid w:val="00CC1A18"/>
    <w:rsid w:val="00CC2A2D"/>
    <w:rsid w:val="00CC3756"/>
    <w:rsid w:val="00CC3829"/>
    <w:rsid w:val="00CC3DF2"/>
    <w:rsid w:val="00CC7CE6"/>
    <w:rsid w:val="00CD1279"/>
    <w:rsid w:val="00CD19F6"/>
    <w:rsid w:val="00CD1D42"/>
    <w:rsid w:val="00CD4897"/>
    <w:rsid w:val="00CD59D6"/>
    <w:rsid w:val="00CD6318"/>
    <w:rsid w:val="00CD6678"/>
    <w:rsid w:val="00CD66BB"/>
    <w:rsid w:val="00CD7A3B"/>
    <w:rsid w:val="00CE13EF"/>
    <w:rsid w:val="00CE1BD6"/>
    <w:rsid w:val="00CE1F12"/>
    <w:rsid w:val="00CE2F4E"/>
    <w:rsid w:val="00CE3267"/>
    <w:rsid w:val="00CE3285"/>
    <w:rsid w:val="00CE3778"/>
    <w:rsid w:val="00CE4BBD"/>
    <w:rsid w:val="00CE4D18"/>
    <w:rsid w:val="00CF066A"/>
    <w:rsid w:val="00CF13E9"/>
    <w:rsid w:val="00CF16D8"/>
    <w:rsid w:val="00CF2BCD"/>
    <w:rsid w:val="00CF3A87"/>
    <w:rsid w:val="00CF48DD"/>
    <w:rsid w:val="00CF4E08"/>
    <w:rsid w:val="00CF502E"/>
    <w:rsid w:val="00CF5B19"/>
    <w:rsid w:val="00CF6EF1"/>
    <w:rsid w:val="00CF72D5"/>
    <w:rsid w:val="00D0099D"/>
    <w:rsid w:val="00D00F3A"/>
    <w:rsid w:val="00D0265C"/>
    <w:rsid w:val="00D02B05"/>
    <w:rsid w:val="00D033D5"/>
    <w:rsid w:val="00D03F90"/>
    <w:rsid w:val="00D043A8"/>
    <w:rsid w:val="00D06AF8"/>
    <w:rsid w:val="00D06C93"/>
    <w:rsid w:val="00D071E5"/>
    <w:rsid w:val="00D10982"/>
    <w:rsid w:val="00D11338"/>
    <w:rsid w:val="00D128EB"/>
    <w:rsid w:val="00D13B47"/>
    <w:rsid w:val="00D170E4"/>
    <w:rsid w:val="00D2044A"/>
    <w:rsid w:val="00D21719"/>
    <w:rsid w:val="00D21D5F"/>
    <w:rsid w:val="00D22014"/>
    <w:rsid w:val="00D2279E"/>
    <w:rsid w:val="00D23292"/>
    <w:rsid w:val="00D23481"/>
    <w:rsid w:val="00D24159"/>
    <w:rsid w:val="00D246C0"/>
    <w:rsid w:val="00D2471D"/>
    <w:rsid w:val="00D26163"/>
    <w:rsid w:val="00D2718C"/>
    <w:rsid w:val="00D27DE1"/>
    <w:rsid w:val="00D3063C"/>
    <w:rsid w:val="00D31117"/>
    <w:rsid w:val="00D328B3"/>
    <w:rsid w:val="00D328E1"/>
    <w:rsid w:val="00D3296F"/>
    <w:rsid w:val="00D331D8"/>
    <w:rsid w:val="00D342F0"/>
    <w:rsid w:val="00D36CED"/>
    <w:rsid w:val="00D37A13"/>
    <w:rsid w:val="00D4024C"/>
    <w:rsid w:val="00D40510"/>
    <w:rsid w:val="00D4091A"/>
    <w:rsid w:val="00D40ACD"/>
    <w:rsid w:val="00D421B5"/>
    <w:rsid w:val="00D42FC6"/>
    <w:rsid w:val="00D43077"/>
    <w:rsid w:val="00D434C5"/>
    <w:rsid w:val="00D43553"/>
    <w:rsid w:val="00D43CE8"/>
    <w:rsid w:val="00D455E5"/>
    <w:rsid w:val="00D45D18"/>
    <w:rsid w:val="00D47391"/>
    <w:rsid w:val="00D505F8"/>
    <w:rsid w:val="00D50FA6"/>
    <w:rsid w:val="00D51752"/>
    <w:rsid w:val="00D5231F"/>
    <w:rsid w:val="00D542DB"/>
    <w:rsid w:val="00D5520B"/>
    <w:rsid w:val="00D56330"/>
    <w:rsid w:val="00D619AB"/>
    <w:rsid w:val="00D6240F"/>
    <w:rsid w:val="00D63256"/>
    <w:rsid w:val="00D63D90"/>
    <w:rsid w:val="00D647EB"/>
    <w:rsid w:val="00D66624"/>
    <w:rsid w:val="00D670D6"/>
    <w:rsid w:val="00D67EFD"/>
    <w:rsid w:val="00D70C9C"/>
    <w:rsid w:val="00D71F5E"/>
    <w:rsid w:val="00D72A63"/>
    <w:rsid w:val="00D741E0"/>
    <w:rsid w:val="00D75632"/>
    <w:rsid w:val="00D7584C"/>
    <w:rsid w:val="00D7587E"/>
    <w:rsid w:val="00D75CD8"/>
    <w:rsid w:val="00D7611A"/>
    <w:rsid w:val="00D7618D"/>
    <w:rsid w:val="00D769E2"/>
    <w:rsid w:val="00D7715D"/>
    <w:rsid w:val="00D83156"/>
    <w:rsid w:val="00D83D76"/>
    <w:rsid w:val="00D84906"/>
    <w:rsid w:val="00D8530A"/>
    <w:rsid w:val="00D85D78"/>
    <w:rsid w:val="00D86D79"/>
    <w:rsid w:val="00D876F4"/>
    <w:rsid w:val="00D90491"/>
    <w:rsid w:val="00D904D4"/>
    <w:rsid w:val="00D91545"/>
    <w:rsid w:val="00D91C0C"/>
    <w:rsid w:val="00D92935"/>
    <w:rsid w:val="00D92A64"/>
    <w:rsid w:val="00D9342D"/>
    <w:rsid w:val="00D94C59"/>
    <w:rsid w:val="00D961A0"/>
    <w:rsid w:val="00D9627A"/>
    <w:rsid w:val="00D97A75"/>
    <w:rsid w:val="00D97B0D"/>
    <w:rsid w:val="00DA026D"/>
    <w:rsid w:val="00DA1BCB"/>
    <w:rsid w:val="00DA2440"/>
    <w:rsid w:val="00DA3ED3"/>
    <w:rsid w:val="00DA5332"/>
    <w:rsid w:val="00DA5DE5"/>
    <w:rsid w:val="00DA5EC2"/>
    <w:rsid w:val="00DA63C6"/>
    <w:rsid w:val="00DA686F"/>
    <w:rsid w:val="00DA7355"/>
    <w:rsid w:val="00DA795E"/>
    <w:rsid w:val="00DB021F"/>
    <w:rsid w:val="00DB08F7"/>
    <w:rsid w:val="00DB23DF"/>
    <w:rsid w:val="00DB26EA"/>
    <w:rsid w:val="00DB26F0"/>
    <w:rsid w:val="00DB4705"/>
    <w:rsid w:val="00DB48A9"/>
    <w:rsid w:val="00DB4D8A"/>
    <w:rsid w:val="00DB54E2"/>
    <w:rsid w:val="00DB7C7D"/>
    <w:rsid w:val="00DC36DB"/>
    <w:rsid w:val="00DC4207"/>
    <w:rsid w:val="00DC51B4"/>
    <w:rsid w:val="00DC539D"/>
    <w:rsid w:val="00DC65F2"/>
    <w:rsid w:val="00DC7FB6"/>
    <w:rsid w:val="00DD289E"/>
    <w:rsid w:val="00DD2A87"/>
    <w:rsid w:val="00DD3439"/>
    <w:rsid w:val="00DE0F03"/>
    <w:rsid w:val="00DE12A3"/>
    <w:rsid w:val="00DE149C"/>
    <w:rsid w:val="00DE1B56"/>
    <w:rsid w:val="00DE1E71"/>
    <w:rsid w:val="00DE2001"/>
    <w:rsid w:val="00DE285E"/>
    <w:rsid w:val="00DE2ECD"/>
    <w:rsid w:val="00DE4418"/>
    <w:rsid w:val="00DE4E47"/>
    <w:rsid w:val="00DE5CED"/>
    <w:rsid w:val="00DE71B0"/>
    <w:rsid w:val="00DF04F5"/>
    <w:rsid w:val="00DF1854"/>
    <w:rsid w:val="00DF1D91"/>
    <w:rsid w:val="00DF3028"/>
    <w:rsid w:val="00DF355A"/>
    <w:rsid w:val="00DF46D8"/>
    <w:rsid w:val="00DF4BBB"/>
    <w:rsid w:val="00DF557E"/>
    <w:rsid w:val="00DF55A1"/>
    <w:rsid w:val="00DF5AA6"/>
    <w:rsid w:val="00DF61F7"/>
    <w:rsid w:val="00E0005E"/>
    <w:rsid w:val="00E04059"/>
    <w:rsid w:val="00E05ADD"/>
    <w:rsid w:val="00E06DA3"/>
    <w:rsid w:val="00E10B6D"/>
    <w:rsid w:val="00E10C3A"/>
    <w:rsid w:val="00E10D4D"/>
    <w:rsid w:val="00E11247"/>
    <w:rsid w:val="00E12365"/>
    <w:rsid w:val="00E12813"/>
    <w:rsid w:val="00E1340D"/>
    <w:rsid w:val="00E13446"/>
    <w:rsid w:val="00E13549"/>
    <w:rsid w:val="00E157D3"/>
    <w:rsid w:val="00E161D7"/>
    <w:rsid w:val="00E16FF4"/>
    <w:rsid w:val="00E2073D"/>
    <w:rsid w:val="00E20AD5"/>
    <w:rsid w:val="00E20D85"/>
    <w:rsid w:val="00E210A5"/>
    <w:rsid w:val="00E21925"/>
    <w:rsid w:val="00E22E22"/>
    <w:rsid w:val="00E230D5"/>
    <w:rsid w:val="00E239AE"/>
    <w:rsid w:val="00E24584"/>
    <w:rsid w:val="00E24ADA"/>
    <w:rsid w:val="00E2513B"/>
    <w:rsid w:val="00E258EA"/>
    <w:rsid w:val="00E279F4"/>
    <w:rsid w:val="00E27E26"/>
    <w:rsid w:val="00E30D10"/>
    <w:rsid w:val="00E349D1"/>
    <w:rsid w:val="00E360DF"/>
    <w:rsid w:val="00E36623"/>
    <w:rsid w:val="00E37340"/>
    <w:rsid w:val="00E37CCC"/>
    <w:rsid w:val="00E40E2D"/>
    <w:rsid w:val="00E44EC5"/>
    <w:rsid w:val="00E4521A"/>
    <w:rsid w:val="00E45CF5"/>
    <w:rsid w:val="00E46A20"/>
    <w:rsid w:val="00E47686"/>
    <w:rsid w:val="00E47982"/>
    <w:rsid w:val="00E504D5"/>
    <w:rsid w:val="00E50568"/>
    <w:rsid w:val="00E505F5"/>
    <w:rsid w:val="00E5274D"/>
    <w:rsid w:val="00E54780"/>
    <w:rsid w:val="00E55DBF"/>
    <w:rsid w:val="00E5602B"/>
    <w:rsid w:val="00E5619A"/>
    <w:rsid w:val="00E567D6"/>
    <w:rsid w:val="00E57398"/>
    <w:rsid w:val="00E61029"/>
    <w:rsid w:val="00E61AEE"/>
    <w:rsid w:val="00E61C1A"/>
    <w:rsid w:val="00E62DC3"/>
    <w:rsid w:val="00E64402"/>
    <w:rsid w:val="00E64CAD"/>
    <w:rsid w:val="00E65C2E"/>
    <w:rsid w:val="00E67BDA"/>
    <w:rsid w:val="00E71A05"/>
    <w:rsid w:val="00E750DC"/>
    <w:rsid w:val="00E7513D"/>
    <w:rsid w:val="00E75CBE"/>
    <w:rsid w:val="00E75CD4"/>
    <w:rsid w:val="00E76F4A"/>
    <w:rsid w:val="00E7717B"/>
    <w:rsid w:val="00E776CA"/>
    <w:rsid w:val="00E77C2D"/>
    <w:rsid w:val="00E80A02"/>
    <w:rsid w:val="00E810D8"/>
    <w:rsid w:val="00E8348B"/>
    <w:rsid w:val="00E837BA"/>
    <w:rsid w:val="00E85484"/>
    <w:rsid w:val="00E8573C"/>
    <w:rsid w:val="00E869D2"/>
    <w:rsid w:val="00E90163"/>
    <w:rsid w:val="00E93739"/>
    <w:rsid w:val="00E93804"/>
    <w:rsid w:val="00E95861"/>
    <w:rsid w:val="00E9774B"/>
    <w:rsid w:val="00E9796D"/>
    <w:rsid w:val="00EA0992"/>
    <w:rsid w:val="00EA4A47"/>
    <w:rsid w:val="00EA6BFD"/>
    <w:rsid w:val="00EB1917"/>
    <w:rsid w:val="00EB2906"/>
    <w:rsid w:val="00EB47E3"/>
    <w:rsid w:val="00EB495E"/>
    <w:rsid w:val="00EB4AB6"/>
    <w:rsid w:val="00EB6BE5"/>
    <w:rsid w:val="00EB6EBC"/>
    <w:rsid w:val="00EB7F84"/>
    <w:rsid w:val="00EC164C"/>
    <w:rsid w:val="00EC21D4"/>
    <w:rsid w:val="00EC24B5"/>
    <w:rsid w:val="00EC24D7"/>
    <w:rsid w:val="00EC2E80"/>
    <w:rsid w:val="00EC2ED7"/>
    <w:rsid w:val="00EC4617"/>
    <w:rsid w:val="00EC4739"/>
    <w:rsid w:val="00EC498D"/>
    <w:rsid w:val="00EC59AD"/>
    <w:rsid w:val="00EC5FA2"/>
    <w:rsid w:val="00EC66C0"/>
    <w:rsid w:val="00EC7A39"/>
    <w:rsid w:val="00EC7AD2"/>
    <w:rsid w:val="00EC7BB4"/>
    <w:rsid w:val="00ED1DEE"/>
    <w:rsid w:val="00ED1F2D"/>
    <w:rsid w:val="00ED25A6"/>
    <w:rsid w:val="00ED323F"/>
    <w:rsid w:val="00ED4D95"/>
    <w:rsid w:val="00ED5EEF"/>
    <w:rsid w:val="00ED6317"/>
    <w:rsid w:val="00ED7E6A"/>
    <w:rsid w:val="00EE2D90"/>
    <w:rsid w:val="00EE382F"/>
    <w:rsid w:val="00EE4B01"/>
    <w:rsid w:val="00EE4ED2"/>
    <w:rsid w:val="00EE5610"/>
    <w:rsid w:val="00EE644A"/>
    <w:rsid w:val="00EE6A1A"/>
    <w:rsid w:val="00EE75AD"/>
    <w:rsid w:val="00EE7E8C"/>
    <w:rsid w:val="00EF014A"/>
    <w:rsid w:val="00EF2859"/>
    <w:rsid w:val="00EF3359"/>
    <w:rsid w:val="00EF55E5"/>
    <w:rsid w:val="00EF779A"/>
    <w:rsid w:val="00F00EE3"/>
    <w:rsid w:val="00F0101B"/>
    <w:rsid w:val="00F01420"/>
    <w:rsid w:val="00F01A35"/>
    <w:rsid w:val="00F0322C"/>
    <w:rsid w:val="00F03893"/>
    <w:rsid w:val="00F04B2C"/>
    <w:rsid w:val="00F04C32"/>
    <w:rsid w:val="00F052B5"/>
    <w:rsid w:val="00F061BC"/>
    <w:rsid w:val="00F071B4"/>
    <w:rsid w:val="00F0767D"/>
    <w:rsid w:val="00F07C62"/>
    <w:rsid w:val="00F07E6F"/>
    <w:rsid w:val="00F10342"/>
    <w:rsid w:val="00F11B2F"/>
    <w:rsid w:val="00F11D05"/>
    <w:rsid w:val="00F1256E"/>
    <w:rsid w:val="00F12B06"/>
    <w:rsid w:val="00F13B84"/>
    <w:rsid w:val="00F13BCB"/>
    <w:rsid w:val="00F160EA"/>
    <w:rsid w:val="00F164B1"/>
    <w:rsid w:val="00F17795"/>
    <w:rsid w:val="00F179FA"/>
    <w:rsid w:val="00F20DF5"/>
    <w:rsid w:val="00F22A3F"/>
    <w:rsid w:val="00F22C40"/>
    <w:rsid w:val="00F22F6B"/>
    <w:rsid w:val="00F2377E"/>
    <w:rsid w:val="00F239DE"/>
    <w:rsid w:val="00F23EF2"/>
    <w:rsid w:val="00F2421F"/>
    <w:rsid w:val="00F242B4"/>
    <w:rsid w:val="00F24657"/>
    <w:rsid w:val="00F25033"/>
    <w:rsid w:val="00F25E9E"/>
    <w:rsid w:val="00F26B33"/>
    <w:rsid w:val="00F27646"/>
    <w:rsid w:val="00F30604"/>
    <w:rsid w:val="00F30B6C"/>
    <w:rsid w:val="00F318AF"/>
    <w:rsid w:val="00F32FF3"/>
    <w:rsid w:val="00F334E6"/>
    <w:rsid w:val="00F33595"/>
    <w:rsid w:val="00F3521A"/>
    <w:rsid w:val="00F352F3"/>
    <w:rsid w:val="00F37131"/>
    <w:rsid w:val="00F410EC"/>
    <w:rsid w:val="00F41E87"/>
    <w:rsid w:val="00F431CF"/>
    <w:rsid w:val="00F44B80"/>
    <w:rsid w:val="00F44B95"/>
    <w:rsid w:val="00F4530D"/>
    <w:rsid w:val="00F45980"/>
    <w:rsid w:val="00F479FB"/>
    <w:rsid w:val="00F47B8D"/>
    <w:rsid w:val="00F47D58"/>
    <w:rsid w:val="00F53FC1"/>
    <w:rsid w:val="00F56047"/>
    <w:rsid w:val="00F576F0"/>
    <w:rsid w:val="00F60378"/>
    <w:rsid w:val="00F609AF"/>
    <w:rsid w:val="00F61578"/>
    <w:rsid w:val="00F62A90"/>
    <w:rsid w:val="00F630BA"/>
    <w:rsid w:val="00F65489"/>
    <w:rsid w:val="00F67C28"/>
    <w:rsid w:val="00F70301"/>
    <w:rsid w:val="00F707A3"/>
    <w:rsid w:val="00F71C03"/>
    <w:rsid w:val="00F7289A"/>
    <w:rsid w:val="00F7303B"/>
    <w:rsid w:val="00F7304A"/>
    <w:rsid w:val="00F73F0B"/>
    <w:rsid w:val="00F73F2C"/>
    <w:rsid w:val="00F750D5"/>
    <w:rsid w:val="00F7513E"/>
    <w:rsid w:val="00F75D0B"/>
    <w:rsid w:val="00F75DA2"/>
    <w:rsid w:val="00F7747A"/>
    <w:rsid w:val="00F802B5"/>
    <w:rsid w:val="00F812D4"/>
    <w:rsid w:val="00F81DB4"/>
    <w:rsid w:val="00F82060"/>
    <w:rsid w:val="00F8250E"/>
    <w:rsid w:val="00F82DB0"/>
    <w:rsid w:val="00F830FC"/>
    <w:rsid w:val="00F83933"/>
    <w:rsid w:val="00F8427C"/>
    <w:rsid w:val="00F84903"/>
    <w:rsid w:val="00F8493F"/>
    <w:rsid w:val="00F863A6"/>
    <w:rsid w:val="00F87E49"/>
    <w:rsid w:val="00F90AB4"/>
    <w:rsid w:val="00F90E31"/>
    <w:rsid w:val="00F91444"/>
    <w:rsid w:val="00F91A7C"/>
    <w:rsid w:val="00F94091"/>
    <w:rsid w:val="00F949F4"/>
    <w:rsid w:val="00F94F71"/>
    <w:rsid w:val="00F9508C"/>
    <w:rsid w:val="00F972F2"/>
    <w:rsid w:val="00F975D8"/>
    <w:rsid w:val="00FA1E93"/>
    <w:rsid w:val="00FA2A76"/>
    <w:rsid w:val="00FA45CD"/>
    <w:rsid w:val="00FA48A5"/>
    <w:rsid w:val="00FA528D"/>
    <w:rsid w:val="00FA63DF"/>
    <w:rsid w:val="00FA64C5"/>
    <w:rsid w:val="00FA7376"/>
    <w:rsid w:val="00FA7E30"/>
    <w:rsid w:val="00FB0FE4"/>
    <w:rsid w:val="00FB1581"/>
    <w:rsid w:val="00FB1F1F"/>
    <w:rsid w:val="00FB20F5"/>
    <w:rsid w:val="00FB45F4"/>
    <w:rsid w:val="00FB524B"/>
    <w:rsid w:val="00FC05C5"/>
    <w:rsid w:val="00FC1BF6"/>
    <w:rsid w:val="00FC2019"/>
    <w:rsid w:val="00FC2A07"/>
    <w:rsid w:val="00FC3B5E"/>
    <w:rsid w:val="00FC46BC"/>
    <w:rsid w:val="00FC498E"/>
    <w:rsid w:val="00FC4F1B"/>
    <w:rsid w:val="00FC7764"/>
    <w:rsid w:val="00FD2BB6"/>
    <w:rsid w:val="00FD2E0D"/>
    <w:rsid w:val="00FD4005"/>
    <w:rsid w:val="00FD4C3A"/>
    <w:rsid w:val="00FD5E10"/>
    <w:rsid w:val="00FD6327"/>
    <w:rsid w:val="00FD67F0"/>
    <w:rsid w:val="00FD6F7E"/>
    <w:rsid w:val="00FE0B00"/>
    <w:rsid w:val="00FE17EB"/>
    <w:rsid w:val="00FE2A76"/>
    <w:rsid w:val="00FE4D62"/>
    <w:rsid w:val="00FE55CF"/>
    <w:rsid w:val="00FF13E2"/>
    <w:rsid w:val="00FF1F7A"/>
    <w:rsid w:val="00FF388C"/>
    <w:rsid w:val="00FF44A4"/>
    <w:rsid w:val="00FF4CA1"/>
    <w:rsid w:val="00FF6555"/>
    <w:rsid w:val="00FF7137"/>
    <w:rsid w:val="00FF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612FCA"/>
  <w15:chartTrackingRefBased/>
  <w15:docId w15:val="{FA05B23D-8C2E-485B-9436-3B9C44CAF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2"/>
    <w:link w:val="10"/>
    <w:uiPriority w:val="9"/>
    <w:qFormat/>
    <w:rsid w:val="00B35394"/>
    <w:pPr>
      <w:keepNext/>
      <w:keepLines/>
      <w:spacing w:beforeLines="50" w:before="50" w:afterLines="50" w:after="50" w:line="400" w:lineRule="exact"/>
      <w:jc w:val="center"/>
      <w:outlineLvl w:val="0"/>
    </w:pPr>
    <w:rPr>
      <w:rFonts w:ascii="Times New Roman" w:eastAsia="宋体" w:hAnsi="Times New Roman"/>
      <w:b/>
      <w:bCs/>
      <w:kern w:val="44"/>
      <w:sz w:val="32"/>
      <w:szCs w:val="44"/>
      <w14:ligatures w14:val="none"/>
    </w:rPr>
  </w:style>
  <w:style w:type="paragraph" w:styleId="2">
    <w:name w:val="heading 2"/>
    <w:basedOn w:val="a0"/>
    <w:next w:val="3"/>
    <w:link w:val="20"/>
    <w:uiPriority w:val="9"/>
    <w:unhideWhenUsed/>
    <w:qFormat/>
    <w:rsid w:val="00B35394"/>
    <w:pPr>
      <w:keepNext/>
      <w:keepLines/>
      <w:spacing w:beforeLines="50" w:before="50" w:afterLines="50" w:after="50" w:line="400" w:lineRule="exact"/>
      <w:jc w:val="left"/>
      <w:outlineLvl w:val="1"/>
    </w:pPr>
    <w:rPr>
      <w:rFonts w:ascii="Times New Roman" w:eastAsia="宋体" w:hAnsi="Times New Roman" w:cstheme="majorBidi"/>
      <w:b/>
      <w:sz w:val="24"/>
      <w:szCs w:val="32"/>
      <w14:ligatures w14:val="none"/>
    </w:rPr>
  </w:style>
  <w:style w:type="paragraph" w:styleId="3">
    <w:name w:val="heading 3"/>
    <w:next w:val="4"/>
    <w:link w:val="30"/>
    <w:uiPriority w:val="9"/>
    <w:unhideWhenUsed/>
    <w:qFormat/>
    <w:rsid w:val="00B35394"/>
    <w:pPr>
      <w:keepNext/>
      <w:keepLines/>
      <w:spacing w:beforeLines="50" w:before="50" w:afterLines="50" w:after="50" w:line="400" w:lineRule="exact"/>
      <w:outlineLvl w:val="2"/>
    </w:pPr>
    <w:rPr>
      <w:rFonts w:ascii="Times New Roman" w:eastAsia="宋体" w:hAnsi="Times New Roman"/>
      <w:b/>
      <w:bCs/>
      <w:sz w:val="24"/>
      <w:szCs w:val="32"/>
      <w14:ligatures w14:val="none"/>
    </w:rPr>
  </w:style>
  <w:style w:type="paragraph" w:styleId="4">
    <w:name w:val="heading 4"/>
    <w:basedOn w:val="a0"/>
    <w:next w:val="a"/>
    <w:link w:val="40"/>
    <w:uiPriority w:val="9"/>
    <w:unhideWhenUsed/>
    <w:qFormat/>
    <w:rsid w:val="00B35394"/>
    <w:pPr>
      <w:keepNext/>
      <w:keepLines/>
      <w:spacing w:beforeLines="50" w:before="50" w:afterLines="50" w:after="50" w:line="400" w:lineRule="exact"/>
      <w:outlineLvl w:val="3"/>
    </w:pPr>
    <w:rPr>
      <w:rFonts w:ascii="Times New Roman" w:eastAsia="宋体" w:hAnsi="Times New Roman" w:cstheme="majorBidi"/>
      <w:b/>
      <w:bCs/>
      <w:sz w:val="24"/>
      <w:szCs w:val="28"/>
      <w14:ligatures w14:val="none"/>
    </w:rPr>
  </w:style>
  <w:style w:type="paragraph" w:styleId="5">
    <w:name w:val="heading 5"/>
    <w:basedOn w:val="4"/>
    <w:next w:val="a"/>
    <w:link w:val="50"/>
    <w:uiPriority w:val="9"/>
    <w:unhideWhenUsed/>
    <w:qFormat/>
    <w:rsid w:val="00B35394"/>
    <w:pPr>
      <w:outlineLvl w:val="4"/>
    </w:pPr>
    <w:rPr>
      <w:b w:val="0"/>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B35394"/>
    <w:pPr>
      <w:tabs>
        <w:tab w:val="center" w:pos="4153"/>
        <w:tab w:val="right" w:pos="8306"/>
      </w:tabs>
      <w:snapToGrid w:val="0"/>
      <w:jc w:val="center"/>
    </w:pPr>
    <w:rPr>
      <w:sz w:val="18"/>
      <w:szCs w:val="18"/>
    </w:rPr>
  </w:style>
  <w:style w:type="character" w:customStyle="1" w:styleId="a5">
    <w:name w:val="页眉 字符"/>
    <w:basedOn w:val="a1"/>
    <w:link w:val="a4"/>
    <w:uiPriority w:val="99"/>
    <w:rsid w:val="00B35394"/>
    <w:rPr>
      <w:sz w:val="18"/>
      <w:szCs w:val="18"/>
    </w:rPr>
  </w:style>
  <w:style w:type="paragraph" w:styleId="a6">
    <w:name w:val="footer"/>
    <w:basedOn w:val="a"/>
    <w:link w:val="a7"/>
    <w:uiPriority w:val="99"/>
    <w:unhideWhenUsed/>
    <w:rsid w:val="00B35394"/>
    <w:pPr>
      <w:tabs>
        <w:tab w:val="center" w:pos="4153"/>
        <w:tab w:val="right" w:pos="8306"/>
      </w:tabs>
      <w:snapToGrid w:val="0"/>
      <w:jc w:val="left"/>
    </w:pPr>
    <w:rPr>
      <w:sz w:val="18"/>
      <w:szCs w:val="18"/>
    </w:rPr>
  </w:style>
  <w:style w:type="character" w:customStyle="1" w:styleId="a7">
    <w:name w:val="页脚 字符"/>
    <w:basedOn w:val="a1"/>
    <w:link w:val="a6"/>
    <w:uiPriority w:val="99"/>
    <w:rsid w:val="00B35394"/>
    <w:rPr>
      <w:sz w:val="18"/>
      <w:szCs w:val="18"/>
    </w:rPr>
  </w:style>
  <w:style w:type="character" w:customStyle="1" w:styleId="10">
    <w:name w:val="标题 1 字符"/>
    <w:basedOn w:val="a1"/>
    <w:link w:val="1"/>
    <w:uiPriority w:val="9"/>
    <w:rsid w:val="00B35394"/>
    <w:rPr>
      <w:rFonts w:ascii="Times New Roman" w:eastAsia="宋体" w:hAnsi="Times New Roman"/>
      <w:b/>
      <w:bCs/>
      <w:kern w:val="44"/>
      <w:sz w:val="32"/>
      <w:szCs w:val="44"/>
      <w14:ligatures w14:val="none"/>
    </w:rPr>
  </w:style>
  <w:style w:type="character" w:customStyle="1" w:styleId="20">
    <w:name w:val="标题 2 字符"/>
    <w:basedOn w:val="a1"/>
    <w:link w:val="2"/>
    <w:uiPriority w:val="9"/>
    <w:rsid w:val="00B35394"/>
    <w:rPr>
      <w:rFonts w:ascii="Times New Roman" w:eastAsia="宋体" w:hAnsi="Times New Roman" w:cstheme="majorBidi"/>
      <w:b/>
      <w:sz w:val="24"/>
      <w:szCs w:val="32"/>
      <w14:ligatures w14:val="none"/>
    </w:rPr>
  </w:style>
  <w:style w:type="character" w:customStyle="1" w:styleId="30">
    <w:name w:val="标题 3 字符"/>
    <w:basedOn w:val="a1"/>
    <w:link w:val="3"/>
    <w:uiPriority w:val="9"/>
    <w:rsid w:val="00B35394"/>
    <w:rPr>
      <w:rFonts w:ascii="Times New Roman" w:eastAsia="宋体" w:hAnsi="Times New Roman"/>
      <w:b/>
      <w:bCs/>
      <w:sz w:val="24"/>
      <w:szCs w:val="32"/>
      <w14:ligatures w14:val="none"/>
    </w:rPr>
  </w:style>
  <w:style w:type="character" w:customStyle="1" w:styleId="40">
    <w:name w:val="标题 4 字符"/>
    <w:basedOn w:val="a1"/>
    <w:link w:val="4"/>
    <w:uiPriority w:val="9"/>
    <w:rsid w:val="00B35394"/>
    <w:rPr>
      <w:rFonts w:ascii="Times New Roman" w:eastAsia="宋体" w:hAnsi="Times New Roman" w:cstheme="majorBidi"/>
      <w:b/>
      <w:bCs/>
      <w:sz w:val="24"/>
      <w:szCs w:val="28"/>
      <w14:ligatures w14:val="none"/>
    </w:rPr>
  </w:style>
  <w:style w:type="character" w:customStyle="1" w:styleId="50">
    <w:name w:val="标题 5 字符"/>
    <w:basedOn w:val="a1"/>
    <w:link w:val="5"/>
    <w:uiPriority w:val="9"/>
    <w:rsid w:val="00B35394"/>
    <w:rPr>
      <w:rFonts w:ascii="Times New Roman" w:eastAsia="宋体" w:hAnsi="Times New Roman" w:cstheme="majorBidi"/>
      <w:sz w:val="24"/>
      <w:szCs w:val="28"/>
      <w14:ligatures w14:val="none"/>
    </w:rPr>
  </w:style>
  <w:style w:type="paragraph" w:styleId="a0">
    <w:name w:val="No Spacing"/>
    <w:uiPriority w:val="1"/>
    <w:qFormat/>
    <w:rsid w:val="00B35394"/>
    <w:pPr>
      <w:widowControl w:val="0"/>
      <w:jc w:val="both"/>
    </w:pPr>
  </w:style>
  <w:style w:type="paragraph" w:styleId="a8">
    <w:name w:val="Normal (Web)"/>
    <w:basedOn w:val="a"/>
    <w:uiPriority w:val="99"/>
    <w:semiHidden/>
    <w:unhideWhenUsed/>
    <w:rsid w:val="00E05ADD"/>
    <w:pPr>
      <w:widowControl/>
      <w:spacing w:before="100" w:beforeAutospacing="1" w:after="100" w:afterAutospacing="1"/>
      <w:jc w:val="left"/>
    </w:pPr>
    <w:rPr>
      <w:rFonts w:ascii="宋体" w:eastAsia="宋体" w:hAnsi="宋体" w:cs="宋体"/>
      <w:kern w:val="0"/>
      <w:sz w:val="24"/>
      <w:szCs w:val="24"/>
      <w14:ligatures w14:val="none"/>
    </w:rPr>
  </w:style>
  <w:style w:type="paragraph" w:styleId="a9">
    <w:name w:val="endnote text"/>
    <w:basedOn w:val="a"/>
    <w:link w:val="aa"/>
    <w:uiPriority w:val="99"/>
    <w:unhideWhenUsed/>
    <w:rsid w:val="00683E3E"/>
    <w:pPr>
      <w:snapToGrid w:val="0"/>
      <w:jc w:val="left"/>
    </w:pPr>
  </w:style>
  <w:style w:type="character" w:customStyle="1" w:styleId="aa">
    <w:name w:val="尾注文本 字符"/>
    <w:basedOn w:val="a1"/>
    <w:link w:val="a9"/>
    <w:uiPriority w:val="99"/>
    <w:rsid w:val="00683E3E"/>
  </w:style>
  <w:style w:type="character" w:styleId="ab">
    <w:name w:val="endnote reference"/>
    <w:basedOn w:val="a1"/>
    <w:uiPriority w:val="99"/>
    <w:semiHidden/>
    <w:unhideWhenUsed/>
    <w:rsid w:val="00683E3E"/>
    <w:rPr>
      <w:vertAlign w:val="superscript"/>
    </w:rPr>
  </w:style>
  <w:style w:type="paragraph" w:styleId="ac">
    <w:name w:val="footnote text"/>
    <w:basedOn w:val="a"/>
    <w:link w:val="ad"/>
    <w:uiPriority w:val="99"/>
    <w:semiHidden/>
    <w:unhideWhenUsed/>
    <w:rsid w:val="00517851"/>
    <w:pPr>
      <w:snapToGrid w:val="0"/>
      <w:jc w:val="left"/>
    </w:pPr>
    <w:rPr>
      <w:sz w:val="18"/>
      <w:szCs w:val="18"/>
    </w:rPr>
  </w:style>
  <w:style w:type="character" w:customStyle="1" w:styleId="ad">
    <w:name w:val="脚注文本 字符"/>
    <w:basedOn w:val="a1"/>
    <w:link w:val="ac"/>
    <w:uiPriority w:val="99"/>
    <w:semiHidden/>
    <w:rsid w:val="00517851"/>
    <w:rPr>
      <w:sz w:val="18"/>
      <w:szCs w:val="18"/>
    </w:rPr>
  </w:style>
  <w:style w:type="character" w:styleId="ae">
    <w:name w:val="footnote reference"/>
    <w:basedOn w:val="a1"/>
    <w:uiPriority w:val="99"/>
    <w:semiHidden/>
    <w:unhideWhenUsed/>
    <w:rsid w:val="00517851"/>
    <w:rPr>
      <w:vertAlign w:val="superscript"/>
    </w:rPr>
  </w:style>
  <w:style w:type="character" w:styleId="af">
    <w:name w:val="Placeholder Text"/>
    <w:basedOn w:val="a1"/>
    <w:uiPriority w:val="99"/>
    <w:semiHidden/>
    <w:rsid w:val="00D542DB"/>
    <w:rPr>
      <w:color w:val="666666"/>
    </w:rPr>
  </w:style>
  <w:style w:type="character" w:customStyle="1" w:styleId="font01">
    <w:name w:val="font01"/>
    <w:basedOn w:val="a1"/>
    <w:rsid w:val="00B91081"/>
    <w:rPr>
      <w:rFonts w:ascii="宋体" w:eastAsia="宋体" w:hAnsi="宋体" w:hint="eastAsia"/>
      <w:b w:val="0"/>
      <w:bCs w:val="0"/>
      <w:i w:val="0"/>
      <w:iCs w:val="0"/>
      <w:strike w:val="0"/>
      <w:dstrike w:val="0"/>
      <w:color w:val="000000"/>
      <w:sz w:val="22"/>
      <w:szCs w:val="22"/>
      <w:u w:val="none"/>
      <w:effect w:val="none"/>
    </w:rPr>
  </w:style>
  <w:style w:type="character" w:customStyle="1" w:styleId="font11">
    <w:name w:val="font11"/>
    <w:basedOn w:val="a1"/>
    <w:rsid w:val="00B91081"/>
    <w:rPr>
      <w:rFonts w:ascii="Times New Roman" w:hAnsi="Times New Roman" w:cs="Times New Roman" w:hint="default"/>
      <w:b w:val="0"/>
      <w:bCs w:val="0"/>
      <w:i w:val="0"/>
      <w:iCs w:val="0"/>
      <w:strike w:val="0"/>
      <w:dstrike w:val="0"/>
      <w:color w:val="000000"/>
      <w:sz w:val="22"/>
      <w:szCs w:val="22"/>
      <w:u w:val="none"/>
      <w:effect w:val="none"/>
    </w:rPr>
  </w:style>
  <w:style w:type="paragraph" w:styleId="af0">
    <w:name w:val="Bibliography"/>
    <w:basedOn w:val="a"/>
    <w:next w:val="a"/>
    <w:uiPriority w:val="37"/>
    <w:unhideWhenUsed/>
    <w:rsid w:val="00621DF2"/>
    <w:pPr>
      <w:tabs>
        <w:tab w:val="left" w:pos="384"/>
      </w:tabs>
      <w:spacing w:line="480" w:lineRule="auto"/>
      <w:ind w:left="384" w:hanging="384"/>
    </w:pPr>
  </w:style>
  <w:style w:type="character" w:styleId="af1">
    <w:name w:val="Hyperlink"/>
    <w:basedOn w:val="a1"/>
    <w:uiPriority w:val="99"/>
    <w:unhideWhenUsed/>
    <w:rsid w:val="00D92935"/>
    <w:rPr>
      <w:color w:val="467886" w:themeColor="hyperlink"/>
      <w:u w:val="single"/>
    </w:rPr>
  </w:style>
  <w:style w:type="character" w:styleId="af2">
    <w:name w:val="Unresolved Mention"/>
    <w:basedOn w:val="a1"/>
    <w:uiPriority w:val="99"/>
    <w:semiHidden/>
    <w:unhideWhenUsed/>
    <w:rsid w:val="00D92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2179">
      <w:bodyDiv w:val="1"/>
      <w:marLeft w:val="0"/>
      <w:marRight w:val="0"/>
      <w:marTop w:val="0"/>
      <w:marBottom w:val="0"/>
      <w:divBdr>
        <w:top w:val="none" w:sz="0" w:space="0" w:color="auto"/>
        <w:left w:val="none" w:sz="0" w:space="0" w:color="auto"/>
        <w:bottom w:val="none" w:sz="0" w:space="0" w:color="auto"/>
        <w:right w:val="none" w:sz="0" w:space="0" w:color="auto"/>
      </w:divBdr>
    </w:div>
    <w:div w:id="233053454">
      <w:bodyDiv w:val="1"/>
      <w:marLeft w:val="0"/>
      <w:marRight w:val="0"/>
      <w:marTop w:val="0"/>
      <w:marBottom w:val="0"/>
      <w:divBdr>
        <w:top w:val="none" w:sz="0" w:space="0" w:color="auto"/>
        <w:left w:val="none" w:sz="0" w:space="0" w:color="auto"/>
        <w:bottom w:val="none" w:sz="0" w:space="0" w:color="auto"/>
        <w:right w:val="none" w:sz="0" w:space="0" w:color="auto"/>
      </w:divBdr>
    </w:div>
    <w:div w:id="233442800">
      <w:bodyDiv w:val="1"/>
      <w:marLeft w:val="0"/>
      <w:marRight w:val="0"/>
      <w:marTop w:val="0"/>
      <w:marBottom w:val="0"/>
      <w:divBdr>
        <w:top w:val="none" w:sz="0" w:space="0" w:color="auto"/>
        <w:left w:val="none" w:sz="0" w:space="0" w:color="auto"/>
        <w:bottom w:val="none" w:sz="0" w:space="0" w:color="auto"/>
        <w:right w:val="none" w:sz="0" w:space="0" w:color="auto"/>
      </w:divBdr>
    </w:div>
    <w:div w:id="257450234">
      <w:bodyDiv w:val="1"/>
      <w:marLeft w:val="0"/>
      <w:marRight w:val="0"/>
      <w:marTop w:val="0"/>
      <w:marBottom w:val="0"/>
      <w:divBdr>
        <w:top w:val="none" w:sz="0" w:space="0" w:color="auto"/>
        <w:left w:val="none" w:sz="0" w:space="0" w:color="auto"/>
        <w:bottom w:val="none" w:sz="0" w:space="0" w:color="auto"/>
        <w:right w:val="none" w:sz="0" w:space="0" w:color="auto"/>
      </w:divBdr>
    </w:div>
    <w:div w:id="280654972">
      <w:bodyDiv w:val="1"/>
      <w:marLeft w:val="0"/>
      <w:marRight w:val="0"/>
      <w:marTop w:val="0"/>
      <w:marBottom w:val="0"/>
      <w:divBdr>
        <w:top w:val="none" w:sz="0" w:space="0" w:color="auto"/>
        <w:left w:val="none" w:sz="0" w:space="0" w:color="auto"/>
        <w:bottom w:val="none" w:sz="0" w:space="0" w:color="auto"/>
        <w:right w:val="none" w:sz="0" w:space="0" w:color="auto"/>
      </w:divBdr>
    </w:div>
    <w:div w:id="301469215">
      <w:bodyDiv w:val="1"/>
      <w:marLeft w:val="0"/>
      <w:marRight w:val="0"/>
      <w:marTop w:val="0"/>
      <w:marBottom w:val="0"/>
      <w:divBdr>
        <w:top w:val="none" w:sz="0" w:space="0" w:color="auto"/>
        <w:left w:val="none" w:sz="0" w:space="0" w:color="auto"/>
        <w:bottom w:val="none" w:sz="0" w:space="0" w:color="auto"/>
        <w:right w:val="none" w:sz="0" w:space="0" w:color="auto"/>
      </w:divBdr>
    </w:div>
    <w:div w:id="310602808">
      <w:bodyDiv w:val="1"/>
      <w:marLeft w:val="0"/>
      <w:marRight w:val="0"/>
      <w:marTop w:val="0"/>
      <w:marBottom w:val="0"/>
      <w:divBdr>
        <w:top w:val="none" w:sz="0" w:space="0" w:color="auto"/>
        <w:left w:val="none" w:sz="0" w:space="0" w:color="auto"/>
        <w:bottom w:val="none" w:sz="0" w:space="0" w:color="auto"/>
        <w:right w:val="none" w:sz="0" w:space="0" w:color="auto"/>
      </w:divBdr>
    </w:div>
    <w:div w:id="343478824">
      <w:bodyDiv w:val="1"/>
      <w:marLeft w:val="0"/>
      <w:marRight w:val="0"/>
      <w:marTop w:val="0"/>
      <w:marBottom w:val="0"/>
      <w:divBdr>
        <w:top w:val="none" w:sz="0" w:space="0" w:color="auto"/>
        <w:left w:val="none" w:sz="0" w:space="0" w:color="auto"/>
        <w:bottom w:val="none" w:sz="0" w:space="0" w:color="auto"/>
        <w:right w:val="none" w:sz="0" w:space="0" w:color="auto"/>
      </w:divBdr>
    </w:div>
    <w:div w:id="370812543">
      <w:bodyDiv w:val="1"/>
      <w:marLeft w:val="0"/>
      <w:marRight w:val="0"/>
      <w:marTop w:val="0"/>
      <w:marBottom w:val="0"/>
      <w:divBdr>
        <w:top w:val="none" w:sz="0" w:space="0" w:color="auto"/>
        <w:left w:val="none" w:sz="0" w:space="0" w:color="auto"/>
        <w:bottom w:val="none" w:sz="0" w:space="0" w:color="auto"/>
        <w:right w:val="none" w:sz="0" w:space="0" w:color="auto"/>
      </w:divBdr>
      <w:divsChild>
        <w:div w:id="502354839">
          <w:marLeft w:val="0"/>
          <w:marRight w:val="0"/>
          <w:marTop w:val="0"/>
          <w:marBottom w:val="0"/>
          <w:divBdr>
            <w:top w:val="none" w:sz="0" w:space="0" w:color="auto"/>
            <w:left w:val="none" w:sz="0" w:space="0" w:color="auto"/>
            <w:bottom w:val="none" w:sz="0" w:space="0" w:color="auto"/>
            <w:right w:val="none" w:sz="0" w:space="0" w:color="auto"/>
          </w:divBdr>
        </w:div>
      </w:divsChild>
    </w:div>
    <w:div w:id="398334385">
      <w:bodyDiv w:val="1"/>
      <w:marLeft w:val="0"/>
      <w:marRight w:val="0"/>
      <w:marTop w:val="0"/>
      <w:marBottom w:val="0"/>
      <w:divBdr>
        <w:top w:val="none" w:sz="0" w:space="0" w:color="auto"/>
        <w:left w:val="none" w:sz="0" w:space="0" w:color="auto"/>
        <w:bottom w:val="none" w:sz="0" w:space="0" w:color="auto"/>
        <w:right w:val="none" w:sz="0" w:space="0" w:color="auto"/>
      </w:divBdr>
    </w:div>
    <w:div w:id="420874597">
      <w:bodyDiv w:val="1"/>
      <w:marLeft w:val="0"/>
      <w:marRight w:val="0"/>
      <w:marTop w:val="0"/>
      <w:marBottom w:val="0"/>
      <w:divBdr>
        <w:top w:val="none" w:sz="0" w:space="0" w:color="auto"/>
        <w:left w:val="none" w:sz="0" w:space="0" w:color="auto"/>
        <w:bottom w:val="none" w:sz="0" w:space="0" w:color="auto"/>
        <w:right w:val="none" w:sz="0" w:space="0" w:color="auto"/>
      </w:divBdr>
    </w:div>
    <w:div w:id="463424499">
      <w:bodyDiv w:val="1"/>
      <w:marLeft w:val="0"/>
      <w:marRight w:val="0"/>
      <w:marTop w:val="0"/>
      <w:marBottom w:val="0"/>
      <w:divBdr>
        <w:top w:val="none" w:sz="0" w:space="0" w:color="auto"/>
        <w:left w:val="none" w:sz="0" w:space="0" w:color="auto"/>
        <w:bottom w:val="none" w:sz="0" w:space="0" w:color="auto"/>
        <w:right w:val="none" w:sz="0" w:space="0" w:color="auto"/>
      </w:divBdr>
      <w:divsChild>
        <w:div w:id="572744692">
          <w:marLeft w:val="0"/>
          <w:marRight w:val="0"/>
          <w:marTop w:val="0"/>
          <w:marBottom w:val="0"/>
          <w:divBdr>
            <w:top w:val="none" w:sz="0" w:space="0" w:color="auto"/>
            <w:left w:val="none" w:sz="0" w:space="0" w:color="auto"/>
            <w:bottom w:val="none" w:sz="0" w:space="0" w:color="auto"/>
            <w:right w:val="none" w:sz="0" w:space="0" w:color="auto"/>
          </w:divBdr>
        </w:div>
      </w:divsChild>
    </w:div>
    <w:div w:id="623391463">
      <w:bodyDiv w:val="1"/>
      <w:marLeft w:val="0"/>
      <w:marRight w:val="0"/>
      <w:marTop w:val="0"/>
      <w:marBottom w:val="0"/>
      <w:divBdr>
        <w:top w:val="none" w:sz="0" w:space="0" w:color="auto"/>
        <w:left w:val="none" w:sz="0" w:space="0" w:color="auto"/>
        <w:bottom w:val="none" w:sz="0" w:space="0" w:color="auto"/>
        <w:right w:val="none" w:sz="0" w:space="0" w:color="auto"/>
      </w:divBdr>
    </w:div>
    <w:div w:id="643703174">
      <w:bodyDiv w:val="1"/>
      <w:marLeft w:val="0"/>
      <w:marRight w:val="0"/>
      <w:marTop w:val="0"/>
      <w:marBottom w:val="0"/>
      <w:divBdr>
        <w:top w:val="none" w:sz="0" w:space="0" w:color="auto"/>
        <w:left w:val="none" w:sz="0" w:space="0" w:color="auto"/>
        <w:bottom w:val="none" w:sz="0" w:space="0" w:color="auto"/>
        <w:right w:val="none" w:sz="0" w:space="0" w:color="auto"/>
      </w:divBdr>
    </w:div>
    <w:div w:id="660546828">
      <w:bodyDiv w:val="1"/>
      <w:marLeft w:val="0"/>
      <w:marRight w:val="0"/>
      <w:marTop w:val="0"/>
      <w:marBottom w:val="0"/>
      <w:divBdr>
        <w:top w:val="none" w:sz="0" w:space="0" w:color="auto"/>
        <w:left w:val="none" w:sz="0" w:space="0" w:color="auto"/>
        <w:bottom w:val="none" w:sz="0" w:space="0" w:color="auto"/>
        <w:right w:val="none" w:sz="0" w:space="0" w:color="auto"/>
      </w:divBdr>
    </w:div>
    <w:div w:id="663162387">
      <w:bodyDiv w:val="1"/>
      <w:marLeft w:val="0"/>
      <w:marRight w:val="0"/>
      <w:marTop w:val="0"/>
      <w:marBottom w:val="0"/>
      <w:divBdr>
        <w:top w:val="none" w:sz="0" w:space="0" w:color="auto"/>
        <w:left w:val="none" w:sz="0" w:space="0" w:color="auto"/>
        <w:bottom w:val="none" w:sz="0" w:space="0" w:color="auto"/>
        <w:right w:val="none" w:sz="0" w:space="0" w:color="auto"/>
      </w:divBdr>
    </w:div>
    <w:div w:id="690376721">
      <w:bodyDiv w:val="1"/>
      <w:marLeft w:val="0"/>
      <w:marRight w:val="0"/>
      <w:marTop w:val="0"/>
      <w:marBottom w:val="0"/>
      <w:divBdr>
        <w:top w:val="none" w:sz="0" w:space="0" w:color="auto"/>
        <w:left w:val="none" w:sz="0" w:space="0" w:color="auto"/>
        <w:bottom w:val="none" w:sz="0" w:space="0" w:color="auto"/>
        <w:right w:val="none" w:sz="0" w:space="0" w:color="auto"/>
      </w:divBdr>
    </w:div>
    <w:div w:id="696124375">
      <w:bodyDiv w:val="1"/>
      <w:marLeft w:val="0"/>
      <w:marRight w:val="0"/>
      <w:marTop w:val="0"/>
      <w:marBottom w:val="0"/>
      <w:divBdr>
        <w:top w:val="none" w:sz="0" w:space="0" w:color="auto"/>
        <w:left w:val="none" w:sz="0" w:space="0" w:color="auto"/>
        <w:bottom w:val="none" w:sz="0" w:space="0" w:color="auto"/>
        <w:right w:val="none" w:sz="0" w:space="0" w:color="auto"/>
      </w:divBdr>
    </w:div>
    <w:div w:id="742486055">
      <w:bodyDiv w:val="1"/>
      <w:marLeft w:val="0"/>
      <w:marRight w:val="0"/>
      <w:marTop w:val="0"/>
      <w:marBottom w:val="0"/>
      <w:divBdr>
        <w:top w:val="none" w:sz="0" w:space="0" w:color="auto"/>
        <w:left w:val="none" w:sz="0" w:space="0" w:color="auto"/>
        <w:bottom w:val="none" w:sz="0" w:space="0" w:color="auto"/>
        <w:right w:val="none" w:sz="0" w:space="0" w:color="auto"/>
      </w:divBdr>
    </w:div>
    <w:div w:id="775829856">
      <w:bodyDiv w:val="1"/>
      <w:marLeft w:val="0"/>
      <w:marRight w:val="0"/>
      <w:marTop w:val="0"/>
      <w:marBottom w:val="0"/>
      <w:divBdr>
        <w:top w:val="none" w:sz="0" w:space="0" w:color="auto"/>
        <w:left w:val="none" w:sz="0" w:space="0" w:color="auto"/>
        <w:bottom w:val="none" w:sz="0" w:space="0" w:color="auto"/>
        <w:right w:val="none" w:sz="0" w:space="0" w:color="auto"/>
      </w:divBdr>
    </w:div>
    <w:div w:id="779837069">
      <w:bodyDiv w:val="1"/>
      <w:marLeft w:val="0"/>
      <w:marRight w:val="0"/>
      <w:marTop w:val="0"/>
      <w:marBottom w:val="0"/>
      <w:divBdr>
        <w:top w:val="none" w:sz="0" w:space="0" w:color="auto"/>
        <w:left w:val="none" w:sz="0" w:space="0" w:color="auto"/>
        <w:bottom w:val="none" w:sz="0" w:space="0" w:color="auto"/>
        <w:right w:val="none" w:sz="0" w:space="0" w:color="auto"/>
      </w:divBdr>
    </w:div>
    <w:div w:id="784346623">
      <w:bodyDiv w:val="1"/>
      <w:marLeft w:val="0"/>
      <w:marRight w:val="0"/>
      <w:marTop w:val="0"/>
      <w:marBottom w:val="0"/>
      <w:divBdr>
        <w:top w:val="none" w:sz="0" w:space="0" w:color="auto"/>
        <w:left w:val="none" w:sz="0" w:space="0" w:color="auto"/>
        <w:bottom w:val="none" w:sz="0" w:space="0" w:color="auto"/>
        <w:right w:val="none" w:sz="0" w:space="0" w:color="auto"/>
      </w:divBdr>
    </w:div>
    <w:div w:id="786509325">
      <w:bodyDiv w:val="1"/>
      <w:marLeft w:val="0"/>
      <w:marRight w:val="0"/>
      <w:marTop w:val="0"/>
      <w:marBottom w:val="0"/>
      <w:divBdr>
        <w:top w:val="none" w:sz="0" w:space="0" w:color="auto"/>
        <w:left w:val="none" w:sz="0" w:space="0" w:color="auto"/>
        <w:bottom w:val="none" w:sz="0" w:space="0" w:color="auto"/>
        <w:right w:val="none" w:sz="0" w:space="0" w:color="auto"/>
      </w:divBdr>
    </w:div>
    <w:div w:id="890266227">
      <w:bodyDiv w:val="1"/>
      <w:marLeft w:val="0"/>
      <w:marRight w:val="0"/>
      <w:marTop w:val="0"/>
      <w:marBottom w:val="0"/>
      <w:divBdr>
        <w:top w:val="none" w:sz="0" w:space="0" w:color="auto"/>
        <w:left w:val="none" w:sz="0" w:space="0" w:color="auto"/>
        <w:bottom w:val="none" w:sz="0" w:space="0" w:color="auto"/>
        <w:right w:val="none" w:sz="0" w:space="0" w:color="auto"/>
      </w:divBdr>
    </w:div>
    <w:div w:id="925193240">
      <w:bodyDiv w:val="1"/>
      <w:marLeft w:val="0"/>
      <w:marRight w:val="0"/>
      <w:marTop w:val="0"/>
      <w:marBottom w:val="0"/>
      <w:divBdr>
        <w:top w:val="none" w:sz="0" w:space="0" w:color="auto"/>
        <w:left w:val="none" w:sz="0" w:space="0" w:color="auto"/>
        <w:bottom w:val="none" w:sz="0" w:space="0" w:color="auto"/>
        <w:right w:val="none" w:sz="0" w:space="0" w:color="auto"/>
      </w:divBdr>
    </w:div>
    <w:div w:id="1029113081">
      <w:bodyDiv w:val="1"/>
      <w:marLeft w:val="0"/>
      <w:marRight w:val="0"/>
      <w:marTop w:val="0"/>
      <w:marBottom w:val="0"/>
      <w:divBdr>
        <w:top w:val="none" w:sz="0" w:space="0" w:color="auto"/>
        <w:left w:val="none" w:sz="0" w:space="0" w:color="auto"/>
        <w:bottom w:val="none" w:sz="0" w:space="0" w:color="auto"/>
        <w:right w:val="none" w:sz="0" w:space="0" w:color="auto"/>
      </w:divBdr>
    </w:div>
    <w:div w:id="1049766521">
      <w:bodyDiv w:val="1"/>
      <w:marLeft w:val="0"/>
      <w:marRight w:val="0"/>
      <w:marTop w:val="0"/>
      <w:marBottom w:val="0"/>
      <w:divBdr>
        <w:top w:val="none" w:sz="0" w:space="0" w:color="auto"/>
        <w:left w:val="none" w:sz="0" w:space="0" w:color="auto"/>
        <w:bottom w:val="none" w:sz="0" w:space="0" w:color="auto"/>
        <w:right w:val="none" w:sz="0" w:space="0" w:color="auto"/>
      </w:divBdr>
    </w:div>
    <w:div w:id="1060641041">
      <w:bodyDiv w:val="1"/>
      <w:marLeft w:val="0"/>
      <w:marRight w:val="0"/>
      <w:marTop w:val="0"/>
      <w:marBottom w:val="0"/>
      <w:divBdr>
        <w:top w:val="none" w:sz="0" w:space="0" w:color="auto"/>
        <w:left w:val="none" w:sz="0" w:space="0" w:color="auto"/>
        <w:bottom w:val="none" w:sz="0" w:space="0" w:color="auto"/>
        <w:right w:val="none" w:sz="0" w:space="0" w:color="auto"/>
      </w:divBdr>
    </w:div>
    <w:div w:id="1091311829">
      <w:bodyDiv w:val="1"/>
      <w:marLeft w:val="0"/>
      <w:marRight w:val="0"/>
      <w:marTop w:val="0"/>
      <w:marBottom w:val="0"/>
      <w:divBdr>
        <w:top w:val="none" w:sz="0" w:space="0" w:color="auto"/>
        <w:left w:val="none" w:sz="0" w:space="0" w:color="auto"/>
        <w:bottom w:val="none" w:sz="0" w:space="0" w:color="auto"/>
        <w:right w:val="none" w:sz="0" w:space="0" w:color="auto"/>
      </w:divBdr>
      <w:divsChild>
        <w:div w:id="102922586">
          <w:marLeft w:val="0"/>
          <w:marRight w:val="0"/>
          <w:marTop w:val="0"/>
          <w:marBottom w:val="0"/>
          <w:divBdr>
            <w:top w:val="none" w:sz="0" w:space="0" w:color="auto"/>
            <w:left w:val="none" w:sz="0" w:space="0" w:color="auto"/>
            <w:bottom w:val="none" w:sz="0" w:space="0" w:color="auto"/>
            <w:right w:val="none" w:sz="0" w:space="0" w:color="auto"/>
          </w:divBdr>
        </w:div>
      </w:divsChild>
    </w:div>
    <w:div w:id="1122191871">
      <w:bodyDiv w:val="1"/>
      <w:marLeft w:val="0"/>
      <w:marRight w:val="0"/>
      <w:marTop w:val="0"/>
      <w:marBottom w:val="0"/>
      <w:divBdr>
        <w:top w:val="none" w:sz="0" w:space="0" w:color="auto"/>
        <w:left w:val="none" w:sz="0" w:space="0" w:color="auto"/>
        <w:bottom w:val="none" w:sz="0" w:space="0" w:color="auto"/>
        <w:right w:val="none" w:sz="0" w:space="0" w:color="auto"/>
      </w:divBdr>
    </w:div>
    <w:div w:id="1157265462">
      <w:bodyDiv w:val="1"/>
      <w:marLeft w:val="0"/>
      <w:marRight w:val="0"/>
      <w:marTop w:val="0"/>
      <w:marBottom w:val="0"/>
      <w:divBdr>
        <w:top w:val="none" w:sz="0" w:space="0" w:color="auto"/>
        <w:left w:val="none" w:sz="0" w:space="0" w:color="auto"/>
        <w:bottom w:val="none" w:sz="0" w:space="0" w:color="auto"/>
        <w:right w:val="none" w:sz="0" w:space="0" w:color="auto"/>
      </w:divBdr>
    </w:div>
    <w:div w:id="1251693344">
      <w:bodyDiv w:val="1"/>
      <w:marLeft w:val="0"/>
      <w:marRight w:val="0"/>
      <w:marTop w:val="0"/>
      <w:marBottom w:val="0"/>
      <w:divBdr>
        <w:top w:val="none" w:sz="0" w:space="0" w:color="auto"/>
        <w:left w:val="none" w:sz="0" w:space="0" w:color="auto"/>
        <w:bottom w:val="none" w:sz="0" w:space="0" w:color="auto"/>
        <w:right w:val="none" w:sz="0" w:space="0" w:color="auto"/>
      </w:divBdr>
      <w:divsChild>
        <w:div w:id="1079520794">
          <w:marLeft w:val="0"/>
          <w:marRight w:val="0"/>
          <w:marTop w:val="0"/>
          <w:marBottom w:val="0"/>
          <w:divBdr>
            <w:top w:val="none" w:sz="0" w:space="0" w:color="auto"/>
            <w:left w:val="none" w:sz="0" w:space="0" w:color="auto"/>
            <w:bottom w:val="none" w:sz="0" w:space="0" w:color="auto"/>
            <w:right w:val="none" w:sz="0" w:space="0" w:color="auto"/>
          </w:divBdr>
        </w:div>
      </w:divsChild>
    </w:div>
    <w:div w:id="1258098226">
      <w:bodyDiv w:val="1"/>
      <w:marLeft w:val="0"/>
      <w:marRight w:val="0"/>
      <w:marTop w:val="0"/>
      <w:marBottom w:val="0"/>
      <w:divBdr>
        <w:top w:val="none" w:sz="0" w:space="0" w:color="auto"/>
        <w:left w:val="none" w:sz="0" w:space="0" w:color="auto"/>
        <w:bottom w:val="none" w:sz="0" w:space="0" w:color="auto"/>
        <w:right w:val="none" w:sz="0" w:space="0" w:color="auto"/>
      </w:divBdr>
    </w:div>
    <w:div w:id="1265961343">
      <w:bodyDiv w:val="1"/>
      <w:marLeft w:val="0"/>
      <w:marRight w:val="0"/>
      <w:marTop w:val="0"/>
      <w:marBottom w:val="0"/>
      <w:divBdr>
        <w:top w:val="none" w:sz="0" w:space="0" w:color="auto"/>
        <w:left w:val="none" w:sz="0" w:space="0" w:color="auto"/>
        <w:bottom w:val="none" w:sz="0" w:space="0" w:color="auto"/>
        <w:right w:val="none" w:sz="0" w:space="0" w:color="auto"/>
      </w:divBdr>
    </w:div>
    <w:div w:id="1341079468">
      <w:bodyDiv w:val="1"/>
      <w:marLeft w:val="0"/>
      <w:marRight w:val="0"/>
      <w:marTop w:val="0"/>
      <w:marBottom w:val="0"/>
      <w:divBdr>
        <w:top w:val="none" w:sz="0" w:space="0" w:color="auto"/>
        <w:left w:val="none" w:sz="0" w:space="0" w:color="auto"/>
        <w:bottom w:val="none" w:sz="0" w:space="0" w:color="auto"/>
        <w:right w:val="none" w:sz="0" w:space="0" w:color="auto"/>
      </w:divBdr>
    </w:div>
    <w:div w:id="1346710996">
      <w:bodyDiv w:val="1"/>
      <w:marLeft w:val="0"/>
      <w:marRight w:val="0"/>
      <w:marTop w:val="0"/>
      <w:marBottom w:val="0"/>
      <w:divBdr>
        <w:top w:val="none" w:sz="0" w:space="0" w:color="auto"/>
        <w:left w:val="none" w:sz="0" w:space="0" w:color="auto"/>
        <w:bottom w:val="none" w:sz="0" w:space="0" w:color="auto"/>
        <w:right w:val="none" w:sz="0" w:space="0" w:color="auto"/>
      </w:divBdr>
    </w:div>
    <w:div w:id="1353258697">
      <w:bodyDiv w:val="1"/>
      <w:marLeft w:val="0"/>
      <w:marRight w:val="0"/>
      <w:marTop w:val="0"/>
      <w:marBottom w:val="0"/>
      <w:divBdr>
        <w:top w:val="none" w:sz="0" w:space="0" w:color="auto"/>
        <w:left w:val="none" w:sz="0" w:space="0" w:color="auto"/>
        <w:bottom w:val="none" w:sz="0" w:space="0" w:color="auto"/>
        <w:right w:val="none" w:sz="0" w:space="0" w:color="auto"/>
      </w:divBdr>
    </w:div>
    <w:div w:id="1369645957">
      <w:bodyDiv w:val="1"/>
      <w:marLeft w:val="0"/>
      <w:marRight w:val="0"/>
      <w:marTop w:val="0"/>
      <w:marBottom w:val="0"/>
      <w:divBdr>
        <w:top w:val="none" w:sz="0" w:space="0" w:color="auto"/>
        <w:left w:val="none" w:sz="0" w:space="0" w:color="auto"/>
        <w:bottom w:val="none" w:sz="0" w:space="0" w:color="auto"/>
        <w:right w:val="none" w:sz="0" w:space="0" w:color="auto"/>
      </w:divBdr>
      <w:divsChild>
        <w:div w:id="1753773602">
          <w:marLeft w:val="0"/>
          <w:marRight w:val="0"/>
          <w:marTop w:val="0"/>
          <w:marBottom w:val="0"/>
          <w:divBdr>
            <w:top w:val="none" w:sz="0" w:space="0" w:color="auto"/>
            <w:left w:val="none" w:sz="0" w:space="0" w:color="auto"/>
            <w:bottom w:val="none" w:sz="0" w:space="0" w:color="auto"/>
            <w:right w:val="none" w:sz="0" w:space="0" w:color="auto"/>
          </w:divBdr>
        </w:div>
      </w:divsChild>
    </w:div>
    <w:div w:id="1478644463">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sChild>
        <w:div w:id="2139519822">
          <w:marLeft w:val="0"/>
          <w:marRight w:val="0"/>
          <w:marTop w:val="0"/>
          <w:marBottom w:val="0"/>
          <w:divBdr>
            <w:top w:val="none" w:sz="0" w:space="0" w:color="auto"/>
            <w:left w:val="none" w:sz="0" w:space="0" w:color="auto"/>
            <w:bottom w:val="none" w:sz="0" w:space="0" w:color="auto"/>
            <w:right w:val="none" w:sz="0" w:space="0" w:color="auto"/>
          </w:divBdr>
        </w:div>
      </w:divsChild>
    </w:div>
    <w:div w:id="1507554547">
      <w:bodyDiv w:val="1"/>
      <w:marLeft w:val="0"/>
      <w:marRight w:val="0"/>
      <w:marTop w:val="0"/>
      <w:marBottom w:val="0"/>
      <w:divBdr>
        <w:top w:val="none" w:sz="0" w:space="0" w:color="auto"/>
        <w:left w:val="none" w:sz="0" w:space="0" w:color="auto"/>
        <w:bottom w:val="none" w:sz="0" w:space="0" w:color="auto"/>
        <w:right w:val="none" w:sz="0" w:space="0" w:color="auto"/>
      </w:divBdr>
    </w:div>
    <w:div w:id="1553804412">
      <w:bodyDiv w:val="1"/>
      <w:marLeft w:val="0"/>
      <w:marRight w:val="0"/>
      <w:marTop w:val="0"/>
      <w:marBottom w:val="0"/>
      <w:divBdr>
        <w:top w:val="none" w:sz="0" w:space="0" w:color="auto"/>
        <w:left w:val="none" w:sz="0" w:space="0" w:color="auto"/>
        <w:bottom w:val="none" w:sz="0" w:space="0" w:color="auto"/>
        <w:right w:val="none" w:sz="0" w:space="0" w:color="auto"/>
      </w:divBdr>
    </w:div>
    <w:div w:id="1561286364">
      <w:bodyDiv w:val="1"/>
      <w:marLeft w:val="0"/>
      <w:marRight w:val="0"/>
      <w:marTop w:val="0"/>
      <w:marBottom w:val="0"/>
      <w:divBdr>
        <w:top w:val="none" w:sz="0" w:space="0" w:color="auto"/>
        <w:left w:val="none" w:sz="0" w:space="0" w:color="auto"/>
        <w:bottom w:val="none" w:sz="0" w:space="0" w:color="auto"/>
        <w:right w:val="none" w:sz="0" w:space="0" w:color="auto"/>
      </w:divBdr>
    </w:div>
    <w:div w:id="1577203431">
      <w:bodyDiv w:val="1"/>
      <w:marLeft w:val="0"/>
      <w:marRight w:val="0"/>
      <w:marTop w:val="0"/>
      <w:marBottom w:val="0"/>
      <w:divBdr>
        <w:top w:val="none" w:sz="0" w:space="0" w:color="auto"/>
        <w:left w:val="none" w:sz="0" w:space="0" w:color="auto"/>
        <w:bottom w:val="none" w:sz="0" w:space="0" w:color="auto"/>
        <w:right w:val="none" w:sz="0" w:space="0" w:color="auto"/>
      </w:divBdr>
    </w:div>
    <w:div w:id="1613709133">
      <w:bodyDiv w:val="1"/>
      <w:marLeft w:val="0"/>
      <w:marRight w:val="0"/>
      <w:marTop w:val="0"/>
      <w:marBottom w:val="0"/>
      <w:divBdr>
        <w:top w:val="none" w:sz="0" w:space="0" w:color="auto"/>
        <w:left w:val="none" w:sz="0" w:space="0" w:color="auto"/>
        <w:bottom w:val="none" w:sz="0" w:space="0" w:color="auto"/>
        <w:right w:val="none" w:sz="0" w:space="0" w:color="auto"/>
      </w:divBdr>
    </w:div>
    <w:div w:id="1632132000">
      <w:bodyDiv w:val="1"/>
      <w:marLeft w:val="0"/>
      <w:marRight w:val="0"/>
      <w:marTop w:val="0"/>
      <w:marBottom w:val="0"/>
      <w:divBdr>
        <w:top w:val="none" w:sz="0" w:space="0" w:color="auto"/>
        <w:left w:val="none" w:sz="0" w:space="0" w:color="auto"/>
        <w:bottom w:val="none" w:sz="0" w:space="0" w:color="auto"/>
        <w:right w:val="none" w:sz="0" w:space="0" w:color="auto"/>
      </w:divBdr>
    </w:div>
    <w:div w:id="1656959313">
      <w:bodyDiv w:val="1"/>
      <w:marLeft w:val="0"/>
      <w:marRight w:val="0"/>
      <w:marTop w:val="0"/>
      <w:marBottom w:val="0"/>
      <w:divBdr>
        <w:top w:val="none" w:sz="0" w:space="0" w:color="auto"/>
        <w:left w:val="none" w:sz="0" w:space="0" w:color="auto"/>
        <w:bottom w:val="none" w:sz="0" w:space="0" w:color="auto"/>
        <w:right w:val="none" w:sz="0" w:space="0" w:color="auto"/>
      </w:divBdr>
    </w:div>
    <w:div w:id="1685546204">
      <w:bodyDiv w:val="1"/>
      <w:marLeft w:val="0"/>
      <w:marRight w:val="0"/>
      <w:marTop w:val="0"/>
      <w:marBottom w:val="0"/>
      <w:divBdr>
        <w:top w:val="none" w:sz="0" w:space="0" w:color="auto"/>
        <w:left w:val="none" w:sz="0" w:space="0" w:color="auto"/>
        <w:bottom w:val="none" w:sz="0" w:space="0" w:color="auto"/>
        <w:right w:val="none" w:sz="0" w:space="0" w:color="auto"/>
      </w:divBdr>
    </w:div>
    <w:div w:id="1734622397">
      <w:bodyDiv w:val="1"/>
      <w:marLeft w:val="0"/>
      <w:marRight w:val="0"/>
      <w:marTop w:val="0"/>
      <w:marBottom w:val="0"/>
      <w:divBdr>
        <w:top w:val="none" w:sz="0" w:space="0" w:color="auto"/>
        <w:left w:val="none" w:sz="0" w:space="0" w:color="auto"/>
        <w:bottom w:val="none" w:sz="0" w:space="0" w:color="auto"/>
        <w:right w:val="none" w:sz="0" w:space="0" w:color="auto"/>
      </w:divBdr>
    </w:div>
    <w:div w:id="1761028140">
      <w:bodyDiv w:val="1"/>
      <w:marLeft w:val="0"/>
      <w:marRight w:val="0"/>
      <w:marTop w:val="0"/>
      <w:marBottom w:val="0"/>
      <w:divBdr>
        <w:top w:val="none" w:sz="0" w:space="0" w:color="auto"/>
        <w:left w:val="none" w:sz="0" w:space="0" w:color="auto"/>
        <w:bottom w:val="none" w:sz="0" w:space="0" w:color="auto"/>
        <w:right w:val="none" w:sz="0" w:space="0" w:color="auto"/>
      </w:divBdr>
    </w:div>
    <w:div w:id="1787772636">
      <w:bodyDiv w:val="1"/>
      <w:marLeft w:val="0"/>
      <w:marRight w:val="0"/>
      <w:marTop w:val="0"/>
      <w:marBottom w:val="0"/>
      <w:divBdr>
        <w:top w:val="none" w:sz="0" w:space="0" w:color="auto"/>
        <w:left w:val="none" w:sz="0" w:space="0" w:color="auto"/>
        <w:bottom w:val="none" w:sz="0" w:space="0" w:color="auto"/>
        <w:right w:val="none" w:sz="0" w:space="0" w:color="auto"/>
      </w:divBdr>
    </w:div>
    <w:div w:id="1804349204">
      <w:bodyDiv w:val="1"/>
      <w:marLeft w:val="0"/>
      <w:marRight w:val="0"/>
      <w:marTop w:val="0"/>
      <w:marBottom w:val="0"/>
      <w:divBdr>
        <w:top w:val="none" w:sz="0" w:space="0" w:color="auto"/>
        <w:left w:val="none" w:sz="0" w:space="0" w:color="auto"/>
        <w:bottom w:val="none" w:sz="0" w:space="0" w:color="auto"/>
        <w:right w:val="none" w:sz="0" w:space="0" w:color="auto"/>
      </w:divBdr>
    </w:div>
    <w:div w:id="1869485143">
      <w:bodyDiv w:val="1"/>
      <w:marLeft w:val="0"/>
      <w:marRight w:val="0"/>
      <w:marTop w:val="0"/>
      <w:marBottom w:val="0"/>
      <w:divBdr>
        <w:top w:val="none" w:sz="0" w:space="0" w:color="auto"/>
        <w:left w:val="none" w:sz="0" w:space="0" w:color="auto"/>
        <w:bottom w:val="none" w:sz="0" w:space="0" w:color="auto"/>
        <w:right w:val="none" w:sz="0" w:space="0" w:color="auto"/>
      </w:divBdr>
    </w:div>
    <w:div w:id="1943609414">
      <w:bodyDiv w:val="1"/>
      <w:marLeft w:val="0"/>
      <w:marRight w:val="0"/>
      <w:marTop w:val="0"/>
      <w:marBottom w:val="0"/>
      <w:divBdr>
        <w:top w:val="none" w:sz="0" w:space="0" w:color="auto"/>
        <w:left w:val="none" w:sz="0" w:space="0" w:color="auto"/>
        <w:bottom w:val="none" w:sz="0" w:space="0" w:color="auto"/>
        <w:right w:val="none" w:sz="0" w:space="0" w:color="auto"/>
      </w:divBdr>
    </w:div>
    <w:div w:id="2020964667">
      <w:bodyDiv w:val="1"/>
      <w:marLeft w:val="0"/>
      <w:marRight w:val="0"/>
      <w:marTop w:val="0"/>
      <w:marBottom w:val="0"/>
      <w:divBdr>
        <w:top w:val="none" w:sz="0" w:space="0" w:color="auto"/>
        <w:left w:val="none" w:sz="0" w:space="0" w:color="auto"/>
        <w:bottom w:val="none" w:sz="0" w:space="0" w:color="auto"/>
        <w:right w:val="none" w:sz="0" w:space="0" w:color="auto"/>
      </w:divBdr>
    </w:div>
    <w:div w:id="2072456155">
      <w:bodyDiv w:val="1"/>
      <w:marLeft w:val="0"/>
      <w:marRight w:val="0"/>
      <w:marTop w:val="0"/>
      <w:marBottom w:val="0"/>
      <w:divBdr>
        <w:top w:val="none" w:sz="0" w:space="0" w:color="auto"/>
        <w:left w:val="none" w:sz="0" w:space="0" w:color="auto"/>
        <w:bottom w:val="none" w:sz="0" w:space="0" w:color="auto"/>
        <w:right w:val="none" w:sz="0" w:space="0" w:color="auto"/>
      </w:divBdr>
    </w:div>
    <w:div w:id="212730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andscan.ornl.gov/"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db.cn/en/detail?dataSetId=700894282ab745d0b420fe0844c924ae&amp;version=V2" TargetMode="External"/><Relationship Id="rId2" Type="http://schemas.openxmlformats.org/officeDocument/2006/relationships/numbering" Target="numbering.xml"/><Relationship Id="rId16" Type="http://schemas.openxmlformats.org/officeDocument/2006/relationships/hyperlink" Target="https://www.renewables.ninja/" TargetMode="External"/><Relationship Id="rId20" Type="http://schemas.openxmlformats.org/officeDocument/2006/relationships/hyperlink" Target="https://github.com/LeventRRR/Island-energy-optimizatio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gf-ui.ceda.ac.uk/cog/search/cmip6-ced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B4E54-B623-4A33-A7AB-00CABE797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7723</TotalTime>
  <Pages>23</Pages>
  <Words>15608</Words>
  <Characters>102389</Characters>
  <Application>Microsoft Office Word</Application>
  <DocSecurity>0</DocSecurity>
  <Lines>1796</Lines>
  <Paragraphs>522</Paragraphs>
  <ScaleCrop>false</ScaleCrop>
  <Company/>
  <LinksUpToDate>false</LinksUpToDate>
  <CharactersWithSpaces>117475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 Le</dc:creator>
  <cp:keywords/>
  <dc:description/>
  <cp:lastModifiedBy>Churui Huang</cp:lastModifiedBy>
  <cp:revision>2039</cp:revision>
  <dcterms:created xsi:type="dcterms:W3CDTF">2024-11-27T14:44:00Z</dcterms:created>
  <dcterms:modified xsi:type="dcterms:W3CDTF">2025-08-27T10:56:00Z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id="0vCe9Dk2"/&gt;&lt;style id="http://www.zotero.org/styles/nature-communications" hasBibliography="1" bibliographyStyleHasBeenSet="1"/&gt;&lt;prefs&gt;&lt;pref name="fieldType" value="Field"/&gt;&lt;/prefs&gt;&lt;/data&gt;</vt:lpwstr>
  </property>
</Properties>
</file>