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DA34D" w14:textId="77777777" w:rsidR="008D7078" w:rsidRPr="00C613BE" w:rsidRDefault="008D7078" w:rsidP="00C14660">
      <w:pPr>
        <w:pStyle w:val="2"/>
        <w:spacing w:before="156" w:after="156" w:line="240" w:lineRule="auto"/>
        <w:jc w:val="center"/>
        <w:rPr>
          <w:rFonts w:cs="Times New Roman"/>
          <w:bCs/>
          <w:sz w:val="21"/>
          <w:szCs w:val="21"/>
          <w14:ligatures w14:val="standardContextual"/>
        </w:rPr>
      </w:pPr>
      <w:r w:rsidRPr="00C613BE">
        <w:rPr>
          <w:rFonts w:cs="Times New Roman"/>
          <w:bCs/>
          <w:sz w:val="21"/>
          <w:szCs w:val="21"/>
          <w14:ligatures w14:val="standardContextual"/>
        </w:rPr>
        <w:t>Climate Change Exacerbates Inequities in Island Energy System Investments</w:t>
      </w:r>
    </w:p>
    <w:p w14:paraId="353715FD" w14:textId="176914BF" w:rsidR="00843A87" w:rsidRPr="00C613BE" w:rsidRDefault="00BF1577" w:rsidP="00C14660">
      <w:pPr>
        <w:pStyle w:val="2"/>
        <w:spacing w:before="156" w:after="156" w:line="240" w:lineRule="auto"/>
        <w:rPr>
          <w:rFonts w:cs="Times New Roman"/>
          <w:sz w:val="21"/>
          <w:szCs w:val="21"/>
        </w:rPr>
      </w:pPr>
      <w:r w:rsidRPr="00C613BE">
        <w:rPr>
          <w:rFonts w:cs="Times New Roman"/>
          <w:sz w:val="21"/>
          <w:szCs w:val="21"/>
        </w:rPr>
        <w:t>Authors</w:t>
      </w:r>
    </w:p>
    <w:p w14:paraId="24B78EA9" w14:textId="52D72DD2" w:rsidR="002A7A5A" w:rsidRPr="00C613BE" w:rsidRDefault="002A7A5A" w:rsidP="00C14660">
      <w:pPr>
        <w:pStyle w:val="2"/>
        <w:spacing w:before="156" w:after="156" w:line="240" w:lineRule="auto"/>
        <w:rPr>
          <w:rFonts w:cs="Times New Roman"/>
          <w:sz w:val="21"/>
          <w:szCs w:val="21"/>
        </w:rPr>
      </w:pPr>
      <w:bookmarkStart w:id="0" w:name="_Toc197555482"/>
      <w:bookmarkStart w:id="1" w:name="_Toc197894910"/>
      <w:bookmarkStart w:id="2" w:name="_Toc197555525"/>
      <w:bookmarkStart w:id="3" w:name="_Toc197611189"/>
      <w:bookmarkStart w:id="4" w:name="_Toc197620020"/>
      <w:r w:rsidRPr="00C613BE">
        <w:rPr>
          <w:rFonts w:cs="Times New Roman"/>
          <w:sz w:val="21"/>
          <w:szCs w:val="21"/>
        </w:rPr>
        <w:t>Abstract</w:t>
      </w:r>
    </w:p>
    <w:p w14:paraId="0157D0AC" w14:textId="58070860" w:rsidR="002A7A5A" w:rsidRPr="00C613BE" w:rsidRDefault="008D7078" w:rsidP="00C14660">
      <w:pPr>
        <w:ind w:firstLine="420"/>
        <w:rPr>
          <w:rFonts w:ascii="Times New Roman" w:hAnsi="Times New Roman" w:cs="Times New Roman"/>
        </w:rPr>
      </w:pPr>
      <w:r w:rsidRPr="00C613BE">
        <w:rPr>
          <w:rFonts w:ascii="Times New Roman" w:hAnsi="Times New Roman" w:cs="Times New Roman"/>
        </w:rPr>
        <w:t xml:space="preserve">This study analyzes how climate change amplifies global inequities in per capita energy investments across islands. High-latitude islands face elevated investment pressures due to seasonal mismatches between heating demand and renewable resources; disaster-prone regions require substantial additional investments in energy storage and LNG infrastructure. Economically vulnerable islands suffer disproportionately from climate risks, with RCP8.5 scenarios projecting significantly increased energy investment burdens for low-GDP nations. Even with declining technology costs, small island developing states (SIDS) will endure energy investment burdens far exceeding those of developed economies. </w:t>
      </w:r>
      <w:r w:rsidR="00623AF2" w:rsidRPr="00623AF2">
        <w:rPr>
          <w:rFonts w:ascii="Times New Roman" w:hAnsi="Times New Roman" w:cs="Times New Roman" w:hint="eastAsia"/>
        </w:rPr>
        <w:t>This demonstrates that geographic and socioeconomic factors create structural inequities that cannot be addressed by technology alone, necessitating international financing mechanisms and global cooperative frameworks.</w:t>
      </w:r>
    </w:p>
    <w:p w14:paraId="428F7DED" w14:textId="77777777" w:rsidR="002A7A5A" w:rsidRPr="00C613BE" w:rsidRDefault="002A7A5A" w:rsidP="00C14660">
      <w:pPr>
        <w:rPr>
          <w:rFonts w:ascii="Times New Roman" w:hAnsi="Times New Roman" w:cs="Times New Roman"/>
        </w:rPr>
      </w:pPr>
    </w:p>
    <w:p w14:paraId="60D490AF" w14:textId="77777777" w:rsidR="002A7A5A" w:rsidRPr="00C613BE" w:rsidRDefault="002A7A5A" w:rsidP="00C14660">
      <w:pPr>
        <w:rPr>
          <w:rFonts w:ascii="Times New Roman" w:hAnsi="Times New Roman" w:cs="Times New Roman"/>
        </w:rPr>
      </w:pPr>
    </w:p>
    <w:p w14:paraId="70EDC4CE" w14:textId="77777777" w:rsidR="00AB7920" w:rsidRDefault="00AB7920" w:rsidP="00C14660">
      <w:pPr>
        <w:rPr>
          <w:rFonts w:ascii="Times New Roman" w:hAnsi="Times New Roman" w:cs="Times New Roman"/>
        </w:rPr>
      </w:pPr>
    </w:p>
    <w:p w14:paraId="743B4066" w14:textId="2D86BF2F" w:rsidR="00114E98" w:rsidRPr="00CB7146" w:rsidRDefault="00CB7146" w:rsidP="00CB7146">
      <w:pPr>
        <w:pStyle w:val="2"/>
        <w:spacing w:before="156" w:after="156" w:line="240" w:lineRule="auto"/>
        <w:rPr>
          <w:rFonts w:cs="Times New Roman"/>
          <w:sz w:val="21"/>
          <w:szCs w:val="21"/>
        </w:rPr>
      </w:pPr>
      <w:r>
        <w:rPr>
          <w:rFonts w:cs="Times New Roman" w:hint="eastAsia"/>
          <w:sz w:val="21"/>
          <w:szCs w:val="21"/>
        </w:rPr>
        <w:t>Introduction</w:t>
      </w:r>
    </w:p>
    <w:p w14:paraId="6B8E94C7" w14:textId="67888910" w:rsidR="00621DF2" w:rsidRPr="00C613BE" w:rsidRDefault="008D7078"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Island energy systems </w:t>
      </w:r>
      <w:r w:rsidR="00114E98" w:rsidRPr="00114E98">
        <w:rPr>
          <w:rFonts w:ascii="Times New Roman" w:eastAsia="宋体" w:hAnsi="Times New Roman" w:cs="Times New Roman"/>
          <w:szCs w:val="21"/>
        </w:rPr>
        <w:t>face a critical</w:t>
      </w:r>
      <w:r w:rsidRPr="00C613BE">
        <w:rPr>
          <w:rFonts w:ascii="Times New Roman" w:eastAsia="宋体" w:hAnsi="Times New Roman" w:cs="Times New Roman"/>
          <w:szCs w:val="21"/>
        </w:rPr>
        <w:t xml:space="preserve"> triple challenge: high costs, carbon-intensive operations, and climate vulnerability. Fossil fuel-dominated supply models elevate marginal generation costs and amplify carbon lock-in risks due to isolated grid architectures</w:t>
      </w:r>
      <w:r w:rsidR="00621DF2" w:rsidRPr="00C613BE">
        <w:rPr>
          <w:rFonts w:ascii="Times New Roman" w:hAnsi="Times New Roman" w:cs="Times New Roman"/>
          <w:kern w:val="0"/>
          <w:szCs w:val="21"/>
          <w:vertAlign w:val="superscript"/>
        </w:rPr>
        <w:fldChar w:fldCharType="begin"/>
      </w:r>
      <w:r w:rsidR="00621DF2" w:rsidRPr="00C613BE">
        <w:rPr>
          <w:rFonts w:ascii="Times New Roman" w:hAnsi="Times New Roman" w:cs="Times New Roman"/>
          <w:kern w:val="0"/>
          <w:szCs w:val="21"/>
          <w:vertAlign w:val="superscript"/>
        </w:rPr>
        <w:instrText xml:space="preserve"> ADDIN ZOTERO_ITEM CSL_CITATION {"citationID":"gSA7IB7C","properties":{"formattedCitation":"\\super 1\\uc0\\u8211{}3\\nosupersub{}","plainCitation":"1–3","noteIndex":0},"citationItems":[{"id":310,"uris":["http://zotero.org/users/16842078/items/XJG67D7I"],"itemData":{"id":310,"type":"webpage","abstract":"This special collection of country profiles takes stock of the latest developments in renewables in island settings around the world.","language":"en","title":"Renewable Energy Country Profiles - Special edition on islands","URL":"https://www.irena.org/publications/2012/Sep/Renewable-Energy-Country-Profiles---Special-edition-on-islands","accessed":{"date-parts":[["2025",5,11]]},"issued":{"date-parts":[["2012",9,1]]}},"label":"page"},{"id":353,"uris":["http://zotero.org/users/16842078/items/FEFLZQRK"],"itemData":{"id":353,"type":"article-journal","abstract":"Access to sustainable energy is crucial for achieving the Sustainable Development Goals. A particular challenge for countries like the Philippines, is to provide sustainable energy on its far-flung islands. Renewable energy technologies hold substantial potential for improving sustainability and reliability while decreasing costs. We present a socio-economic impact survey for a case study island: Cobrador represents a typical small Philippine island with a population of approximately 1,000. The implementation of solar power and batteries led to increased service hours, affordability and environmental soundness. We applied a household questionnaire focusing on electricity usage patterns and targeted 170 randomly selected households representing 70% of the population. Our data show a clear positive impact of the intervention on access to education, information, health services, and perceived safety, whereas we found a weaker impact on income generation. Overall, we reveal a beneficial impact on different aspects of the household's daily routine. However, we also identify significant differences in the electricity usage pattern of below-average and above-average income households, specifically with the latter more frequently using electricity for income generation. Future sustainable energy interventions need to be aligned with programs incentivizing poor household's electricity use for enabling all households to equally profit from sustainable energy.","container-title":"Technological Forecasting and Social Change","DOI":"10.1016/j.techfore.2020.119919","ISSN":"00401625","journalAbbreviation":"Technological Forecasting and Social Change","language":"en","page":"119919","source":"DOI.org (Crossref)","title":"Assessing the impact of renewable energy on local development and the Sustainable Development Goals: Insights from a small Philippine island","title-short":"Assessing the impact of renewable energy on local development and the Sustainable Development Goals","volume":"153","author":[{"family":"Bertheau","given":"Paul"}],"issued":{"date-parts":[["2020",4]]}},"label":"page"},{"id":363,"uris":["http://zotero.org/users/16842078/items/ZNG5SDLB"],"itemData":{"id":363,"type":"article-journal","abstract":"This article summarizes the experience gained from the study, the siting, the design and the dimensioning of hybrid power plants in autonomous insular power systems in Greece. Wind parks and photovoltaic stations are employed as the RES units, while Pumped Storage Systems (PSS), electrochemical lead acid batteries and electrolysis units for hydrogen production are alternatively investigated as storage units. The examined hybrid power plants operation aims either at the maximization of the RES penetration or at the power demand peak shaving. The hybrid power plants’ dimensioning is optimized using as a criterion either the RES annual penetration maximization or the optimization of the required investments economic indices. The work is integrated with an economic feasibility study for each investigated hybrid power plant. The hybrid power plants presented in this article refer to insular autonomous systems of very small size (Agios Efstratios, Castellorizo), small size (Karpathos–Kasos, Astypalaia), medium size (Rhodes, Samos) and large size (Crete). The article designates how the size of the insular system affects the hybrid power plant’s synthesis and operating algorithm. The investigated hybrid power plants are proved to be technically and economically feasible, regardless of the size of the hosting insular system. The sensitivity analysis of the required investments’ economic indices indicated that the produced electricity selling prices can be lower than the speciﬁc electricity production costs in the existing systems. In small and very small power systems, the economic feasibility of the introduced hybrid power plants is achieved with annual RES penetration higher than 90% of the annual electricity consumption.","container-title":"Applied Energy","DOI":"10.1016/j.apenergy.2015.11.085","ISSN":"03062619","journalAbbreviation":"Applied Energy","language":"en","page":"268-283","source":"DOI.org (Crossref)","title":"Hybrid power plants in non-interconnected insular systems","volume":"164","author":[{"family":"Katsaprakakis","given":"Dimitris Al."}],"issued":{"date-parts":[["2016",2]]}},"label":"page"}],"schema":"https://github.com/citation-style-language/schema/raw/master/csl-citation.json"} </w:instrText>
      </w:r>
      <w:r w:rsidR="00621DF2" w:rsidRPr="00C613BE">
        <w:rPr>
          <w:rFonts w:ascii="Times New Roman" w:hAnsi="Times New Roman" w:cs="Times New Roman"/>
          <w:kern w:val="0"/>
          <w:szCs w:val="21"/>
          <w:vertAlign w:val="superscript"/>
        </w:rPr>
        <w:fldChar w:fldCharType="separate"/>
      </w:r>
      <w:r w:rsidR="00621DF2" w:rsidRPr="00C613BE">
        <w:rPr>
          <w:rFonts w:ascii="Times New Roman" w:hAnsi="Times New Roman" w:cs="Times New Roman"/>
          <w:kern w:val="0"/>
          <w:szCs w:val="21"/>
          <w:vertAlign w:val="superscript"/>
        </w:rPr>
        <w:t>1–3</w:t>
      </w:r>
      <w:r w:rsidR="00621DF2" w:rsidRPr="00C613BE">
        <w:rPr>
          <w:rFonts w:ascii="Times New Roman" w:hAnsi="Times New Roman" w:cs="Times New Roman"/>
          <w:kern w:val="0"/>
          <w:szCs w:val="21"/>
          <w:vertAlign w:val="superscript"/>
        </w:rPr>
        <w:fldChar w:fldCharType="end"/>
      </w:r>
      <w:r w:rsidR="00621DF2" w:rsidRPr="00C613BE">
        <w:rPr>
          <w:rFonts w:ascii="Times New Roman" w:eastAsia="宋体" w:hAnsi="Times New Roman" w:cs="Times New Roman"/>
          <w:szCs w:val="21"/>
        </w:rPr>
        <w:t>；</w:t>
      </w:r>
      <w:r w:rsidRPr="00C613BE">
        <w:rPr>
          <w:rFonts w:ascii="Times New Roman" w:eastAsia="宋体" w:hAnsi="Times New Roman" w:cs="Times New Roman"/>
          <w:szCs w:val="21"/>
        </w:rPr>
        <w:t>Concurrently, extreme climate events increasingly disrupt energy infrastructure, exposing systemic imbalances in security, sustainability, and equity</w:t>
      </w:r>
      <w:r w:rsidR="00621DF2" w:rsidRPr="00C613BE">
        <w:rPr>
          <w:rFonts w:ascii="Times New Roman" w:hAnsi="Times New Roman" w:cs="Times New Roman"/>
          <w:kern w:val="0"/>
          <w:szCs w:val="21"/>
          <w:vertAlign w:val="superscript"/>
        </w:rPr>
        <w:fldChar w:fldCharType="begin"/>
      </w:r>
      <w:r w:rsidR="00621DF2" w:rsidRPr="00C613BE">
        <w:rPr>
          <w:rFonts w:ascii="Times New Roman" w:hAnsi="Times New Roman" w:cs="Times New Roman"/>
          <w:kern w:val="0"/>
          <w:szCs w:val="21"/>
          <w:vertAlign w:val="superscript"/>
        </w:rPr>
        <w:instrText xml:space="preserve"> ADDIN ZOTERO_ITEM CSL_CITATION {"citationID":"rUsypgW0","properties":{"formattedCitation":"\\super 4\\uc0\\u8211{}7\\nosupersub{}","plainCitation":"4–7","noteIndex":0},"citationItems":[{"id":351,"uris":["http://zotero.org/users/16842078/items/EI72PH8S"],"itemData":{"id":351,"type":"article-journal","container-title":"Renewable Energy","DOI":"10.1016/j.renene.2020.09.124","ISSN":"09601481","journalAbbreviation":"Renewable Energy","language":"en","page":"1554-1562","source":"DOI.org (Crossref)","title":"Latest progress in Sustainable Development using renewable energy technology","volume":"162","author":[{"family":"Østergaard","given":"Poul Alberg"},{"family":"Duic","given":"Neven"},{"family":"Noorollahi","given":"Younes"},{"family":"Kalogirou","given":"Soteris"}],"issued":{"date-parts":[["2020",12]]}}},{"id":364,"uris":["http://zotero.org/users/16842078/items/YJ3RZKYN"],"itemData":{"id":364,"type":"webpage","abstract":"Analysis in English on World about Climate Change and Environment, Disaster Management, Epidemic and more; published on 15 Sep 2020 by Kindernothilfe, Medico Intl. and 5count other organizations","language":"en","title":"WorldRiskReport 2020 - Focus: Forced Displacement and Migration - World | ReliefWeb","title-short":"WorldRiskReport 2020 - Focus","URL":"https://reliefweb.int/report/world/worldriskreport-2020-focus-forced-displacement-and-migration","accessed":{"date-parts":[["2025",5,11]]},"issued":{"date-parts":[["2020",9,15]]}}},{"id":367,"uris":["http://zotero.org/users/16842078/items/FZ93G2IV"],"itemData":{"id":367,"type":"article-journal","abstract":"Pacific Island Countries and Territories have set ambitious targets for energy access and the transition to sustainable energy. These efforts, however, are being severely impacted by shocks and stresses such as climate change, natural hazards and the COVID-19 pandemic. Resilience is a central pillar for energy policy in the region, but innovative approaches are needed to address these urgent challenges. Here we examine the role of research and innovation in supporting energy resilience in Pacific Island Countries and Territories. We argue that research and innovation in three key areas is needed: energy planning and innovative finance approaches tailored to the particular strengths and challenges in Pacific Island Countries and Territories; greater recognition and inclusion of community responses to energy challenges; and promotion of decentralized approaches to energy in terms of governance and technologies. Emerging from these three areas, we identify 11 research and innovation priorities to build the evidence base that will mobilize stakeholders in a collaborative effort to accelerate action on energy resilience.","container-title":"Nature Energy","DOI":"10.1038/s41560-021-00935-1","ISSN":"2058-7546","issue":"12","journalAbbreviation":"Nat Energy","language":"en","license":"2021 Springer Nature Limited","note":"publisher: Nature Publishing Group","page":"1098-1103","source":"www.nature.com","title":"A research and innovation agenda for energy resilience in Pacific Island Countries and Territories","volume":"6","author":[{"family":"To","given":"Long Seng"},{"family":"Bruce","given":"Anna"},{"family":"Munro","given":"Paul"},{"family":"Santagata","given":"Edoardo"},{"family":"MacGill","given":"Iain"},{"family":"Rawali","given":"Manu"},{"family":"Raturi","given":"Atul"}],"issued":{"date-parts":[["2021",12]]}}},{"id":346,"uris":["http://zotero.org/users/16842078/items/FCSNYNI9"],"itemData":{"id":346,"type":"article-journal","abstract":"Energy system optimization models often incorporate climate change impacts to examine different energy futures and draw insights that inform policy. However, increased risk of extreme weather events from climate change has proven more difficult to model. Here, we present an energy system optimization model that incorporates hurricane risks by combining storm probabilities with infrastructure fragility curves, and demonstrate its utility in the context of Puerto Rico, an island territory of the United States that had its energy system severely damaged by Hurricane Maria in 2017. The model assesses the potential to change grid architecture, fuel mix and grid hardening measures considering hurricane impacts as well as climate mitigation policies. When hurricane trends are included, 2040 electricity cost projections increase by 32% based on historical hurricane frequencies and by 82% for increased hurricane frequencies. Transitioning to renewables and natural gas reduces costs and emissions independent of climate mitigation policies.","container-title":"Nature Energy","DOI":"10.1038/s41560-020-00758-6","ISSN":"2058-7546","issue":"3","journalAbbreviation":"Nat Energy","language":"en","license":"2021 The Author(s), under exclusive licence to Springer Nature Limited","note":"publisher: Nature Publishing Group","page":"240-249","source":"www.nature.com","title":"Extending energy system modelling to include extreme weather risks and application to hurricane events in Puerto Rico","volume":"6","author":[{"family":"Bennett","given":"Jeffrey A."},{"family":"Trevisan","given":"Claire N."},{"family":"DeCarolis","given":"Joseph F."},{"family":"Ortiz-García","given":"Cecilio"},{"family":"Pérez-Lugo","given":"Marla"},{"family":"Etienne","given":"Bevin T."},{"family":"Clarens","given":"Andres F."}],"issued":{"date-parts":[["2021",3]]}}}],"schema":"https://github.com/citation-style-language/schema/raw/master/csl-citation.json"} </w:instrText>
      </w:r>
      <w:r w:rsidR="00621DF2" w:rsidRPr="00C613BE">
        <w:rPr>
          <w:rFonts w:ascii="Times New Roman" w:hAnsi="Times New Roman" w:cs="Times New Roman"/>
          <w:kern w:val="0"/>
          <w:szCs w:val="21"/>
          <w:vertAlign w:val="superscript"/>
        </w:rPr>
        <w:fldChar w:fldCharType="separate"/>
      </w:r>
      <w:r w:rsidR="00621DF2" w:rsidRPr="00C613BE">
        <w:rPr>
          <w:rFonts w:ascii="Times New Roman" w:hAnsi="Times New Roman" w:cs="Times New Roman"/>
          <w:kern w:val="0"/>
          <w:szCs w:val="21"/>
          <w:vertAlign w:val="superscript"/>
        </w:rPr>
        <w:t>4–7</w:t>
      </w:r>
      <w:r w:rsidR="00621DF2" w:rsidRPr="00C613BE">
        <w:rPr>
          <w:rFonts w:ascii="Times New Roman" w:hAnsi="Times New Roman" w:cs="Times New Roman"/>
          <w:kern w:val="0"/>
          <w:szCs w:val="21"/>
          <w:vertAlign w:val="superscript"/>
        </w:rPr>
        <w:fldChar w:fldCharType="end"/>
      </w:r>
      <w:r w:rsidR="00621DF2" w:rsidRPr="00C613BE">
        <w:rPr>
          <w:rFonts w:ascii="Times New Roman" w:eastAsia="宋体" w:hAnsi="Times New Roman" w:cs="Times New Roman"/>
          <w:szCs w:val="21"/>
        </w:rPr>
        <w:t>。</w:t>
      </w:r>
      <w:r w:rsidRPr="00C613BE">
        <w:rPr>
          <w:rFonts w:ascii="Times New Roman" w:eastAsia="宋体" w:hAnsi="Times New Roman" w:cs="Times New Roman"/>
          <w:szCs w:val="21"/>
        </w:rPr>
        <w:t>This complex crisis disproportionately affects SIDS</w:t>
      </w:r>
      <w:r w:rsidR="00621DF2" w:rsidRPr="00C613BE">
        <w:rPr>
          <w:rFonts w:ascii="Times New Roman" w:hAnsi="Times New Roman" w:cs="Times New Roman"/>
          <w:kern w:val="0"/>
          <w:szCs w:val="21"/>
          <w:vertAlign w:val="superscript"/>
        </w:rPr>
        <w:fldChar w:fldCharType="begin"/>
      </w:r>
      <w:r w:rsidR="00621DF2" w:rsidRPr="00C613BE">
        <w:rPr>
          <w:rFonts w:ascii="Times New Roman" w:hAnsi="Times New Roman" w:cs="Times New Roman"/>
          <w:kern w:val="0"/>
          <w:szCs w:val="21"/>
          <w:vertAlign w:val="superscript"/>
        </w:rPr>
        <w:instrText xml:space="preserve"> ADDIN ZOTERO_ITEM CSL_CITATION {"citationID":"8eV3TEE6","properties":{"formattedCitation":"\\super 8\\nosupersub{}","plainCitation":"8","noteIndex":0},"citationItems":[{"id":357,"uris":["http://zotero.org/users/16842078/items/W3XMKYB3"],"itemData":{"id":357,"type":"article-journal","abstract":"Fiji is an island country with just over 300 small islands and approximately 853,000 people. It is a small island developing state (SIDS) that is heavily dependent on imported fossil fuel for its energy needs. The paper attempts to determine the past and current energy situation in Fiji, challenges faced and strategizes to overcome these challenges. In 2014, Fiji generated 859 GW h of grid electricity from 259.8 MW of power plants. Here, 45.4% of grid electricity was produced by hydro, 50.9% by diesel generators and the remaining by biomass. However, Fiji's transport sector is completely dependent on fossil fuels with fuel import bill equivalent to an average 58% of export earnings and taking up 21% of total import bill. The smallness of Fiji and dispersed islands within Fiji group leads to many challenges to have accessible, aﬀordable and sustainable energy supply. These challenges are comprehensively discussed in this paper. Strategies such as increasing private-public partnership in renewable energy projects, changing customer behavior, setting up a credible feed-in tariﬀ structure, developing locally owned business in renewable energy and energy eﬃciency, setting up of risk mitigation facilities and strengthening institutions supporting energy sector are discussed to overcome or minimize challenges.","container-title":"Renewable and Sustainable Energy Reviews","DOI":"10.1016/j.rser.2016.10.070","ISSN":"13640321","journalAbbreviation":"Renewable and Sustainable Energy Reviews","language":"en","page":"278-292","source":"DOI.org (Crossref)","title":"A review of Fiji's energy situation: Challenges and strategies as a small island developing state","title-short":"A review of Fiji's energy situation","volume":"75","author":[{"family":"Prasad","given":"Ravita D."},{"family":"Bansal","given":"R.C."},{"family":"Raturi","given":"Atul"}],"issued":{"date-parts":[["2017",8]]}}}],"schema":"https://github.com/citation-style-language/schema/raw/master/csl-citation.json"} </w:instrText>
      </w:r>
      <w:r w:rsidR="00621DF2" w:rsidRPr="00C613BE">
        <w:rPr>
          <w:rFonts w:ascii="Times New Roman" w:hAnsi="Times New Roman" w:cs="Times New Roman"/>
          <w:kern w:val="0"/>
          <w:szCs w:val="21"/>
          <w:vertAlign w:val="superscript"/>
        </w:rPr>
        <w:fldChar w:fldCharType="separate"/>
      </w:r>
      <w:r w:rsidR="00621DF2" w:rsidRPr="00C613BE">
        <w:rPr>
          <w:rFonts w:ascii="Times New Roman" w:hAnsi="Times New Roman" w:cs="Times New Roman"/>
          <w:kern w:val="0"/>
          <w:szCs w:val="21"/>
          <w:vertAlign w:val="superscript"/>
        </w:rPr>
        <w:t>8</w:t>
      </w:r>
      <w:r w:rsidR="00621DF2" w:rsidRPr="00C613BE">
        <w:rPr>
          <w:rFonts w:ascii="Times New Roman" w:hAnsi="Times New Roman" w:cs="Times New Roman"/>
          <w:kern w:val="0"/>
          <w:szCs w:val="21"/>
          <w:vertAlign w:val="superscript"/>
        </w:rPr>
        <w:fldChar w:fldCharType="end"/>
      </w:r>
      <w:r w:rsidRPr="00C613BE">
        <w:rPr>
          <w:rFonts w:ascii="Times New Roman" w:eastAsia="宋体" w:hAnsi="Times New Roman" w:cs="Times New Roman"/>
          <w:szCs w:val="21"/>
        </w:rPr>
        <w:t>, where generation costs can be 10-fold higher than continental averages. In 2021, island nations faced the world’s highest electricity price</w:t>
      </w:r>
      <w:r w:rsidRPr="00C613BE">
        <w:rPr>
          <w:rFonts w:ascii="Times New Roman" w:hAnsi="Times New Roman" w:cs="Times New Roman"/>
          <w:kern w:val="0"/>
          <w:szCs w:val="21"/>
          <w:vertAlign w:val="superscript"/>
        </w:rPr>
        <w:fldChar w:fldCharType="begin"/>
      </w:r>
      <w:r w:rsidRPr="00C613BE">
        <w:rPr>
          <w:rFonts w:ascii="Times New Roman" w:hAnsi="Times New Roman" w:cs="Times New Roman"/>
          <w:kern w:val="0"/>
          <w:szCs w:val="21"/>
          <w:vertAlign w:val="superscript"/>
        </w:rPr>
        <w:instrText xml:space="preserve"> ADDIN ZOTERO_ITEM CSL_CITATION {"citationID":"UYTeGDlb","properties":{"formattedCitation":"\\super 9\\nosupersub{}","plainCitation":"9","noteIndex":0},"citationItems":[{"id":369,"uris":["http://zotero.org/users/16842078/items/PITXV6DU"],"itemData":{"id":369,"type":"webpage","abstract":"Islands need resilient power systems more than ever. Clean energy can deliver - A commentary by Emi Bertoli, Silvia Laera, Floris van Dedem","container-title":"IEA","language":"en-GB","title":"Islands need resilient power systems more than ever. Clean energy can deliver – Analysis","URL":"https://www.iea.org/commentaries/islands-need-resilient-power-systems-more-than-ever-clean-energy-can-deliver","accessed":{"date-parts":[["2025",5,11]]},"issued":{"date-parts":[["2024",7,12]]}}}],"schema":"https://github.com/citation-style-language/schema/raw/master/csl-citation.json"} </w:instrText>
      </w:r>
      <w:r w:rsidRPr="00C613BE">
        <w:rPr>
          <w:rFonts w:ascii="Times New Roman" w:hAnsi="Times New Roman" w:cs="Times New Roman"/>
          <w:kern w:val="0"/>
          <w:szCs w:val="21"/>
          <w:vertAlign w:val="superscript"/>
        </w:rPr>
        <w:fldChar w:fldCharType="separate"/>
      </w:r>
      <w:r w:rsidRPr="00C613BE">
        <w:rPr>
          <w:rFonts w:ascii="Times New Roman" w:hAnsi="Times New Roman" w:cs="Times New Roman"/>
          <w:kern w:val="0"/>
          <w:szCs w:val="21"/>
          <w:vertAlign w:val="superscript"/>
        </w:rPr>
        <w:t>9</w:t>
      </w:r>
      <w:r w:rsidRPr="00C613BE">
        <w:rPr>
          <w:rFonts w:ascii="Times New Roman" w:hAnsi="Times New Roman" w:cs="Times New Roman"/>
          <w:kern w:val="0"/>
          <w:szCs w:val="21"/>
          <w:vertAlign w:val="superscript"/>
        </w:rPr>
        <w:fldChar w:fldCharType="end"/>
      </w:r>
      <w:r w:rsidRPr="00C613BE">
        <w:rPr>
          <w:rFonts w:ascii="Times New Roman" w:eastAsia="宋体" w:hAnsi="Times New Roman" w:cs="Times New Roman"/>
          <w:szCs w:val="21"/>
        </w:rPr>
        <w:t>. Addressing these challenges to meet island energy demands safely, sustainably, and affordably is imperative.</w:t>
      </w:r>
      <w:bookmarkEnd w:id="0"/>
      <w:bookmarkEnd w:id="1"/>
      <w:bookmarkEnd w:id="2"/>
      <w:bookmarkEnd w:id="3"/>
      <w:bookmarkEnd w:id="4"/>
      <w:r w:rsidRPr="00C613BE">
        <w:rPr>
          <w:rFonts w:ascii="Times New Roman" w:eastAsia="宋体" w:hAnsi="Times New Roman" w:cs="Times New Roman"/>
          <w:szCs w:val="21"/>
        </w:rPr>
        <w:t xml:space="preserve"> </w:t>
      </w:r>
    </w:p>
    <w:p w14:paraId="08D58677" w14:textId="1DB17254" w:rsidR="008D7078" w:rsidRPr="00C613BE" w:rsidRDefault="00696768" w:rsidP="00C14660">
      <w:pPr>
        <w:ind w:firstLineChars="200" w:firstLine="420"/>
        <w:rPr>
          <w:rFonts w:ascii="Times New Roman" w:eastAsia="宋体" w:hAnsi="Times New Roman" w:cs="Times New Roman"/>
          <w:szCs w:val="21"/>
        </w:rPr>
      </w:pPr>
      <w:r w:rsidRPr="00696768">
        <w:rPr>
          <w:rFonts w:ascii="Times New Roman" w:eastAsia="宋体" w:hAnsi="Times New Roman" w:cs="Times New Roman"/>
          <w:szCs w:val="21"/>
        </w:rPr>
        <w:t>Three interconnected constraints characterize</w:t>
      </w:r>
      <w:r>
        <w:rPr>
          <w:rFonts w:ascii="Times New Roman" w:eastAsia="宋体" w:hAnsi="Times New Roman" w:cs="Times New Roman" w:hint="eastAsia"/>
          <w:szCs w:val="21"/>
        </w:rPr>
        <w:t xml:space="preserve"> </w:t>
      </w:r>
      <w:r w:rsidR="008D7078" w:rsidRPr="00C613BE">
        <w:rPr>
          <w:rFonts w:ascii="Times New Roman" w:eastAsia="宋体" w:hAnsi="Times New Roman" w:cs="Times New Roman"/>
          <w:szCs w:val="21"/>
        </w:rPr>
        <w:t>this energy dilemma:</w:t>
      </w:r>
      <w:r w:rsidR="008D7078" w:rsidRPr="00C613BE">
        <w:rPr>
          <w:rFonts w:ascii="Times New Roman" w:hAnsi="Times New Roman" w:cs="Times New Roman"/>
        </w:rPr>
        <w:t xml:space="preserve"> </w:t>
      </w:r>
      <w:r w:rsidR="008D7078" w:rsidRPr="00C613BE">
        <w:rPr>
          <w:rFonts w:ascii="Times New Roman" w:eastAsia="宋体" w:hAnsi="Times New Roman" w:cs="Times New Roman"/>
          <w:szCs w:val="21"/>
        </w:rPr>
        <w:t xml:space="preserve">Spatial isolation elevates energy costs and climate exposure. Maritime supply chains </w:t>
      </w:r>
      <w:r>
        <w:rPr>
          <w:rFonts w:ascii="Times New Roman" w:eastAsia="宋体" w:hAnsi="Times New Roman" w:cs="Times New Roman" w:hint="eastAsia"/>
          <w:szCs w:val="21"/>
        </w:rPr>
        <w:t>increase</w:t>
      </w:r>
      <w:r w:rsidR="008D7078" w:rsidRPr="00C613BE">
        <w:rPr>
          <w:rFonts w:ascii="Times New Roman" w:eastAsia="宋体" w:hAnsi="Times New Roman" w:cs="Times New Roman"/>
          <w:szCs w:val="21"/>
        </w:rPr>
        <w:t xml:space="preserve"> logistics costs (contributing significantly to end-user tariffs) and </w:t>
      </w:r>
      <w:r w:rsidR="00050521" w:rsidRPr="00050521">
        <w:rPr>
          <w:rFonts w:ascii="Times New Roman" w:eastAsia="宋体" w:hAnsi="Times New Roman" w:cs="Times New Roman"/>
          <w:szCs w:val="21"/>
        </w:rPr>
        <w:t xml:space="preserve">heighten </w:t>
      </w:r>
      <w:r w:rsidR="008D7078" w:rsidRPr="00C613BE">
        <w:rPr>
          <w:rFonts w:ascii="Times New Roman" w:eastAsia="宋体" w:hAnsi="Times New Roman" w:cs="Times New Roman"/>
          <w:szCs w:val="21"/>
        </w:rPr>
        <w:t>disruption risks</w:t>
      </w:r>
      <w:r w:rsidR="00621DF2" w:rsidRPr="00C613BE">
        <w:rPr>
          <w:rFonts w:ascii="Times New Roman" w:eastAsia="宋体" w:hAnsi="Times New Roman" w:cs="Times New Roman"/>
          <w:szCs w:val="21"/>
        </w:rPr>
        <w:fldChar w:fldCharType="begin"/>
      </w:r>
      <w:r w:rsidR="00621DF2" w:rsidRPr="00C613BE">
        <w:rPr>
          <w:rFonts w:ascii="Times New Roman" w:eastAsia="宋体" w:hAnsi="Times New Roman" w:cs="Times New Roman"/>
          <w:szCs w:val="21"/>
        </w:rPr>
        <w:instrText xml:space="preserve"> ADDIN ZOTERO_ITEM CSL_CITATION {"citationID":"o20k11oR","properties":{"formattedCitation":"\\super 10\\nosupersub{}","plainCitation":"10","noteIndex":0},"citationItems":[{"id":370,"uris":["http://zotero.org/users/16842078/items/HSWR77EA"],"itemData":{"id":370,"type":"article-journal","abstract":"Most small islands, with populations of between 1000 and 100,000 inhabitants, have non-interconnected power generation systems consisting of thermal p…","container-title":"Renewable and Sustainable Energy Reviews","DOI":"10.1016/j.rser.2019.109417","ISSN":"1364-0321","language":"en-US","note":"publisher: Pergamon","page":"109417","source":"www.sciencedirect.com","title":"Hybrid renewable mini-grids on non-interconnected small islands: Review of case studies","title-short":"Hybrid renewable mini-grids on non-interconnected small islands","volume":"116","issued":{"date-parts":[["2019",12,1]]}}}],"schema":"https://github.com/citation-style-language/schema/raw/master/csl-citation.json"} </w:instrText>
      </w:r>
      <w:r w:rsidR="00621DF2" w:rsidRPr="00C613BE">
        <w:rPr>
          <w:rFonts w:ascii="Times New Roman" w:eastAsia="宋体" w:hAnsi="Times New Roman" w:cs="Times New Roman"/>
          <w:szCs w:val="21"/>
        </w:rPr>
        <w:fldChar w:fldCharType="separate"/>
      </w:r>
      <w:r w:rsidR="00621DF2" w:rsidRPr="00C613BE">
        <w:rPr>
          <w:rFonts w:ascii="Times New Roman" w:hAnsi="Times New Roman" w:cs="Times New Roman"/>
          <w:kern w:val="0"/>
          <w:szCs w:val="21"/>
          <w:vertAlign w:val="superscript"/>
        </w:rPr>
        <w:t>10</w:t>
      </w:r>
      <w:r w:rsidR="00621DF2" w:rsidRPr="00C613BE">
        <w:rPr>
          <w:rFonts w:ascii="Times New Roman" w:eastAsia="宋体" w:hAnsi="Times New Roman" w:cs="Times New Roman"/>
          <w:szCs w:val="21"/>
        </w:rPr>
        <w:fldChar w:fldCharType="end"/>
      </w:r>
      <w:r w:rsidR="00621DF2" w:rsidRPr="00C613BE">
        <w:rPr>
          <w:rFonts w:ascii="Times New Roman" w:eastAsia="宋体" w:hAnsi="Times New Roman" w:cs="Times New Roman"/>
          <w:szCs w:val="21"/>
        </w:rPr>
        <w:t>；</w:t>
      </w:r>
      <w:r w:rsidR="008D7078" w:rsidRPr="00C613BE">
        <w:rPr>
          <w:rFonts w:ascii="Times New Roman" w:eastAsia="宋体" w:hAnsi="Times New Roman" w:cs="Times New Roman"/>
          <w:szCs w:val="21"/>
        </w:rPr>
        <w:t xml:space="preserve">Resource limitations intensify reliance on carbon-intensive facilities and storage, </w:t>
      </w:r>
      <w:r w:rsidR="00050521" w:rsidRPr="00050521">
        <w:rPr>
          <w:rFonts w:ascii="Times New Roman" w:eastAsia="宋体" w:hAnsi="Times New Roman" w:cs="Times New Roman"/>
          <w:szCs w:val="21"/>
        </w:rPr>
        <w:t>preventing economies of scale and inter-regional power exchanges.</w:t>
      </w:r>
      <w:r w:rsidR="008D7078" w:rsidRPr="00C613BE">
        <w:rPr>
          <w:rFonts w:ascii="Times New Roman" w:eastAsia="宋体" w:hAnsi="Times New Roman" w:cs="Times New Roman"/>
          <w:szCs w:val="21"/>
        </w:rPr>
        <w:t xml:space="preserve"> Path dependency </w:t>
      </w:r>
      <w:r w:rsidR="00794452" w:rsidRPr="00794452">
        <w:rPr>
          <w:rFonts w:ascii="Times New Roman" w:eastAsia="宋体" w:hAnsi="Times New Roman" w:cs="Times New Roman"/>
          <w:szCs w:val="21"/>
        </w:rPr>
        <w:t>impedes transition efforts,</w:t>
      </w:r>
      <w:r w:rsidR="008D7078" w:rsidRPr="00C613BE">
        <w:rPr>
          <w:rFonts w:ascii="Times New Roman" w:eastAsia="宋体" w:hAnsi="Times New Roman" w:cs="Times New Roman"/>
          <w:szCs w:val="21"/>
        </w:rPr>
        <w:t xml:space="preserve"> maintaining renewable penetration below global averages</w:t>
      </w:r>
      <w:r w:rsidR="00621DF2" w:rsidRPr="00C613BE">
        <w:rPr>
          <w:rFonts w:ascii="Times New Roman" w:eastAsia="宋体" w:hAnsi="Times New Roman" w:cs="Times New Roman"/>
          <w:szCs w:val="21"/>
        </w:rPr>
        <w:fldChar w:fldCharType="begin"/>
      </w:r>
      <w:r w:rsidR="00621DF2" w:rsidRPr="00C613BE">
        <w:rPr>
          <w:rFonts w:ascii="Times New Roman" w:eastAsia="宋体" w:hAnsi="Times New Roman" w:cs="Times New Roman"/>
          <w:szCs w:val="21"/>
        </w:rPr>
        <w:instrText xml:space="preserve"> ADDIN ZOTERO_ITEM CSL_CITATION {"citationID":"wREhOTDL","properties":{"formattedCitation":"\\super 11\\nosupersub{}","plainCitation":"11","noteIndex":0},"citationItems":[{"id":359,"uris":["http://zotero.org/users/16842078/items/NJJGYNGS"],"itemData":{"id":359,"type":"article-journal","abstract":"Insular energy systems are critical for efficient energy transition due to their geographic and structural characteristics and their reliance on fossil fuels. The literature indicates that renewable energy can mitigate high operating costs and fossil fuel dependence. However, insular systems in developing countries face specific political, technical, and economic challenges that require further study. The novelty of this study lies in its holistic analysis of Chilean insular energy systems, offering a comprehensive perspective often lacking in research focused on developed countries. Renewable energy penetration in isolated systems remains significantly lower than on the mainland, largely due to market distortions from fossil fuel subsidies. In Magallanes, where gas turbines benefit from government support, renewable integration is below 10 %, while subsidized gas generation maintains a Levelized Cost of Energy (LCOE) of 219 USD/MWh, preserving its advantage over renewables. To address this barrier, policy recommendations include reallocating subsidies, implementing alternative business models, and adopting long-run incremental cost (LRIC) pricing. This study highlights that, although renewable energy can lower operating costs, integration barriers remain the main challenge. The findings provide valuable insights for policymakers, researchers, and investors interested in the feasibility of renewable generation in island systems.","container-title":"Renewable Energy","DOI":"10.1016/j.renene.2025.122967","ISSN":"09601481","journalAbbreviation":"Renewable Energy","language":"en","page":"122967","source":"DOI.org (Crossref)","title":"High energy costs in insular energy systems and the potential for integrating innovative renewable solutions: The case of Chile","title-short":"High energy costs in insular energy systems and the potential for integrating innovative renewable solutions","volume":"246","author":[{"family":"Villarroel","given":"Nicolás"},{"family":"Lazo","given":"Joaquín"},{"family":"Watts","given":"David"}],"issued":{"date-parts":[["2025",6]]}}}],"schema":"https://github.com/citation-style-language/schema/raw/master/csl-citation.json"} </w:instrText>
      </w:r>
      <w:r w:rsidR="00621DF2" w:rsidRPr="00C613BE">
        <w:rPr>
          <w:rFonts w:ascii="Times New Roman" w:eastAsia="宋体" w:hAnsi="Times New Roman" w:cs="Times New Roman"/>
          <w:szCs w:val="21"/>
        </w:rPr>
        <w:fldChar w:fldCharType="separate"/>
      </w:r>
      <w:r w:rsidR="00621DF2" w:rsidRPr="00C613BE">
        <w:rPr>
          <w:rFonts w:ascii="Times New Roman" w:hAnsi="Times New Roman" w:cs="Times New Roman"/>
          <w:kern w:val="0"/>
          <w:szCs w:val="21"/>
          <w:vertAlign w:val="superscript"/>
        </w:rPr>
        <w:t>11</w:t>
      </w:r>
      <w:r w:rsidR="00621DF2" w:rsidRPr="00C613BE">
        <w:rPr>
          <w:rFonts w:ascii="Times New Roman" w:eastAsia="宋体" w:hAnsi="Times New Roman" w:cs="Times New Roman"/>
          <w:szCs w:val="21"/>
        </w:rPr>
        <w:fldChar w:fldCharType="end"/>
      </w:r>
      <w:r w:rsidR="00621DF2" w:rsidRPr="00C613BE">
        <w:rPr>
          <w:rFonts w:ascii="Times New Roman" w:eastAsia="宋体" w:hAnsi="Times New Roman" w:cs="Times New Roman"/>
          <w:szCs w:val="21"/>
        </w:rPr>
        <w:t>；</w:t>
      </w:r>
      <w:r w:rsidR="008D7078" w:rsidRPr="00C613BE">
        <w:rPr>
          <w:rFonts w:ascii="Times New Roman" w:eastAsia="宋体" w:hAnsi="Times New Roman" w:cs="Times New Roman"/>
          <w:szCs w:val="21"/>
        </w:rPr>
        <w:t>Climate vulnerability complicates structural transitions.</w:t>
      </w:r>
      <w:r w:rsidR="008D7078" w:rsidRPr="00C613BE">
        <w:rPr>
          <w:rFonts w:ascii="Times New Roman" w:hAnsi="Times New Roman" w:cs="Times New Roman"/>
        </w:rPr>
        <w:t xml:space="preserve"> </w:t>
      </w:r>
      <w:r w:rsidR="008D7078" w:rsidRPr="00C613BE">
        <w:rPr>
          <w:rFonts w:ascii="Times New Roman" w:eastAsia="宋体" w:hAnsi="Times New Roman" w:cs="Times New Roman"/>
          <w:szCs w:val="21"/>
        </w:rPr>
        <w:t xml:space="preserve">These constraints create a </w:t>
      </w:r>
      <w:r w:rsidR="00FC2A07" w:rsidRPr="00FC2A07">
        <w:rPr>
          <w:rFonts w:ascii="Times New Roman" w:eastAsia="宋体" w:hAnsi="Times New Roman" w:cs="Times New Roman"/>
          <w:szCs w:val="21"/>
        </w:rPr>
        <w:t>self-reinforcing</w:t>
      </w:r>
      <w:r w:rsidR="008D7078" w:rsidRPr="00C613BE">
        <w:rPr>
          <w:rFonts w:ascii="Times New Roman" w:eastAsia="宋体" w:hAnsi="Times New Roman" w:cs="Times New Roman"/>
          <w:szCs w:val="21"/>
        </w:rPr>
        <w:t xml:space="preserve"> cycle of "</w:t>
      </w:r>
      <w:r w:rsidR="00FC2A07" w:rsidRPr="00FC2A07">
        <w:t xml:space="preserve"> </w:t>
      </w:r>
      <w:r w:rsidR="00FC2A07" w:rsidRPr="00FC2A07">
        <w:rPr>
          <w:rFonts w:ascii="Times New Roman" w:eastAsia="宋体" w:hAnsi="Times New Roman" w:cs="Times New Roman"/>
          <w:szCs w:val="21"/>
        </w:rPr>
        <w:t>increasing marginal costs</w:t>
      </w:r>
      <w:r w:rsidR="00FC2A07">
        <w:rPr>
          <w:rFonts w:ascii="Times New Roman" w:eastAsia="宋体" w:hAnsi="Times New Roman" w:cs="Times New Roman" w:hint="eastAsia"/>
          <w:szCs w:val="21"/>
        </w:rPr>
        <w:t xml:space="preserve"> </w:t>
      </w:r>
      <w:r w:rsidR="00FC2A07" w:rsidRPr="00FC2A07">
        <w:rPr>
          <w:rFonts w:ascii="Times New Roman" w:eastAsia="宋体" w:hAnsi="Times New Roman" w:cs="Times New Roman"/>
          <w:szCs w:val="21"/>
        </w:rPr>
        <w:t>–</w:t>
      </w:r>
      <w:r w:rsidR="00FC2A07">
        <w:rPr>
          <w:rFonts w:ascii="Times New Roman" w:eastAsia="宋体" w:hAnsi="Times New Roman" w:cs="Times New Roman" w:hint="eastAsia"/>
          <w:szCs w:val="21"/>
        </w:rPr>
        <w:t xml:space="preserve"> </w:t>
      </w:r>
      <w:r w:rsidR="00FC2A07" w:rsidRPr="00FC2A07">
        <w:rPr>
          <w:rFonts w:ascii="Times New Roman" w:eastAsia="宋体" w:hAnsi="Times New Roman" w:cs="Times New Roman"/>
          <w:szCs w:val="21"/>
        </w:rPr>
        <w:t>carbon lock-in</w:t>
      </w:r>
      <w:r w:rsidR="00FC2A07">
        <w:rPr>
          <w:rFonts w:ascii="Times New Roman" w:eastAsia="宋体" w:hAnsi="Times New Roman" w:cs="Times New Roman" w:hint="eastAsia"/>
          <w:szCs w:val="21"/>
        </w:rPr>
        <w:t xml:space="preserve"> </w:t>
      </w:r>
      <w:r w:rsidR="00FC2A07" w:rsidRPr="00FC2A07">
        <w:rPr>
          <w:rFonts w:ascii="Times New Roman" w:eastAsia="宋体" w:hAnsi="Times New Roman" w:cs="Times New Roman"/>
          <w:szCs w:val="21"/>
        </w:rPr>
        <w:t>–</w:t>
      </w:r>
      <w:r w:rsidR="00FC2A07">
        <w:rPr>
          <w:rFonts w:ascii="Times New Roman" w:eastAsia="宋体" w:hAnsi="Times New Roman" w:cs="Times New Roman" w:hint="eastAsia"/>
          <w:szCs w:val="21"/>
        </w:rPr>
        <w:t xml:space="preserve"> </w:t>
      </w:r>
      <w:r w:rsidR="00FC2A07" w:rsidRPr="00FC2A07">
        <w:rPr>
          <w:rFonts w:ascii="Times New Roman" w:eastAsia="宋体" w:hAnsi="Times New Roman" w:cs="Times New Roman"/>
          <w:szCs w:val="21"/>
        </w:rPr>
        <w:t>reduced climate resilience</w:t>
      </w:r>
      <w:r w:rsidR="008D7078" w:rsidRPr="00C613BE">
        <w:rPr>
          <w:rFonts w:ascii="Times New Roman" w:eastAsia="宋体" w:hAnsi="Times New Roman" w:cs="Times New Roman"/>
          <w:szCs w:val="21"/>
        </w:rPr>
        <w:t>"</w:t>
      </w:r>
      <w:r w:rsidR="00FC2A07">
        <w:rPr>
          <w:rFonts w:ascii="Times New Roman" w:eastAsia="宋体" w:hAnsi="Times New Roman" w:cs="Times New Roman" w:hint="eastAsia"/>
          <w:szCs w:val="21"/>
        </w:rPr>
        <w:t>,</w:t>
      </w:r>
      <w:r w:rsidR="008D7078" w:rsidRPr="00C613BE">
        <w:rPr>
          <w:rFonts w:ascii="Times New Roman" w:eastAsia="宋体" w:hAnsi="Times New Roman" w:cs="Times New Roman"/>
          <w:szCs w:val="21"/>
        </w:rPr>
        <w:t xml:space="preserve"> </w:t>
      </w:r>
      <w:r w:rsidR="00FC2A07" w:rsidRPr="00FC2A07">
        <w:rPr>
          <w:rFonts w:ascii="Times New Roman" w:eastAsia="宋体" w:hAnsi="Times New Roman" w:cs="Times New Roman"/>
          <w:szCs w:val="21"/>
        </w:rPr>
        <w:t>positioning island regions as persistent stragglers in the global energy transition landscape</w:t>
      </w:r>
      <w:r w:rsidR="008D7078" w:rsidRPr="00C613BE">
        <w:rPr>
          <w:rFonts w:ascii="Times New Roman" w:eastAsia="宋体" w:hAnsi="Times New Roman" w:cs="Times New Roman"/>
          <w:szCs w:val="21"/>
        </w:rPr>
        <w:t>.</w:t>
      </w:r>
    </w:p>
    <w:p w14:paraId="565ABF02" w14:textId="7624DA58" w:rsidR="008D7078" w:rsidRPr="00C613BE" w:rsidRDefault="008D7078"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While islands possess abundant renewable resources and potential as clean energy innovation hubs</w:t>
      </w:r>
      <w:r w:rsidR="00621DF2" w:rsidRPr="00C613BE">
        <w:rPr>
          <w:rFonts w:ascii="Times New Roman" w:eastAsia="宋体" w:hAnsi="Times New Roman" w:cs="Times New Roman"/>
          <w:szCs w:val="21"/>
        </w:rPr>
        <w:fldChar w:fldCharType="begin"/>
      </w:r>
      <w:r w:rsidR="00621DF2" w:rsidRPr="00C613BE">
        <w:rPr>
          <w:rFonts w:ascii="Times New Roman" w:eastAsia="宋体" w:hAnsi="Times New Roman" w:cs="Times New Roman"/>
          <w:szCs w:val="21"/>
        </w:rPr>
        <w:instrText xml:space="preserve"> ADDIN ZOTERO_ITEM CSL_CITATION {"citationID":"QA6w0wbV","properties":{"formattedCitation":"\\super 9\\nosupersub{}","plainCitation":"9","noteIndex":0},"citationItems":[{"id":369,"uris":["http://zotero.org/users/16842078/items/PITXV6DU"],"itemData":{"id":369,"type":"webpage","abstract":"Islands need resilient power systems more than ever. Clean energy can deliver - A commentary by Emi Bertoli, Silvia Laera, Floris van Dedem","container-title":"IEA","language":"en-GB","title":"Islands need resilient power systems more than ever. Clean energy can deliver – Analysis","URL":"https://www.iea.org/commentaries/islands-need-resilient-power-systems-more-than-ever-clean-energy-can-deliver","accessed":{"date-parts":[["2025",5,11]]},"issued":{"date-parts":[["2024",7,12]]}}}],"schema":"https://github.com/citation-style-language/schema/raw/master/csl-citation.json"} </w:instrText>
      </w:r>
      <w:r w:rsidR="00621DF2" w:rsidRPr="00C613BE">
        <w:rPr>
          <w:rFonts w:ascii="Times New Roman" w:eastAsia="宋体" w:hAnsi="Times New Roman" w:cs="Times New Roman"/>
          <w:szCs w:val="21"/>
        </w:rPr>
        <w:fldChar w:fldCharType="separate"/>
      </w:r>
      <w:r w:rsidR="00621DF2" w:rsidRPr="00C613BE">
        <w:rPr>
          <w:rFonts w:ascii="Times New Roman" w:hAnsi="Times New Roman" w:cs="Times New Roman"/>
          <w:kern w:val="0"/>
          <w:szCs w:val="21"/>
          <w:vertAlign w:val="superscript"/>
        </w:rPr>
        <w:t>9</w:t>
      </w:r>
      <w:r w:rsidR="00621DF2"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 xml:space="preserve">, </w:t>
      </w:r>
      <w:r w:rsidR="00DA2440" w:rsidRPr="00DA2440">
        <w:rPr>
          <w:rFonts w:ascii="Times New Roman" w:eastAsia="宋体" w:hAnsi="Times New Roman" w:cs="Times New Roman"/>
          <w:szCs w:val="21"/>
        </w:rPr>
        <w:t>the deployment of distributed renewable systems introduces</w:t>
      </w:r>
      <w:r w:rsidRPr="00C613BE">
        <w:rPr>
          <w:rFonts w:ascii="Times New Roman" w:eastAsia="宋体" w:hAnsi="Times New Roman" w:cs="Times New Roman"/>
          <w:szCs w:val="21"/>
        </w:rPr>
        <w:t xml:space="preserve"> new spatial inequities.</w:t>
      </w:r>
      <w:r w:rsidRPr="00C613BE">
        <w:rPr>
          <w:rFonts w:ascii="Times New Roman" w:hAnsi="Times New Roman" w:cs="Times New Roman"/>
        </w:rPr>
        <w:t xml:space="preserve"> </w:t>
      </w:r>
      <w:r w:rsidRPr="00C613BE">
        <w:rPr>
          <w:rFonts w:ascii="Times New Roman" w:eastAsia="宋体" w:hAnsi="Times New Roman" w:cs="Times New Roman"/>
          <w:szCs w:val="21"/>
        </w:rPr>
        <w:t>Islands with favorable geographies achieve lower unit costs for renewable systems, whereas peripheral islands face higher costs and disaster risk premiums, impeding their transition</w:t>
      </w:r>
      <w:r w:rsidR="00621DF2" w:rsidRPr="00C613BE">
        <w:rPr>
          <w:rFonts w:ascii="Times New Roman" w:eastAsia="宋体" w:hAnsi="Times New Roman" w:cs="Times New Roman"/>
          <w:szCs w:val="21"/>
        </w:rPr>
        <w:fldChar w:fldCharType="begin"/>
      </w:r>
      <w:r w:rsidR="00621DF2" w:rsidRPr="00C613BE">
        <w:rPr>
          <w:rFonts w:ascii="Times New Roman" w:eastAsia="宋体" w:hAnsi="Times New Roman" w:cs="Times New Roman"/>
          <w:szCs w:val="21"/>
        </w:rPr>
        <w:instrText xml:space="preserve"> ADDIN ZOTERO_ITEM CSL_CITATION {"citationID":"DLMgN4hl","properties":{"formattedCitation":"\\super 12\\nosupersub{}","plainCitation":"12","noteIndex":0},"citationItems":[{"id":361,"uris":["http://zotero.org/users/16842078/items/4NHI8QNZ"],"itemData":{"id":361,"type":"article-journal","abstract":"Islanded power systems face unique challenges in the future in environmental, economic and social sustainability. Their high reliance on oil-ﬁred generation leads to a carbon intensive power generation proﬁle and consequently high costs to ﬁnal energy consumers, hindering the economic development of islands. A detailed benchmarking exercise of islanded systems has been undertaken in collaboration with a group of islanded power systems under the auspices of EURELECTRIC, the association for European Power Companies. Results from this benchmarking survey of 28 diﬀerent islands are presented, identifying the challenges of the current status quo, particularly in regard to generation proﬁle and emissions. Four islands are taken for detailed study, in order to identify solutions to some of the energy challenges faced by island systems, with a focus on interconnection, renewables development and energy storage. The potential for implementing the latter technologies is positive and provides a partial solution to the challenges of islanded systems but the current costs of some innovative energy technologies, e.g. energy storage, still implies that it is not necessarily possible at present to invest in these technologies without non-market subsidies. However, islands are found to be excellent locations for pilot projects on new energy technologies due to their inherent advantages of small size and vertical integration of local power companies. Furthermore, strong communities imply that it is easier to engage with end consumers when promoting new concepts for electricity supply.","container-title":"Renewable and Sustainable Energy Reviews","DOI":"10.1016/j.rser.2017.05.126","ISSN":"13640321","journalAbbreviation":"Renewable and Sustainable Energy Reviews","language":"en","page":"1269-1291","source":"DOI.org (Crossref)","title":"Benchmarking island power systems: Results, challenges, and solutions for long term sustainability","title-short":"Benchmarking island power systems","volume":"80","author":[{"family":"Cross","given":"Sam"},{"family":"Padfield","given":"David"},{"family":"Ant-Wuorinen","given":"Risto"},{"family":"King","given":"Phillip"},{"family":"Syri","given":"Sanna"}],"issued":{"date-parts":[["2017",12]]}}}],"schema":"https://github.com/citation-style-language/schema/raw/master/csl-citation.json"} </w:instrText>
      </w:r>
      <w:r w:rsidR="00621DF2" w:rsidRPr="00C613BE">
        <w:rPr>
          <w:rFonts w:ascii="Times New Roman" w:eastAsia="宋体" w:hAnsi="Times New Roman" w:cs="Times New Roman"/>
          <w:szCs w:val="21"/>
        </w:rPr>
        <w:fldChar w:fldCharType="separate"/>
      </w:r>
      <w:r w:rsidR="00621DF2" w:rsidRPr="00C613BE">
        <w:rPr>
          <w:rFonts w:ascii="Times New Roman" w:hAnsi="Times New Roman" w:cs="Times New Roman"/>
          <w:kern w:val="0"/>
          <w:szCs w:val="21"/>
          <w:vertAlign w:val="superscript"/>
        </w:rPr>
        <w:t>12</w:t>
      </w:r>
      <w:r w:rsidR="00621DF2"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w:t>
      </w:r>
      <w:r w:rsidRPr="00C613BE">
        <w:rPr>
          <w:rFonts w:ascii="Times New Roman" w:hAnsi="Times New Roman" w:cs="Times New Roman"/>
        </w:rPr>
        <w:t xml:space="preserve"> </w:t>
      </w:r>
      <w:r w:rsidR="00DA2440" w:rsidRPr="00DA2440">
        <w:rPr>
          <w:rFonts w:ascii="Times New Roman" w:eastAsia="宋体" w:hAnsi="Times New Roman" w:cs="Times New Roman"/>
          <w:szCs w:val="21"/>
        </w:rPr>
        <w:t>This growing divergence undermines coordinated climate action and challenges the equity principles established in UN Sustainable Development Goal 7 (SDG7).</w:t>
      </w:r>
    </w:p>
    <w:p w14:paraId="300865C8" w14:textId="740C0850" w:rsidR="008D7078" w:rsidRPr="00C613BE" w:rsidRDefault="008D7078"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Current research exhibits </w:t>
      </w:r>
      <w:r w:rsidR="007C7576" w:rsidRPr="007C7576">
        <w:rPr>
          <w:rFonts w:ascii="Times New Roman" w:eastAsia="宋体" w:hAnsi="Times New Roman" w:cs="Times New Roman"/>
          <w:szCs w:val="21"/>
        </w:rPr>
        <w:t>several</w:t>
      </w:r>
      <w:r w:rsidR="007C7576">
        <w:rPr>
          <w:rFonts w:ascii="Times New Roman" w:eastAsia="宋体" w:hAnsi="Times New Roman" w:cs="Times New Roman" w:hint="eastAsia"/>
          <w:szCs w:val="21"/>
        </w:rPr>
        <w:t xml:space="preserve"> </w:t>
      </w:r>
      <w:r w:rsidRPr="00C613BE">
        <w:rPr>
          <w:rFonts w:ascii="Times New Roman" w:eastAsia="宋体" w:hAnsi="Times New Roman" w:cs="Times New Roman"/>
          <w:szCs w:val="21"/>
        </w:rPr>
        <w:t xml:space="preserve">critical gaps: (i) oversimplified technical focus neglecting </w:t>
      </w:r>
      <w:r w:rsidRPr="00C613BE">
        <w:rPr>
          <w:rFonts w:ascii="Times New Roman" w:eastAsia="宋体" w:hAnsi="Times New Roman" w:cs="Times New Roman"/>
          <w:szCs w:val="21"/>
        </w:rPr>
        <w:lastRenderedPageBreak/>
        <w:t>multi-energy synergies; (ii) fragmented spatial analyses lacking global comparability</w:t>
      </w:r>
      <w:r w:rsidR="00621DF2" w:rsidRPr="00C613BE">
        <w:rPr>
          <w:rFonts w:ascii="Times New Roman" w:eastAsia="宋体" w:hAnsi="Times New Roman" w:cs="Times New Roman"/>
          <w:szCs w:val="21"/>
        </w:rPr>
        <w:fldChar w:fldCharType="begin"/>
      </w:r>
      <w:r w:rsidR="00621DF2" w:rsidRPr="00C613BE">
        <w:rPr>
          <w:rFonts w:ascii="Times New Roman" w:eastAsia="宋体" w:hAnsi="Times New Roman" w:cs="Times New Roman"/>
          <w:szCs w:val="21"/>
        </w:rPr>
        <w:instrText xml:space="preserve"> ADDIN ZOTERO_ITEM CSL_CITATION {"citationID":"Y04nEfqU","properties":{"formattedCitation":"\\super 13\\nosupersub{}","plainCitation":"13","noteIndex":0},"citationItems":[{"id":377,"uris":["http://zotero.org/users/16842078/items/7ZK3WTNE"],"itemData":{"id":377,"type":"article-journal","abstract":"Globally, more than 740 million people live on islands which are often seen as ideal environments for the development of renewable energy systems. Hereby, they play the role to demonstrate technical solutions as well as political transition pathways of energy systems to reduce greenhouse gas emissions. The growing number of articles on 100% renewable energy systems on islands is analyzed with a focus on technical solutions for transition pathways. Since the first “100% renewable energy systems on islands”-article in a scientific journal in 2004, 97 articles handling 100% renewable energy systems on small islands were published and are reviewed in this article. In addition, a review on 100% renewable energy systems on bigger island states is added. Results underline that solar PV as well as wind are the main technologies regarding 100% RES on islands. Not only for the use of biomass but for all RES area limitation on islands needs to be taken more seriously, based on full energy system studies and respective area demand. Furthermore, it is shown that there is still not the same common sense in the design approach including and starting at the energy needs as well as on multisectoral approach. The consideration of maritime transport, aviation, cooling demands, and water systems beyond seawater desalination is only poorly considered in existing studies. Future research should also focus on developing pathways to transform the existing conventional infrastructure stepwise into a fully renewable system regarding also the interconnections with the mainland and neighboring islands.","container-title":"WIREs Energy and Environment","DOI":"10.1002/wene.450","ISSN":"2041-8396, 2041-840X","issue":"6","journalAbbreviation":"WIREs Energy &amp; Environment","language":"en","page":"e450","source":"DOI.org (Crossref)","title":"A review of 100% renewable energy scenarios on islands","volume":"11","author":[{"family":"Meschede","given":"Henning"},{"family":"Bertheau","given":"Paul"},{"family":"Khalili","given":"Siavash"},{"family":"Breyer","given":"Christian"}],"issued":{"date-parts":[["2022",11]]}}}],"schema":"https://github.com/citation-style-language/schema/raw/master/csl-citation.json"} </w:instrText>
      </w:r>
      <w:r w:rsidR="00621DF2" w:rsidRPr="00C613BE">
        <w:rPr>
          <w:rFonts w:ascii="Times New Roman" w:eastAsia="宋体" w:hAnsi="Times New Roman" w:cs="Times New Roman"/>
          <w:szCs w:val="21"/>
        </w:rPr>
        <w:fldChar w:fldCharType="separate"/>
      </w:r>
      <w:r w:rsidR="00621DF2" w:rsidRPr="00C613BE">
        <w:rPr>
          <w:rFonts w:ascii="Times New Roman" w:hAnsi="Times New Roman" w:cs="Times New Roman"/>
          <w:kern w:val="0"/>
          <w:szCs w:val="21"/>
          <w:vertAlign w:val="superscript"/>
        </w:rPr>
        <w:t>13</w:t>
      </w:r>
      <w:r w:rsidR="00621DF2" w:rsidRPr="00C613BE">
        <w:rPr>
          <w:rFonts w:ascii="Times New Roman" w:eastAsia="宋体" w:hAnsi="Times New Roman" w:cs="Times New Roman"/>
          <w:szCs w:val="21"/>
        </w:rPr>
        <w:fldChar w:fldCharType="end"/>
      </w:r>
      <w:r w:rsidR="00621DF2" w:rsidRPr="00C613BE">
        <w:rPr>
          <w:rFonts w:ascii="Times New Roman" w:eastAsia="宋体" w:hAnsi="Times New Roman" w:cs="Times New Roman"/>
          <w:szCs w:val="21"/>
        </w:rPr>
        <w:t>；</w:t>
      </w:r>
      <w:r w:rsidRPr="00C613BE">
        <w:rPr>
          <w:rFonts w:ascii="Times New Roman" w:eastAsia="宋体" w:hAnsi="Times New Roman" w:cs="Times New Roman"/>
          <w:szCs w:val="21"/>
        </w:rPr>
        <w:t xml:space="preserve">(iii) inadequate resilience integration, treating climate risks as static cost parameters; and (iv) neglect of investment justice in energy planning. Crucially, no study </w:t>
      </w:r>
      <w:r w:rsidR="007C7576" w:rsidRPr="007C7576">
        <w:rPr>
          <w:rFonts w:ascii="Times New Roman" w:eastAsia="宋体" w:hAnsi="Times New Roman" w:cs="Times New Roman"/>
          <w:szCs w:val="21"/>
        </w:rPr>
        <w:t>simultaneously</w:t>
      </w:r>
      <w:r w:rsidRPr="00C613BE">
        <w:rPr>
          <w:rFonts w:ascii="Times New Roman" w:eastAsia="宋体" w:hAnsi="Times New Roman" w:cs="Times New Roman"/>
          <w:szCs w:val="21"/>
        </w:rPr>
        <w:t xml:space="preserve"> combines climate risk assessment, economic feasibility, and system optimization for global islands under climate scenarios.</w:t>
      </w:r>
    </w:p>
    <w:p w14:paraId="6B0D2F4C" w14:textId="56656E51" w:rsidR="00621DF2" w:rsidRPr="00C613BE" w:rsidRDefault="00C94D41"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This study addresses the identified research gap by developing an integrated island energy system incorporating diversified renewable energy sources. Focusing on islands across multiple global regions, we investigate the dynamic evolution patterns of investment costs and system configurations, while analyzing emerging energy investment inequities.</w:t>
      </w:r>
      <w:r w:rsidRPr="00C613BE">
        <w:rPr>
          <w:rFonts w:ascii="Times New Roman" w:hAnsi="Times New Roman" w:cs="Times New Roman"/>
        </w:rPr>
        <w:t xml:space="preserve"> </w:t>
      </w:r>
      <w:r w:rsidRPr="00C613BE">
        <w:rPr>
          <w:rFonts w:ascii="Times New Roman" w:eastAsia="宋体" w:hAnsi="Times New Roman" w:cs="Times New Roman"/>
          <w:szCs w:val="21"/>
        </w:rPr>
        <w:t xml:space="preserve">Two design </w:t>
      </w:r>
      <w:r w:rsidR="00D769E2">
        <w:rPr>
          <w:rFonts w:ascii="Times New Roman" w:eastAsia="宋体" w:hAnsi="Times New Roman" w:cs="Times New Roman" w:hint="eastAsia"/>
          <w:szCs w:val="21"/>
        </w:rPr>
        <w:t>scenario</w:t>
      </w:r>
      <w:r w:rsidRPr="00C613BE">
        <w:rPr>
          <w:rFonts w:ascii="Times New Roman" w:eastAsia="宋体" w:hAnsi="Times New Roman" w:cs="Times New Roman"/>
          <w:szCs w:val="21"/>
        </w:rPr>
        <w:t>s are contrasted: (</w:t>
      </w:r>
      <w:r w:rsidR="00604D1C" w:rsidRPr="00C613BE">
        <w:rPr>
          <w:rFonts w:ascii="Times New Roman" w:eastAsia="宋体" w:hAnsi="Times New Roman" w:cs="Times New Roman"/>
          <w:szCs w:val="21"/>
        </w:rPr>
        <w:t>i</w:t>
      </w:r>
      <w:r w:rsidRPr="00C613BE">
        <w:rPr>
          <w:rFonts w:ascii="Times New Roman" w:eastAsia="宋体" w:hAnsi="Times New Roman" w:cs="Times New Roman"/>
          <w:szCs w:val="21"/>
        </w:rPr>
        <w:t xml:space="preserve">) a </w:t>
      </w:r>
      <w:r w:rsidR="000D151B">
        <w:rPr>
          <w:rFonts w:ascii="Times New Roman" w:eastAsia="宋体" w:hAnsi="Times New Roman" w:cs="Times New Roman" w:hint="eastAsia"/>
          <w:szCs w:val="21"/>
        </w:rPr>
        <w:t>c</w:t>
      </w:r>
      <w:r w:rsidR="000D151B" w:rsidRPr="000D151B">
        <w:rPr>
          <w:rFonts w:ascii="Times New Roman" w:eastAsia="宋体" w:hAnsi="Times New Roman" w:cs="Times New Roman" w:hint="eastAsia"/>
          <w:szCs w:val="21"/>
        </w:rPr>
        <w:t xml:space="preserve">urrent </w:t>
      </w:r>
      <w:r w:rsidR="000D151B">
        <w:rPr>
          <w:rFonts w:ascii="Times New Roman" w:eastAsia="宋体" w:hAnsi="Times New Roman" w:cs="Times New Roman" w:hint="eastAsia"/>
          <w:szCs w:val="21"/>
        </w:rPr>
        <w:t>r</w:t>
      </w:r>
      <w:r w:rsidR="000D151B" w:rsidRPr="000D151B">
        <w:rPr>
          <w:rFonts w:ascii="Times New Roman" w:eastAsia="宋体" w:hAnsi="Times New Roman" w:cs="Times New Roman" w:hint="eastAsia"/>
          <w:szCs w:val="21"/>
        </w:rPr>
        <w:t>isk-</w:t>
      </w:r>
      <w:r w:rsidR="000D151B">
        <w:rPr>
          <w:rFonts w:ascii="Times New Roman" w:eastAsia="宋体" w:hAnsi="Times New Roman" w:cs="Times New Roman" w:hint="eastAsia"/>
          <w:szCs w:val="21"/>
        </w:rPr>
        <w:t>b</w:t>
      </w:r>
      <w:r w:rsidR="000D151B" w:rsidRPr="000D151B">
        <w:rPr>
          <w:rFonts w:ascii="Times New Roman" w:eastAsia="宋体" w:hAnsi="Times New Roman" w:cs="Times New Roman" w:hint="eastAsia"/>
          <w:szCs w:val="21"/>
        </w:rPr>
        <w:t>ased</w:t>
      </w:r>
      <w:r w:rsidRPr="00C613BE">
        <w:rPr>
          <w:rFonts w:ascii="Times New Roman" w:eastAsia="宋体" w:hAnsi="Times New Roman" w:cs="Times New Roman"/>
          <w:szCs w:val="21"/>
        </w:rPr>
        <w:t xml:space="preserve"> design considering present typhoon hazards, and (</w:t>
      </w:r>
      <w:r w:rsidR="00604D1C" w:rsidRPr="00C613BE">
        <w:rPr>
          <w:rFonts w:ascii="Times New Roman" w:eastAsia="宋体" w:hAnsi="Times New Roman" w:cs="Times New Roman"/>
          <w:szCs w:val="21"/>
        </w:rPr>
        <w:t>ii</w:t>
      </w:r>
      <w:r w:rsidRPr="00C613BE">
        <w:rPr>
          <w:rFonts w:ascii="Times New Roman" w:eastAsia="宋体" w:hAnsi="Times New Roman" w:cs="Times New Roman"/>
          <w:szCs w:val="21"/>
        </w:rPr>
        <w:t xml:space="preserve">) a </w:t>
      </w:r>
      <w:r w:rsidR="000D151B">
        <w:rPr>
          <w:rFonts w:ascii="Times New Roman" w:eastAsia="宋体" w:hAnsi="Times New Roman" w:cs="Times New Roman" w:hint="eastAsia"/>
          <w:szCs w:val="21"/>
        </w:rPr>
        <w:t>future</w:t>
      </w:r>
      <w:r w:rsidR="000D151B" w:rsidRPr="000D151B">
        <w:rPr>
          <w:rFonts w:ascii="Times New Roman" w:eastAsia="宋体" w:hAnsi="Times New Roman" w:cs="Times New Roman" w:hint="eastAsia"/>
          <w:szCs w:val="21"/>
        </w:rPr>
        <w:t xml:space="preserve"> </w:t>
      </w:r>
      <w:r w:rsidR="000D151B">
        <w:rPr>
          <w:rFonts w:ascii="Times New Roman" w:eastAsia="宋体" w:hAnsi="Times New Roman" w:cs="Times New Roman" w:hint="eastAsia"/>
          <w:szCs w:val="21"/>
        </w:rPr>
        <w:t>r</w:t>
      </w:r>
      <w:r w:rsidR="000D151B" w:rsidRPr="000D151B">
        <w:rPr>
          <w:rFonts w:ascii="Times New Roman" w:eastAsia="宋体" w:hAnsi="Times New Roman" w:cs="Times New Roman" w:hint="eastAsia"/>
          <w:szCs w:val="21"/>
        </w:rPr>
        <w:t>isk-</w:t>
      </w:r>
      <w:r w:rsidR="000D151B">
        <w:rPr>
          <w:rFonts w:ascii="Times New Roman" w:eastAsia="宋体" w:hAnsi="Times New Roman" w:cs="Times New Roman" w:hint="eastAsia"/>
          <w:szCs w:val="21"/>
        </w:rPr>
        <w:t>b</w:t>
      </w:r>
      <w:r w:rsidR="000D151B" w:rsidRPr="000D151B">
        <w:rPr>
          <w:rFonts w:ascii="Times New Roman" w:eastAsia="宋体" w:hAnsi="Times New Roman" w:cs="Times New Roman" w:hint="eastAsia"/>
          <w:szCs w:val="21"/>
        </w:rPr>
        <w:t>ased</w:t>
      </w:r>
      <w:r w:rsidRPr="00C613BE">
        <w:rPr>
          <w:rFonts w:ascii="Times New Roman" w:eastAsia="宋体" w:hAnsi="Times New Roman" w:cs="Times New Roman"/>
          <w:szCs w:val="21"/>
        </w:rPr>
        <w:t xml:space="preserve"> design accounting for projected future typhoon </w:t>
      </w:r>
      <w:r w:rsidR="00D769E2">
        <w:rPr>
          <w:rFonts w:ascii="Times New Roman" w:eastAsia="宋体" w:hAnsi="Times New Roman" w:cs="Times New Roman" w:hint="eastAsia"/>
          <w:szCs w:val="21"/>
        </w:rPr>
        <w:t>hazards</w:t>
      </w:r>
      <w:r w:rsidRPr="00C613BE">
        <w:rPr>
          <w:rFonts w:ascii="Times New Roman" w:eastAsia="宋体" w:hAnsi="Times New Roman" w:cs="Times New Roman"/>
          <w:szCs w:val="21"/>
        </w:rPr>
        <w:t>.</w:t>
      </w:r>
      <w:r w:rsidR="00AB7920" w:rsidRPr="00C613BE">
        <w:rPr>
          <w:rFonts w:ascii="Times New Roman" w:hAnsi="Times New Roman" w:cs="Times New Roman"/>
        </w:rPr>
        <w:t xml:space="preserve"> </w:t>
      </w:r>
      <w:r w:rsidR="00AB7920" w:rsidRPr="00C613BE">
        <w:rPr>
          <w:rFonts w:ascii="Times New Roman" w:eastAsia="宋体" w:hAnsi="Times New Roman" w:cs="Times New Roman"/>
          <w:szCs w:val="21"/>
        </w:rPr>
        <w:t xml:space="preserve">In this study, we first analyze the spatial coupling patterns between per capita investment costs in island energy systems and geographic-climatic risk gradients globally, identifying transmission pathways of energy investment inequity. We then </w:t>
      </w:r>
      <w:r w:rsidR="00D769E2" w:rsidRPr="00D769E2">
        <w:rPr>
          <w:rFonts w:ascii="Times New Roman" w:eastAsia="宋体" w:hAnsi="Times New Roman" w:cs="Times New Roman"/>
          <w:szCs w:val="21"/>
        </w:rPr>
        <w:t>systematically</w:t>
      </w:r>
      <w:r w:rsidR="00AB7920" w:rsidRPr="00C613BE">
        <w:rPr>
          <w:rFonts w:ascii="Times New Roman" w:eastAsia="宋体" w:hAnsi="Times New Roman" w:cs="Times New Roman"/>
          <w:szCs w:val="21"/>
        </w:rPr>
        <w:t xml:space="preserve"> evaluate the divergent impacts of two investment design paradigms (</w:t>
      </w:r>
      <w:r w:rsidR="00681E92">
        <w:rPr>
          <w:rFonts w:ascii="Times New Roman" w:eastAsia="宋体" w:hAnsi="Times New Roman" w:cs="Times New Roman" w:hint="eastAsia"/>
          <w:szCs w:val="21"/>
        </w:rPr>
        <w:t>c</w:t>
      </w:r>
      <w:r w:rsidR="00681E92" w:rsidRPr="000D151B">
        <w:rPr>
          <w:rFonts w:ascii="Times New Roman" w:eastAsia="宋体" w:hAnsi="Times New Roman" w:cs="Times New Roman" w:hint="eastAsia"/>
          <w:szCs w:val="21"/>
        </w:rPr>
        <w:t xml:space="preserve">urrent </w:t>
      </w:r>
      <w:r w:rsidR="00681E92">
        <w:rPr>
          <w:rFonts w:ascii="Times New Roman" w:eastAsia="宋体" w:hAnsi="Times New Roman" w:cs="Times New Roman" w:hint="eastAsia"/>
          <w:szCs w:val="21"/>
        </w:rPr>
        <w:t>r</w:t>
      </w:r>
      <w:r w:rsidR="00681E92" w:rsidRPr="000D151B">
        <w:rPr>
          <w:rFonts w:ascii="Times New Roman" w:eastAsia="宋体" w:hAnsi="Times New Roman" w:cs="Times New Roman" w:hint="eastAsia"/>
          <w:szCs w:val="21"/>
        </w:rPr>
        <w:t>isk-</w:t>
      </w:r>
      <w:r w:rsidR="00681E92">
        <w:rPr>
          <w:rFonts w:ascii="Times New Roman" w:eastAsia="宋体" w:hAnsi="Times New Roman" w:cs="Times New Roman" w:hint="eastAsia"/>
          <w:szCs w:val="21"/>
        </w:rPr>
        <w:t>b</w:t>
      </w:r>
      <w:r w:rsidR="00681E92" w:rsidRPr="000D151B">
        <w:rPr>
          <w:rFonts w:ascii="Times New Roman" w:eastAsia="宋体" w:hAnsi="Times New Roman" w:cs="Times New Roman" w:hint="eastAsia"/>
          <w:szCs w:val="21"/>
        </w:rPr>
        <w:t>ased</w:t>
      </w:r>
      <w:r w:rsidR="00AB7920" w:rsidRPr="00C613BE">
        <w:rPr>
          <w:rFonts w:ascii="Times New Roman" w:eastAsia="宋体" w:hAnsi="Times New Roman" w:cs="Times New Roman"/>
          <w:szCs w:val="21"/>
        </w:rPr>
        <w:t xml:space="preserve"> vs. </w:t>
      </w:r>
      <w:r w:rsidR="00681E92">
        <w:rPr>
          <w:rFonts w:ascii="Times New Roman" w:eastAsia="宋体" w:hAnsi="Times New Roman" w:cs="Times New Roman" w:hint="eastAsia"/>
          <w:szCs w:val="21"/>
        </w:rPr>
        <w:t>future</w:t>
      </w:r>
      <w:r w:rsidR="00681E92" w:rsidRPr="000D151B">
        <w:rPr>
          <w:rFonts w:ascii="Times New Roman" w:eastAsia="宋体" w:hAnsi="Times New Roman" w:cs="Times New Roman" w:hint="eastAsia"/>
          <w:szCs w:val="21"/>
        </w:rPr>
        <w:t xml:space="preserve"> </w:t>
      </w:r>
      <w:r w:rsidR="00681E92">
        <w:rPr>
          <w:rFonts w:ascii="Times New Roman" w:eastAsia="宋体" w:hAnsi="Times New Roman" w:cs="Times New Roman" w:hint="eastAsia"/>
          <w:szCs w:val="21"/>
        </w:rPr>
        <w:t>r</w:t>
      </w:r>
      <w:r w:rsidR="00681E92" w:rsidRPr="000D151B">
        <w:rPr>
          <w:rFonts w:ascii="Times New Roman" w:eastAsia="宋体" w:hAnsi="Times New Roman" w:cs="Times New Roman" w:hint="eastAsia"/>
          <w:szCs w:val="21"/>
        </w:rPr>
        <w:t>isk-</w:t>
      </w:r>
      <w:r w:rsidR="00681E92">
        <w:rPr>
          <w:rFonts w:ascii="Times New Roman" w:eastAsia="宋体" w:hAnsi="Times New Roman" w:cs="Times New Roman" w:hint="eastAsia"/>
          <w:szCs w:val="21"/>
        </w:rPr>
        <w:t>b</w:t>
      </w:r>
      <w:r w:rsidR="00681E92" w:rsidRPr="000D151B">
        <w:rPr>
          <w:rFonts w:ascii="Times New Roman" w:eastAsia="宋体" w:hAnsi="Times New Roman" w:cs="Times New Roman" w:hint="eastAsia"/>
          <w:szCs w:val="21"/>
        </w:rPr>
        <w:t>ased</w:t>
      </w:r>
      <w:r w:rsidR="00AB7920" w:rsidRPr="00C613BE">
        <w:rPr>
          <w:rFonts w:ascii="Times New Roman" w:eastAsia="宋体" w:hAnsi="Times New Roman" w:cs="Times New Roman"/>
          <w:szCs w:val="21"/>
        </w:rPr>
        <w:t>) on social equity. Finally, we construct equity-optimization pathways under projected cost reductions in energy storage and hydrogen production</w:t>
      </w:r>
      <w:r w:rsidR="0011570C">
        <w:rPr>
          <w:rFonts w:ascii="Times New Roman" w:eastAsia="宋体" w:hAnsi="Times New Roman" w:cs="Times New Roman" w:hint="eastAsia"/>
          <w:szCs w:val="21"/>
        </w:rPr>
        <w:t xml:space="preserve"> scenarios</w:t>
      </w:r>
      <w:r w:rsidR="00AB7920" w:rsidRPr="00C613BE">
        <w:rPr>
          <w:rFonts w:ascii="Times New Roman" w:eastAsia="宋体" w:hAnsi="Times New Roman" w:cs="Times New Roman"/>
          <w:szCs w:val="21"/>
        </w:rPr>
        <w:t>. This work provides novel perspectives and critical references for designing cost-effective, disaster-resilient, and equitable island energy systems</w:t>
      </w:r>
      <w:r w:rsidR="00C421F5">
        <w:rPr>
          <w:rFonts w:ascii="Times New Roman" w:eastAsia="宋体" w:hAnsi="Times New Roman" w:cs="Times New Roman" w:hint="eastAsia"/>
          <w:szCs w:val="21"/>
        </w:rPr>
        <w:t xml:space="preserve"> under</w:t>
      </w:r>
      <w:r w:rsidR="00AB7920" w:rsidRPr="00C613BE">
        <w:rPr>
          <w:rFonts w:ascii="Times New Roman" w:eastAsia="宋体" w:hAnsi="Times New Roman" w:cs="Times New Roman"/>
          <w:szCs w:val="21"/>
        </w:rPr>
        <w:t xml:space="preserve"> climate change and deep uncertainty.</w:t>
      </w:r>
    </w:p>
    <w:p w14:paraId="0561E8E5" w14:textId="31B7E120" w:rsidR="00D72A63" w:rsidRPr="00C613BE" w:rsidRDefault="00AD5146"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Fig.1 | Framework.</w:t>
      </w:r>
    </w:p>
    <w:p w14:paraId="78F82971" w14:textId="77777777" w:rsidR="00CB2EB1" w:rsidRDefault="00CB2EB1" w:rsidP="00C14660">
      <w:pPr>
        <w:rPr>
          <w:rFonts w:ascii="Times New Roman" w:hAnsi="Times New Roman" w:cs="Times New Roman"/>
          <w:szCs w:val="21"/>
        </w:rPr>
      </w:pPr>
    </w:p>
    <w:p w14:paraId="04D96FE0" w14:textId="77777777" w:rsidR="00B32821" w:rsidRDefault="00B32821" w:rsidP="00C14660">
      <w:pPr>
        <w:rPr>
          <w:rFonts w:ascii="Times New Roman" w:hAnsi="Times New Roman" w:cs="Times New Roman"/>
          <w:szCs w:val="21"/>
        </w:rPr>
      </w:pPr>
    </w:p>
    <w:p w14:paraId="00F8A9C6" w14:textId="77777777" w:rsidR="00B32821" w:rsidRPr="00C613BE" w:rsidRDefault="00B32821" w:rsidP="00C14660">
      <w:pPr>
        <w:rPr>
          <w:rFonts w:ascii="Times New Roman" w:hAnsi="Times New Roman" w:cs="Times New Roman"/>
          <w:szCs w:val="21"/>
        </w:rPr>
      </w:pPr>
    </w:p>
    <w:p w14:paraId="6814D611" w14:textId="4DACC160" w:rsidR="005E28C7" w:rsidRPr="00C613BE" w:rsidRDefault="00CF16D8" w:rsidP="00C14660">
      <w:pPr>
        <w:pStyle w:val="2"/>
        <w:spacing w:before="156" w:after="156" w:line="240" w:lineRule="auto"/>
        <w:rPr>
          <w:rFonts w:cs="Times New Roman"/>
          <w:sz w:val="21"/>
          <w:szCs w:val="21"/>
        </w:rPr>
      </w:pPr>
      <w:r w:rsidRPr="00C613BE">
        <w:rPr>
          <w:rFonts w:cs="Times New Roman"/>
          <w:sz w:val="21"/>
          <w:szCs w:val="21"/>
        </w:rPr>
        <w:t>Results</w:t>
      </w:r>
      <w:r w:rsidR="00B51221">
        <w:rPr>
          <w:rFonts w:cs="Times New Roman" w:hint="eastAsia"/>
          <w:sz w:val="21"/>
          <w:szCs w:val="21"/>
        </w:rPr>
        <w:t xml:space="preserve">  </w:t>
      </w:r>
    </w:p>
    <w:p w14:paraId="7ACB5915" w14:textId="6A3EFEAB" w:rsidR="00AB7920" w:rsidRDefault="00AB7920" w:rsidP="00C14660">
      <w:pPr>
        <w:jc w:val="left"/>
        <w:rPr>
          <w:rFonts w:ascii="Times New Roman" w:eastAsia="宋体" w:hAnsi="Times New Roman" w:cs="Times New Roman"/>
          <w:b/>
          <w:szCs w:val="21"/>
          <w14:ligatures w14:val="none"/>
        </w:rPr>
      </w:pPr>
      <w:r w:rsidRPr="00C613BE">
        <w:rPr>
          <w:rFonts w:ascii="Times New Roman" w:eastAsia="宋体" w:hAnsi="Times New Roman" w:cs="Times New Roman"/>
          <w:b/>
          <w:szCs w:val="21"/>
          <w14:ligatures w14:val="none"/>
        </w:rPr>
        <w:t xml:space="preserve">Spatial Heterogeneity in Per Capita Energy Investment </w:t>
      </w:r>
      <w:r w:rsidR="00990284">
        <w:rPr>
          <w:rFonts w:ascii="Times New Roman" w:eastAsia="宋体" w:hAnsi="Times New Roman" w:cs="Times New Roman" w:hint="eastAsia"/>
          <w:b/>
          <w:szCs w:val="21"/>
          <w14:ligatures w14:val="none"/>
        </w:rPr>
        <w:t xml:space="preserve">for </w:t>
      </w:r>
      <w:r w:rsidR="00990284" w:rsidRPr="00990284">
        <w:rPr>
          <w:rFonts w:ascii="Times New Roman" w:eastAsia="宋体" w:hAnsi="Times New Roman" w:cs="Times New Roman" w:hint="eastAsia"/>
          <w:b/>
          <w:szCs w:val="21"/>
          <w14:ligatures w14:val="none"/>
        </w:rPr>
        <w:t>Current Risk-Based</w:t>
      </w:r>
      <w:r w:rsidR="00990284">
        <w:rPr>
          <w:rFonts w:ascii="Times New Roman" w:eastAsia="宋体" w:hAnsi="Times New Roman" w:cs="Times New Roman" w:hint="eastAsia"/>
          <w:b/>
          <w:szCs w:val="21"/>
          <w14:ligatures w14:val="none"/>
        </w:rPr>
        <w:t xml:space="preserve"> Design</w:t>
      </w:r>
    </w:p>
    <w:p w14:paraId="4EE237CA" w14:textId="63011719" w:rsidR="007C13F4" w:rsidRDefault="00721139" w:rsidP="00C14660">
      <w:pPr>
        <w:jc w:val="left"/>
        <w:rPr>
          <w:rFonts w:ascii="Times New Roman" w:eastAsia="宋体" w:hAnsi="Times New Roman" w:cs="Times New Roman"/>
          <w:b/>
          <w:noProof/>
          <w:szCs w:val="21"/>
          <w14:ligatures w14:val="none"/>
        </w:rPr>
      </w:pPr>
      <w:r w:rsidRPr="00C613BE">
        <w:rPr>
          <w:rFonts w:ascii="Times New Roman" w:eastAsia="宋体" w:hAnsi="Times New Roman" w:cs="Times New Roman"/>
          <w:b/>
          <w:bCs/>
          <w:szCs w:val="21"/>
          <w14:ligatures w14:val="none"/>
        </w:rPr>
        <w:t xml:space="preserve">Fig.2 | </w:t>
      </w:r>
      <w:r w:rsidRPr="00185E0E">
        <w:rPr>
          <w:rFonts w:ascii="Times New Roman" w:eastAsia="宋体" w:hAnsi="Times New Roman" w:cs="Times New Roman" w:hint="eastAsia"/>
          <w:b/>
          <w:bCs/>
          <w:szCs w:val="21"/>
          <w14:ligatures w14:val="none"/>
        </w:rPr>
        <w:t>Geographic disparities in energy investment patterns under current risk-based scenario.</w:t>
      </w:r>
    </w:p>
    <w:p w14:paraId="1CBC9275" w14:textId="1C0F39DB" w:rsidR="00203C45" w:rsidRPr="001108C0" w:rsidRDefault="0033795C" w:rsidP="00C14660">
      <w:pPr>
        <w:jc w:val="center"/>
        <w:rPr>
          <w:rFonts w:ascii="Times New Roman" w:eastAsia="宋体" w:hAnsi="Times New Roman" w:cs="Times New Roman"/>
          <w:b/>
          <w:bCs/>
          <w:szCs w:val="21"/>
          <w14:ligatures w14:val="none"/>
        </w:rPr>
      </w:pPr>
      <w:r>
        <w:rPr>
          <w:rFonts w:ascii="Times New Roman" w:eastAsia="宋体" w:hAnsi="Times New Roman" w:cs="Times New Roman" w:hint="eastAsia"/>
          <w:b/>
          <w:bCs/>
          <w:szCs w:val="21"/>
          <w14:ligatures w14:val="none"/>
        </w:rPr>
        <w:lastRenderedPageBreak/>
        <w:t xml:space="preserve"> </w:t>
      </w:r>
      <w:r w:rsidR="005C03C5">
        <w:rPr>
          <w:rFonts w:ascii="Times New Roman" w:eastAsia="宋体" w:hAnsi="Times New Roman" w:cs="Times New Roman" w:hint="eastAsia"/>
          <w:b/>
          <w:bCs/>
          <w:szCs w:val="21"/>
          <w14:ligatures w14:val="none"/>
        </w:rPr>
        <w:t xml:space="preserve"> </w:t>
      </w:r>
      <w:r w:rsidR="00116E21">
        <w:rPr>
          <w:rFonts w:ascii="Times New Roman" w:eastAsia="宋体" w:hAnsi="Times New Roman" w:cs="Times New Roman" w:hint="eastAsia"/>
          <w:b/>
          <w:bCs/>
          <w:noProof/>
          <w:szCs w:val="21"/>
          <w14:ligatures w14:val="none"/>
        </w:rPr>
        <w:drawing>
          <wp:inline distT="0" distB="0" distL="0" distR="0" wp14:anchorId="14EABC63" wp14:editId="4754F363">
            <wp:extent cx="4134485" cy="8865870"/>
            <wp:effectExtent l="0" t="0" r="0" b="0"/>
            <wp:docPr id="2010900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4485" cy="8865870"/>
                    </a:xfrm>
                    <a:prstGeom prst="rect">
                      <a:avLst/>
                    </a:prstGeom>
                    <a:noFill/>
                    <a:ln>
                      <a:noFill/>
                    </a:ln>
                  </pic:spPr>
                </pic:pic>
              </a:graphicData>
            </a:graphic>
          </wp:inline>
        </w:drawing>
      </w:r>
    </w:p>
    <w:p w14:paraId="4191229D" w14:textId="024FFB0D" w:rsidR="007C671D" w:rsidRPr="00FF1F7A" w:rsidRDefault="007C671D" w:rsidP="00C14660">
      <w:pPr>
        <w:jc w:val="left"/>
        <w:rPr>
          <w:rFonts w:ascii="Times New Roman" w:eastAsia="宋体" w:hAnsi="Times New Roman" w:cs="Times New Roman"/>
          <w:szCs w:val="21"/>
          <w14:ligatures w14:val="none"/>
        </w:rPr>
      </w:pPr>
      <w:r w:rsidRPr="00C613BE">
        <w:rPr>
          <w:rFonts w:ascii="Times New Roman" w:eastAsia="宋体" w:hAnsi="Times New Roman" w:cs="Times New Roman"/>
          <w:b/>
          <w:bCs/>
          <w:szCs w:val="21"/>
          <w14:ligatures w14:val="none"/>
        </w:rPr>
        <w:lastRenderedPageBreak/>
        <w:t xml:space="preserve">a, </w:t>
      </w:r>
      <w:r w:rsidRPr="00721139">
        <w:rPr>
          <w:rFonts w:ascii="Times New Roman" w:eastAsia="宋体" w:hAnsi="Times New Roman" w:cs="Times New Roman"/>
          <w:szCs w:val="21"/>
          <w14:ligatures w14:val="none"/>
        </w:rPr>
        <w:t>Spatial distribution of per capita energy investment costs under</w:t>
      </w:r>
      <w:r w:rsidR="00185E0E" w:rsidRPr="00721139">
        <w:rPr>
          <w:rFonts w:ascii="Times New Roman" w:eastAsia="宋体" w:hAnsi="Times New Roman" w:cs="Times New Roman" w:hint="eastAsia"/>
          <w:szCs w:val="21"/>
          <w14:ligatures w14:val="none"/>
        </w:rPr>
        <w:t>current risk-based scenario</w:t>
      </w:r>
      <w:r w:rsidRPr="00721139">
        <w:rPr>
          <w:rFonts w:ascii="Times New Roman" w:eastAsia="宋体" w:hAnsi="Times New Roman" w:cs="Times New Roman"/>
          <w:szCs w:val="21"/>
          <w14:ligatures w14:val="none"/>
        </w:rPr>
        <w:t>. Dot colors represent investment intensity with darker colors indicating higher costs.</w:t>
      </w:r>
      <w:r w:rsidRPr="00C613BE">
        <w:rPr>
          <w:rFonts w:ascii="Times New Roman" w:eastAsia="宋体" w:hAnsi="Times New Roman" w:cs="Times New Roman"/>
          <w:b/>
          <w:bCs/>
          <w:szCs w:val="21"/>
          <w14:ligatures w14:val="none"/>
        </w:rPr>
        <w:t xml:space="preserve"> b, </w:t>
      </w:r>
      <w:r w:rsidR="00721139">
        <w:rPr>
          <w:rFonts w:ascii="Times New Roman" w:eastAsia="宋体" w:hAnsi="Times New Roman" w:cs="Times New Roman" w:hint="eastAsia"/>
          <w:b/>
          <w:bCs/>
          <w:szCs w:val="21"/>
          <w14:ligatures w14:val="none"/>
        </w:rPr>
        <w:t>c</w:t>
      </w:r>
      <w:r w:rsidR="00203C45">
        <w:rPr>
          <w:rFonts w:ascii="Times New Roman" w:eastAsia="宋体" w:hAnsi="Times New Roman" w:cs="Times New Roman" w:hint="eastAsia"/>
          <w:b/>
          <w:bCs/>
          <w:szCs w:val="21"/>
          <w14:ligatures w14:val="none"/>
        </w:rPr>
        <w:t>,</w:t>
      </w:r>
      <w:r w:rsidR="00721139">
        <w:rPr>
          <w:rFonts w:ascii="Times New Roman" w:eastAsia="宋体" w:hAnsi="Times New Roman" w:cs="Times New Roman" w:hint="eastAsia"/>
          <w:b/>
          <w:bCs/>
          <w:szCs w:val="21"/>
          <w14:ligatures w14:val="none"/>
        </w:rPr>
        <w:t xml:space="preserve"> </w:t>
      </w:r>
      <w:r w:rsidR="00721139" w:rsidRPr="00721139">
        <w:rPr>
          <w:rFonts w:ascii="Times New Roman" w:eastAsia="宋体" w:hAnsi="Times New Roman" w:cs="Times New Roman" w:hint="eastAsia"/>
          <w:szCs w:val="21"/>
          <w14:ligatures w14:val="none"/>
        </w:rPr>
        <w:t xml:space="preserve">Latitudinal (b) and longitudinal (c) variations in </w:t>
      </w:r>
      <w:r w:rsidR="00721139">
        <w:rPr>
          <w:rFonts w:ascii="Times New Roman" w:eastAsia="宋体" w:hAnsi="Times New Roman" w:cs="Times New Roman" w:hint="eastAsia"/>
          <w:szCs w:val="21"/>
          <w14:ligatures w14:val="none"/>
        </w:rPr>
        <w:t>average investment per capita</w:t>
      </w:r>
      <w:r w:rsidR="00721139" w:rsidRPr="00721139">
        <w:rPr>
          <w:rFonts w:ascii="Times New Roman" w:eastAsia="宋体" w:hAnsi="Times New Roman" w:cs="Times New Roman" w:hint="eastAsia"/>
          <w:szCs w:val="21"/>
          <w14:ligatures w14:val="none"/>
        </w:rPr>
        <w:t>.</w:t>
      </w:r>
      <w:r w:rsidR="00203C45">
        <w:rPr>
          <w:rFonts w:ascii="Times New Roman" w:eastAsia="宋体" w:hAnsi="Times New Roman" w:cs="Times New Roman" w:hint="eastAsia"/>
          <w:szCs w:val="21"/>
          <w14:ligatures w14:val="none"/>
        </w:rPr>
        <w:t xml:space="preserve"> </w:t>
      </w:r>
      <w:r w:rsidR="00203C45" w:rsidRPr="00203C45">
        <w:rPr>
          <w:rFonts w:ascii="Times New Roman" w:eastAsia="宋体" w:hAnsi="Times New Roman" w:cs="Times New Roman" w:hint="eastAsia"/>
          <w:b/>
          <w:bCs/>
          <w:szCs w:val="21"/>
          <w14:ligatures w14:val="none"/>
        </w:rPr>
        <w:t>d,</w:t>
      </w:r>
      <w:r w:rsidR="00203C45">
        <w:rPr>
          <w:rFonts w:ascii="Times New Roman" w:eastAsia="宋体" w:hAnsi="Times New Roman" w:cs="Times New Roman" w:hint="eastAsia"/>
          <w:b/>
          <w:bCs/>
          <w:szCs w:val="21"/>
          <w14:ligatures w14:val="none"/>
        </w:rPr>
        <w:t xml:space="preserve"> </w:t>
      </w:r>
      <w:r w:rsidR="00203C45" w:rsidRPr="00203C45">
        <w:rPr>
          <w:rFonts w:ascii="Times New Roman" w:eastAsia="宋体" w:hAnsi="Times New Roman" w:cs="Times New Roman" w:hint="eastAsia"/>
          <w:szCs w:val="21"/>
          <w14:ligatures w14:val="none"/>
        </w:rPr>
        <w:t>Cost breakdown of renewable energy systems across different island locations and oceanic regions.</w:t>
      </w:r>
      <w:r w:rsidR="00FF1F7A" w:rsidRPr="00FF1F7A">
        <w:rPr>
          <w:rFonts w:ascii="Times New Roman" w:eastAsia="宋体" w:hAnsi="Times New Roman" w:cs="Times New Roman" w:hint="eastAsia"/>
          <w:szCs w:val="21"/>
          <w14:ligatures w14:val="none"/>
        </w:rPr>
        <w:t xml:space="preserve"> The stacked bar charts illustrate the total system costs across island locations, while the corresponding donut charts represent the proportional distribution of average cost components across oceanic regions. All costs are disaggregated into six categories: Renewable Cost (blue), Storage Cost (green), LNG Cost (gray), Other Equipment Cost (purple), Discard Cost (orange), and Load Shedding Cost (red).</w:t>
      </w:r>
    </w:p>
    <w:p w14:paraId="155F4C28" w14:textId="77777777" w:rsidR="00156851" w:rsidRPr="00156851" w:rsidRDefault="00156851" w:rsidP="00156851">
      <w:pPr>
        <w:ind w:firstLine="420"/>
        <w:jc w:val="left"/>
        <w:rPr>
          <w:rFonts w:ascii="Times New Roman" w:eastAsia="宋体" w:hAnsi="Times New Roman" w:cs="Times New Roman"/>
          <w:szCs w:val="21"/>
        </w:rPr>
      </w:pPr>
      <w:r w:rsidRPr="00156851">
        <w:rPr>
          <w:rFonts w:ascii="Times New Roman" w:eastAsia="宋体" w:hAnsi="Times New Roman" w:cs="Times New Roman"/>
          <w:szCs w:val="21"/>
        </w:rPr>
        <w:t>Our optimization analysis of global island energy systems under current disaster risk reveals significant spatial inequality in investment. This inequality manifests as pronounced latitudinal and regional disparities in per capita investment costs.</w:t>
      </w:r>
    </w:p>
    <w:p w14:paraId="03F94D7D" w14:textId="77777777" w:rsidR="00156851" w:rsidRPr="00156851" w:rsidRDefault="00156851" w:rsidP="00156851">
      <w:pPr>
        <w:ind w:firstLine="420"/>
        <w:jc w:val="left"/>
        <w:rPr>
          <w:rFonts w:ascii="Times New Roman" w:eastAsia="宋体" w:hAnsi="Times New Roman" w:cs="Times New Roman"/>
          <w:szCs w:val="21"/>
        </w:rPr>
      </w:pPr>
      <w:r w:rsidRPr="00156851">
        <w:rPr>
          <w:rFonts w:ascii="Times New Roman" w:eastAsia="宋体" w:hAnsi="Times New Roman" w:cs="Times New Roman"/>
          <w:szCs w:val="21"/>
        </w:rPr>
        <w:t>Under the current risk scenario, a distinct pattern of spatial heterogeneity emerges in per capita energy system investment costs across global islands (Fig. 2a). Islands with the highest per capita investment are predominantly concentrated in the North Atlantic, the Northwest Pacific, and the Central Pacific. These include islands in high-latitude or extremely remote offshore regions, such as Greenland, the United Kingdom, parts of Alaska (USA), and Fiji. Notably, this latitudinal effect is substantial: islands situated above 60° latitude require per capita energy investment costs approximately two to three times higher than those below this threshold (Fig. 2b), underscoring the profound influence of latitude on investment requirements.</w:t>
      </w:r>
    </w:p>
    <w:p w14:paraId="0E1E554F" w14:textId="77777777" w:rsidR="00156851" w:rsidRPr="00156851" w:rsidRDefault="00156851" w:rsidP="00156851">
      <w:pPr>
        <w:ind w:firstLine="420"/>
        <w:jc w:val="left"/>
        <w:rPr>
          <w:rFonts w:ascii="Times New Roman" w:eastAsia="宋体" w:hAnsi="Times New Roman" w:cs="Times New Roman"/>
          <w:szCs w:val="21"/>
        </w:rPr>
      </w:pPr>
      <w:r w:rsidRPr="00156851">
        <w:rPr>
          <w:rFonts w:ascii="Times New Roman" w:eastAsia="宋体" w:hAnsi="Times New Roman" w:cs="Times New Roman"/>
          <w:szCs w:val="21"/>
        </w:rPr>
        <w:t>Islands with moderate investment levels are concentrated in the Northwest Atlantic, the Western Pacific, and the Southwest Indian Ocean, encompassing regions like southeastern China, southern Japan, Indonesia, and the southeastern United States. On average, their per capita investment costs are 1.5 times those of the lowest-cost islands. These low-cost islands, in turn, are more broadly distributed, with significant clusters in the Central Atlantic, the Southwestern United States, and the Mediterranean region (Fig. 2c, d).</w:t>
      </w:r>
    </w:p>
    <w:p w14:paraId="3CBB6136" w14:textId="77777777" w:rsidR="00156851" w:rsidRPr="00156851" w:rsidRDefault="00156851" w:rsidP="00156851">
      <w:pPr>
        <w:ind w:firstLine="420"/>
        <w:jc w:val="left"/>
        <w:rPr>
          <w:rFonts w:ascii="Times New Roman" w:eastAsia="宋体" w:hAnsi="Times New Roman" w:cs="Times New Roman"/>
          <w:szCs w:val="21"/>
        </w:rPr>
      </w:pPr>
      <w:r w:rsidRPr="00156851">
        <w:rPr>
          <w:rFonts w:ascii="Times New Roman" w:eastAsia="宋体" w:hAnsi="Times New Roman" w:cs="Times New Roman"/>
          <w:szCs w:val="21"/>
        </w:rPr>
        <w:t>To understand the drivers of these disparities, we decomposed the total investment into six technology categories (Fig. 2d). This analysis shows that latitudinal and regional factors predominantly influence the costs of energy storage and Liquefied Natural Gas (LNG) infrastructure. Specifically, both energy storage and LNG costs are substantially elevated for islands above 60° latitude compared to their lower-latitude counterparts. In contrast, islands in the South Pacific Ocean (SPO) region exhibit high energy storage costs but exceptionally low LNG-related investment, highlighting a distinct regional cost structure that contributes to the overall global inequality.</w:t>
      </w:r>
    </w:p>
    <w:p w14:paraId="7E4EF58D" w14:textId="77777777" w:rsidR="008C601F" w:rsidRPr="00156851" w:rsidRDefault="008C601F" w:rsidP="00C14660">
      <w:pPr>
        <w:jc w:val="left"/>
        <w:rPr>
          <w:rFonts w:ascii="Times New Roman" w:eastAsia="宋体" w:hAnsi="Times New Roman" w:cs="Times New Roman"/>
          <w:szCs w:val="21"/>
        </w:rPr>
      </w:pPr>
    </w:p>
    <w:p w14:paraId="49795F12" w14:textId="77777777" w:rsidR="008C601F" w:rsidRDefault="008C601F" w:rsidP="00C14660">
      <w:pPr>
        <w:jc w:val="left"/>
        <w:rPr>
          <w:rFonts w:ascii="Times New Roman" w:eastAsia="宋体" w:hAnsi="Times New Roman" w:cs="Times New Roman"/>
          <w:szCs w:val="21"/>
        </w:rPr>
      </w:pPr>
    </w:p>
    <w:p w14:paraId="6BE6632C" w14:textId="21AD5062" w:rsidR="008C601F" w:rsidRDefault="008C601F" w:rsidP="00C14660">
      <w:pPr>
        <w:jc w:val="left"/>
        <w:rPr>
          <w:rFonts w:ascii="Times New Roman" w:eastAsia="宋体" w:hAnsi="Times New Roman" w:cs="Times New Roman"/>
          <w:szCs w:val="21"/>
        </w:rPr>
      </w:pPr>
    </w:p>
    <w:p w14:paraId="06275154" w14:textId="77777777" w:rsidR="008C601F" w:rsidRDefault="008C601F" w:rsidP="00C14660">
      <w:pPr>
        <w:jc w:val="left"/>
        <w:rPr>
          <w:rFonts w:ascii="Times New Roman" w:eastAsia="宋体" w:hAnsi="Times New Roman" w:cs="Times New Roman"/>
          <w:szCs w:val="21"/>
        </w:rPr>
      </w:pPr>
    </w:p>
    <w:p w14:paraId="7EF82A89" w14:textId="4046AEA4" w:rsidR="008C601F" w:rsidRDefault="008C601F" w:rsidP="00C14660">
      <w:pPr>
        <w:jc w:val="left"/>
        <w:rPr>
          <w:rFonts w:ascii="Times New Roman" w:eastAsia="宋体" w:hAnsi="Times New Roman" w:cs="Times New Roman"/>
          <w:szCs w:val="21"/>
        </w:rPr>
      </w:pPr>
    </w:p>
    <w:p w14:paraId="2AEDFDA4" w14:textId="338BC093" w:rsidR="008C601F" w:rsidRDefault="008C601F" w:rsidP="00C14660">
      <w:pPr>
        <w:jc w:val="left"/>
        <w:rPr>
          <w:rFonts w:ascii="Times New Roman" w:eastAsia="宋体" w:hAnsi="Times New Roman" w:cs="Times New Roman"/>
          <w:szCs w:val="21"/>
        </w:rPr>
      </w:pPr>
    </w:p>
    <w:p w14:paraId="31BEB616" w14:textId="77777777" w:rsidR="008C601F" w:rsidRDefault="008C601F" w:rsidP="00C14660">
      <w:pPr>
        <w:jc w:val="left"/>
        <w:rPr>
          <w:rFonts w:ascii="Times New Roman" w:eastAsia="宋体" w:hAnsi="Times New Roman" w:cs="Times New Roman"/>
          <w:szCs w:val="21"/>
        </w:rPr>
      </w:pPr>
    </w:p>
    <w:p w14:paraId="7A55778A" w14:textId="77777777" w:rsidR="008C601F" w:rsidRDefault="008C601F" w:rsidP="00C14660">
      <w:pPr>
        <w:jc w:val="left"/>
        <w:rPr>
          <w:rFonts w:ascii="Times New Roman" w:eastAsia="宋体" w:hAnsi="Times New Roman" w:cs="Times New Roman"/>
          <w:szCs w:val="21"/>
        </w:rPr>
      </w:pPr>
    </w:p>
    <w:p w14:paraId="647E613B" w14:textId="77777777" w:rsidR="008C601F" w:rsidRDefault="008C601F" w:rsidP="00C14660">
      <w:pPr>
        <w:jc w:val="left"/>
        <w:rPr>
          <w:rFonts w:ascii="Times New Roman" w:eastAsia="宋体" w:hAnsi="Times New Roman" w:cs="Times New Roman"/>
          <w:szCs w:val="21"/>
        </w:rPr>
      </w:pPr>
    </w:p>
    <w:p w14:paraId="6E4AE275" w14:textId="77777777" w:rsidR="00B97BCA" w:rsidRDefault="00B97BCA" w:rsidP="00C14660">
      <w:pPr>
        <w:jc w:val="left"/>
        <w:rPr>
          <w:rFonts w:ascii="Times New Roman" w:eastAsia="宋体" w:hAnsi="Times New Roman" w:cs="Times New Roman"/>
          <w:szCs w:val="21"/>
        </w:rPr>
      </w:pPr>
    </w:p>
    <w:p w14:paraId="7250563A" w14:textId="78480D48" w:rsidR="008C601F" w:rsidRPr="008C601F" w:rsidRDefault="008C601F"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lastRenderedPageBreak/>
        <w:t>Fig.3 | Global island energy demand patterns and renewable resource characteristics.</w:t>
      </w:r>
    </w:p>
    <w:p w14:paraId="4D4A4065" w14:textId="5EC329D4" w:rsidR="0064517C" w:rsidRPr="00C613BE" w:rsidRDefault="00116E21" w:rsidP="00C14660">
      <w:pPr>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6BBC4A4B" wp14:editId="05346D62">
            <wp:extent cx="5271770" cy="8555355"/>
            <wp:effectExtent l="0" t="0" r="5080" b="0"/>
            <wp:docPr id="1034527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1770" cy="8555355"/>
                    </a:xfrm>
                    <a:prstGeom prst="rect">
                      <a:avLst/>
                    </a:prstGeom>
                    <a:noFill/>
                    <a:ln>
                      <a:noFill/>
                    </a:ln>
                  </pic:spPr>
                </pic:pic>
              </a:graphicData>
            </a:graphic>
          </wp:inline>
        </w:drawing>
      </w:r>
    </w:p>
    <w:p w14:paraId="0A9256B7" w14:textId="0F35CF55" w:rsidR="00055D5C" w:rsidRDefault="008E1A25" w:rsidP="00C14660">
      <w:pPr>
        <w:rPr>
          <w:rFonts w:ascii="Times New Roman" w:eastAsia="宋体" w:hAnsi="Times New Roman" w:cs="Times New Roman"/>
          <w:szCs w:val="21"/>
          <w14:ligatures w14:val="none"/>
        </w:rPr>
      </w:pPr>
      <w:r w:rsidRPr="00C613BE">
        <w:rPr>
          <w:rFonts w:ascii="Times New Roman" w:eastAsia="宋体" w:hAnsi="Times New Roman" w:cs="Times New Roman"/>
          <w:b/>
          <w:bCs/>
          <w:szCs w:val="21"/>
          <w14:ligatures w14:val="none"/>
        </w:rPr>
        <w:lastRenderedPageBreak/>
        <w:t xml:space="preserve">a, </w:t>
      </w:r>
      <w:r w:rsidRPr="002F7CB1">
        <w:rPr>
          <w:rFonts w:ascii="Times New Roman" w:eastAsia="宋体" w:hAnsi="Times New Roman" w:cs="Times New Roman"/>
          <w:szCs w:val="21"/>
          <w14:ligatures w14:val="none"/>
        </w:rPr>
        <w:t>Geographic distribution of dominant energy demand types across global islands</w:t>
      </w:r>
      <w:r w:rsidR="00FD4005">
        <w:rPr>
          <w:rFonts w:ascii="Times New Roman" w:eastAsia="宋体" w:hAnsi="Times New Roman" w:cs="Times New Roman" w:hint="eastAsia"/>
          <w:szCs w:val="21"/>
          <w14:ligatures w14:val="none"/>
        </w:rPr>
        <w:t xml:space="preserve"> in 2020</w:t>
      </w:r>
      <w:r w:rsidRPr="002F7CB1">
        <w:rPr>
          <w:rFonts w:ascii="Times New Roman" w:eastAsia="宋体" w:hAnsi="Times New Roman" w:cs="Times New Roman"/>
          <w:szCs w:val="21"/>
          <w14:ligatures w14:val="none"/>
        </w:rPr>
        <w:t xml:space="preserve">. Blue dots represent islands with primarily cooling demand, while red dots indicate islands with primarily heating demand. The size of dots corresponds to the per capita energy demand intensity. </w:t>
      </w:r>
      <w:r w:rsidRPr="00C613BE">
        <w:rPr>
          <w:rFonts w:ascii="Times New Roman" w:eastAsia="宋体" w:hAnsi="Times New Roman" w:cs="Times New Roman"/>
          <w:b/>
          <w:bCs/>
          <w:szCs w:val="21"/>
          <w14:ligatures w14:val="none"/>
        </w:rPr>
        <w:t xml:space="preserve">b, </w:t>
      </w:r>
      <w:r w:rsidRPr="002F7CB1">
        <w:rPr>
          <w:rFonts w:ascii="Times New Roman" w:eastAsia="宋体" w:hAnsi="Times New Roman" w:cs="Times New Roman"/>
          <w:szCs w:val="21"/>
          <w14:ligatures w14:val="none"/>
        </w:rPr>
        <w:t xml:space="preserve">Cumulative installation of </w:t>
      </w:r>
      <w:r w:rsidR="002F7CB1">
        <w:rPr>
          <w:rFonts w:ascii="Times New Roman" w:eastAsia="宋体" w:hAnsi="Times New Roman" w:cs="Times New Roman" w:hint="eastAsia"/>
          <w:szCs w:val="21"/>
          <w14:ligatures w14:val="none"/>
        </w:rPr>
        <w:t xml:space="preserve">renewable </w:t>
      </w:r>
      <w:r w:rsidRPr="002F7CB1">
        <w:rPr>
          <w:rFonts w:ascii="Times New Roman" w:eastAsia="宋体" w:hAnsi="Times New Roman" w:cs="Times New Roman"/>
          <w:szCs w:val="21"/>
          <w14:ligatures w14:val="none"/>
        </w:rPr>
        <w:t xml:space="preserve">energy resources across global islands </w:t>
      </w:r>
      <w:r w:rsidR="00900EE6">
        <w:rPr>
          <w:rFonts w:ascii="Times New Roman" w:eastAsia="宋体" w:hAnsi="Times New Roman" w:cs="Times New Roman" w:hint="eastAsia"/>
          <w:szCs w:val="21"/>
          <w14:ligatures w14:val="none"/>
        </w:rPr>
        <w:t>under current risk-based scenario</w:t>
      </w:r>
      <w:r w:rsidRPr="002F7CB1">
        <w:rPr>
          <w:rFonts w:ascii="Times New Roman" w:eastAsia="宋体" w:hAnsi="Times New Roman" w:cs="Times New Roman"/>
          <w:szCs w:val="21"/>
          <w14:ligatures w14:val="none"/>
        </w:rPr>
        <w:t>. Pie charts show the proportional mix of different energy technologies: wind turbines (WT, light blue), solar photovoltaics (PV, yellow)</w:t>
      </w:r>
      <w:r w:rsidR="008328C0">
        <w:rPr>
          <w:rFonts w:ascii="Times New Roman" w:eastAsia="宋体" w:hAnsi="Times New Roman" w:cs="Times New Roman" w:hint="eastAsia"/>
          <w:szCs w:val="21"/>
          <w14:ligatures w14:val="none"/>
        </w:rPr>
        <w:t xml:space="preserve"> and</w:t>
      </w:r>
      <w:r w:rsidRPr="002F7CB1">
        <w:rPr>
          <w:rFonts w:ascii="Times New Roman" w:eastAsia="宋体" w:hAnsi="Times New Roman" w:cs="Times New Roman"/>
          <w:szCs w:val="21"/>
          <w14:ligatures w14:val="none"/>
        </w:rPr>
        <w:t xml:space="preserve"> wave energy (WAVE, blue)</w:t>
      </w:r>
      <w:r w:rsidR="008328C0">
        <w:rPr>
          <w:rFonts w:ascii="Times New Roman" w:eastAsia="宋体" w:hAnsi="Times New Roman" w:cs="Times New Roman" w:hint="eastAsia"/>
          <w:szCs w:val="21"/>
          <w14:ligatures w14:val="none"/>
        </w:rPr>
        <w:t>.</w:t>
      </w:r>
      <w:r w:rsidRPr="002F7CB1">
        <w:rPr>
          <w:rFonts w:ascii="Times New Roman" w:eastAsia="宋体" w:hAnsi="Times New Roman" w:cs="Times New Roman"/>
          <w:szCs w:val="21"/>
          <w14:ligatures w14:val="none"/>
        </w:rPr>
        <w:t xml:space="preserve"> The size of each pie chart represents the total energy capacity.</w:t>
      </w:r>
      <w:r w:rsidRPr="00C613BE">
        <w:rPr>
          <w:rFonts w:ascii="Times New Roman" w:eastAsia="宋体" w:hAnsi="Times New Roman" w:cs="Times New Roman"/>
          <w:b/>
          <w:bCs/>
          <w:szCs w:val="21"/>
          <w14:ligatures w14:val="none"/>
        </w:rPr>
        <w:t xml:space="preserve"> c, </w:t>
      </w:r>
      <w:r w:rsidR="00055D5C" w:rsidRPr="00055D5C">
        <w:rPr>
          <w:rFonts w:ascii="Times New Roman" w:eastAsia="宋体" w:hAnsi="Times New Roman" w:cs="Times New Roman" w:hint="eastAsia"/>
          <w:szCs w:val="21"/>
          <w14:ligatures w14:val="none"/>
        </w:rPr>
        <w:t xml:space="preserve">Seasonal variations in wind energy potential across diverse geographical locations. </w:t>
      </w:r>
      <w:r w:rsidR="00F32FF3" w:rsidRPr="00F32FF3">
        <w:rPr>
          <w:rFonts w:ascii="Times New Roman" w:eastAsia="宋体" w:hAnsi="Times New Roman" w:cs="Times New Roman" w:hint="eastAsia"/>
          <w:szCs w:val="21"/>
          <w14:ligatures w14:val="none"/>
        </w:rPr>
        <w:t>The figure presents violin and box plots depicting the distribution of wind energy resources across spring (green), summer (yellow), autumn (orange), and winter (blue-gray). The Winter/Summer ratio (%) indicated below each panel quantifies the seasonal variability by comparing winter to summer wind energy potential.</w:t>
      </w:r>
    </w:p>
    <w:p w14:paraId="398E2645" w14:textId="4ED98A10" w:rsidR="00AB7920" w:rsidRPr="00C613BE" w:rsidRDefault="00AB7920"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Our systematic analysis identifies the core drivers underpinning this spatial heterogeneity in island energy system investment costs, collectively forming the structural mechanisms shaping the global pattern.</w:t>
      </w:r>
    </w:p>
    <w:p w14:paraId="1F78D775" w14:textId="77777777" w:rsidR="005B3730" w:rsidRDefault="00AB7920" w:rsidP="005B373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Firstly</w:t>
      </w:r>
      <w:r w:rsidR="00670686" w:rsidRPr="00C613BE">
        <w:rPr>
          <w:rFonts w:ascii="Times New Roman" w:eastAsia="宋体" w:hAnsi="Times New Roman" w:cs="Times New Roman"/>
          <w:szCs w:val="21"/>
        </w:rPr>
        <w:t>，</w:t>
      </w:r>
      <w:r w:rsidRPr="00C613BE">
        <w:rPr>
          <w:rFonts w:ascii="Times New Roman" w:eastAsia="宋体" w:hAnsi="Times New Roman" w:cs="Times New Roman"/>
          <w:szCs w:val="21"/>
        </w:rPr>
        <w:t>differences in climate and consequent energy demand structure constitute fundamental drivers. Islands at higher latitudes face harsher low-temperature conditions, leading to a significantly higher proportion of heating demand in their energy consumption mix (Fig. 3a). In our case islands, heating constitutes 100% of total energy demand for those above 40° latitude, while only islands in southeastern China and the eastern US below 40° latitude exhibit minor heating needs. This demand structure necessitates larger-capacity energy supply systems and reliance on purchasing LNG (liquefied natural gas) for heating in high-latitude islands, thereby increasing unit investment costs. Under the baseline scenario, LNG-related costs for islands above 40° latitude are significantly higher—averaging six times those of low-latitude islands (Fig. 2</w:t>
      </w:r>
      <w:r w:rsidR="00B97BCA">
        <w:rPr>
          <w:rFonts w:ascii="Times New Roman" w:eastAsia="宋体" w:hAnsi="Times New Roman" w:cs="Times New Roman" w:hint="eastAsia"/>
          <w:szCs w:val="21"/>
        </w:rPr>
        <w:t>d</w:t>
      </w:r>
      <w:r w:rsidRPr="00C613BE">
        <w:rPr>
          <w:rFonts w:ascii="Times New Roman" w:eastAsia="宋体" w:hAnsi="Times New Roman" w:cs="Times New Roman"/>
          <w:szCs w:val="21"/>
        </w:rPr>
        <w:t>).</w:t>
      </w:r>
    </w:p>
    <w:p w14:paraId="487A421F" w14:textId="77777777" w:rsidR="005B3730" w:rsidRDefault="005B3730" w:rsidP="005B3730">
      <w:pPr>
        <w:rPr>
          <w:rFonts w:ascii="Times New Roman" w:eastAsia="宋体" w:hAnsi="Times New Roman" w:cs="Times New Roman"/>
          <w:szCs w:val="21"/>
        </w:rPr>
      </w:pPr>
    </w:p>
    <w:p w14:paraId="726AE733" w14:textId="77777777" w:rsidR="005B3730" w:rsidRDefault="005B3730" w:rsidP="005B3730">
      <w:pPr>
        <w:rPr>
          <w:rFonts w:ascii="Times New Roman" w:eastAsia="宋体" w:hAnsi="Times New Roman" w:cs="Times New Roman"/>
          <w:szCs w:val="21"/>
        </w:rPr>
      </w:pPr>
    </w:p>
    <w:p w14:paraId="1CF0D0E4" w14:textId="77777777" w:rsidR="005B3730" w:rsidRDefault="005B3730" w:rsidP="005B3730">
      <w:pPr>
        <w:rPr>
          <w:rFonts w:ascii="Times New Roman" w:eastAsia="宋体" w:hAnsi="Times New Roman" w:cs="Times New Roman"/>
          <w:szCs w:val="21"/>
        </w:rPr>
      </w:pPr>
    </w:p>
    <w:p w14:paraId="2496826A" w14:textId="77777777" w:rsidR="005B3730" w:rsidRDefault="005B3730" w:rsidP="005B3730">
      <w:pPr>
        <w:rPr>
          <w:rFonts w:ascii="Times New Roman" w:eastAsia="宋体" w:hAnsi="Times New Roman" w:cs="Times New Roman"/>
          <w:szCs w:val="21"/>
        </w:rPr>
      </w:pPr>
    </w:p>
    <w:p w14:paraId="0920A4FD" w14:textId="77777777" w:rsidR="005B3730" w:rsidRDefault="005B3730" w:rsidP="005B3730">
      <w:pPr>
        <w:rPr>
          <w:rFonts w:ascii="Times New Roman" w:eastAsia="宋体" w:hAnsi="Times New Roman" w:cs="Times New Roman"/>
          <w:szCs w:val="21"/>
        </w:rPr>
      </w:pPr>
    </w:p>
    <w:p w14:paraId="213F0098" w14:textId="77777777" w:rsidR="005B3730" w:rsidRDefault="005B3730" w:rsidP="005B3730">
      <w:pPr>
        <w:rPr>
          <w:rFonts w:ascii="Times New Roman" w:eastAsia="宋体" w:hAnsi="Times New Roman" w:cs="Times New Roman"/>
          <w:szCs w:val="21"/>
        </w:rPr>
      </w:pPr>
    </w:p>
    <w:p w14:paraId="5A8F19F6" w14:textId="77777777" w:rsidR="005B3730" w:rsidRDefault="005B3730" w:rsidP="005B3730">
      <w:pPr>
        <w:rPr>
          <w:rFonts w:ascii="Times New Roman" w:eastAsia="宋体" w:hAnsi="Times New Roman" w:cs="Times New Roman"/>
          <w:szCs w:val="21"/>
        </w:rPr>
      </w:pPr>
    </w:p>
    <w:p w14:paraId="4670E428" w14:textId="77777777" w:rsidR="005B3730" w:rsidRDefault="005B3730" w:rsidP="005B3730">
      <w:pPr>
        <w:rPr>
          <w:rFonts w:ascii="Times New Roman" w:eastAsia="宋体" w:hAnsi="Times New Roman" w:cs="Times New Roman"/>
          <w:szCs w:val="21"/>
        </w:rPr>
      </w:pPr>
    </w:p>
    <w:p w14:paraId="7E8D7A9B" w14:textId="77777777" w:rsidR="005B3730" w:rsidRDefault="005B3730" w:rsidP="005B3730">
      <w:pPr>
        <w:rPr>
          <w:rFonts w:ascii="Times New Roman" w:eastAsia="宋体" w:hAnsi="Times New Roman" w:cs="Times New Roman"/>
          <w:szCs w:val="21"/>
        </w:rPr>
      </w:pPr>
    </w:p>
    <w:p w14:paraId="2BEFE7A7" w14:textId="77777777" w:rsidR="005B3730" w:rsidRDefault="005B3730" w:rsidP="005B3730">
      <w:pPr>
        <w:rPr>
          <w:rFonts w:ascii="Times New Roman" w:eastAsia="宋体" w:hAnsi="Times New Roman" w:cs="Times New Roman"/>
          <w:szCs w:val="21"/>
        </w:rPr>
      </w:pPr>
    </w:p>
    <w:p w14:paraId="0963D5EF" w14:textId="77777777" w:rsidR="005B3730" w:rsidRDefault="005B3730" w:rsidP="005B3730">
      <w:pPr>
        <w:rPr>
          <w:rFonts w:ascii="Times New Roman" w:eastAsia="宋体" w:hAnsi="Times New Roman" w:cs="Times New Roman"/>
          <w:szCs w:val="21"/>
        </w:rPr>
      </w:pPr>
    </w:p>
    <w:p w14:paraId="2D60F33E" w14:textId="77777777" w:rsidR="005B3730" w:rsidRDefault="005B3730" w:rsidP="005B3730">
      <w:pPr>
        <w:rPr>
          <w:rFonts w:ascii="Times New Roman" w:eastAsia="宋体" w:hAnsi="Times New Roman" w:cs="Times New Roman"/>
          <w:szCs w:val="21"/>
        </w:rPr>
      </w:pPr>
    </w:p>
    <w:p w14:paraId="39F2E3C3" w14:textId="77777777" w:rsidR="005B3730" w:rsidRDefault="005B3730" w:rsidP="005B3730">
      <w:pPr>
        <w:rPr>
          <w:rFonts w:ascii="Times New Roman" w:eastAsia="宋体" w:hAnsi="Times New Roman" w:cs="Times New Roman"/>
          <w:szCs w:val="21"/>
        </w:rPr>
      </w:pPr>
    </w:p>
    <w:p w14:paraId="683854EE" w14:textId="77777777" w:rsidR="005B3730" w:rsidRDefault="005B3730" w:rsidP="005B3730">
      <w:pPr>
        <w:rPr>
          <w:rFonts w:ascii="Times New Roman" w:eastAsia="宋体" w:hAnsi="Times New Roman" w:cs="Times New Roman"/>
          <w:szCs w:val="21"/>
        </w:rPr>
      </w:pPr>
    </w:p>
    <w:p w14:paraId="48EC9CD9" w14:textId="77777777" w:rsidR="005B3730" w:rsidRDefault="005B3730" w:rsidP="005B3730">
      <w:pPr>
        <w:rPr>
          <w:rFonts w:ascii="Times New Roman" w:eastAsia="宋体" w:hAnsi="Times New Roman" w:cs="Times New Roman"/>
          <w:szCs w:val="21"/>
        </w:rPr>
      </w:pPr>
    </w:p>
    <w:p w14:paraId="0A2989F0" w14:textId="77777777" w:rsidR="005B3730" w:rsidRDefault="005B3730" w:rsidP="005B3730">
      <w:pPr>
        <w:rPr>
          <w:rFonts w:ascii="Times New Roman" w:eastAsia="宋体" w:hAnsi="Times New Roman" w:cs="Times New Roman"/>
          <w:szCs w:val="21"/>
        </w:rPr>
      </w:pPr>
    </w:p>
    <w:p w14:paraId="115B983A" w14:textId="77777777" w:rsidR="005B3730" w:rsidRDefault="005B3730" w:rsidP="005B3730">
      <w:pPr>
        <w:rPr>
          <w:rFonts w:ascii="Times New Roman" w:eastAsia="宋体" w:hAnsi="Times New Roman" w:cs="Times New Roman"/>
          <w:szCs w:val="21"/>
        </w:rPr>
      </w:pPr>
    </w:p>
    <w:p w14:paraId="45F00365" w14:textId="77777777" w:rsidR="005B3730" w:rsidRDefault="005B3730" w:rsidP="005B3730">
      <w:pPr>
        <w:rPr>
          <w:rFonts w:ascii="Times New Roman" w:eastAsia="宋体" w:hAnsi="Times New Roman" w:cs="Times New Roman"/>
          <w:szCs w:val="21"/>
        </w:rPr>
      </w:pPr>
    </w:p>
    <w:p w14:paraId="746E704D" w14:textId="77777777" w:rsidR="005B3730" w:rsidRDefault="005B3730" w:rsidP="005B3730">
      <w:pPr>
        <w:rPr>
          <w:rFonts w:ascii="Times New Roman" w:eastAsia="宋体" w:hAnsi="Times New Roman" w:cs="Times New Roman"/>
          <w:szCs w:val="21"/>
        </w:rPr>
      </w:pPr>
    </w:p>
    <w:p w14:paraId="1B7DBB0F" w14:textId="77777777" w:rsidR="005B3730" w:rsidRDefault="005B3730" w:rsidP="005B3730">
      <w:pPr>
        <w:rPr>
          <w:rFonts w:ascii="Times New Roman" w:eastAsia="宋体" w:hAnsi="Times New Roman" w:cs="Times New Roman"/>
          <w:szCs w:val="21"/>
        </w:rPr>
      </w:pPr>
    </w:p>
    <w:p w14:paraId="17DD956A" w14:textId="77777777" w:rsidR="005B3730" w:rsidRDefault="005B3730" w:rsidP="005B3730">
      <w:pPr>
        <w:rPr>
          <w:rFonts w:ascii="Times New Roman" w:eastAsia="宋体" w:hAnsi="Times New Roman" w:cs="Times New Roman"/>
          <w:szCs w:val="21"/>
        </w:rPr>
      </w:pPr>
    </w:p>
    <w:p w14:paraId="3525EB42" w14:textId="77777777" w:rsidR="005B3730" w:rsidRDefault="005B3730" w:rsidP="005B3730">
      <w:pPr>
        <w:rPr>
          <w:rFonts w:ascii="Times New Roman" w:eastAsia="宋体" w:hAnsi="Times New Roman" w:cs="Times New Roman"/>
          <w:szCs w:val="21"/>
        </w:rPr>
      </w:pPr>
    </w:p>
    <w:p w14:paraId="59D1CBDD" w14:textId="2AB9CE23" w:rsidR="00F318AF" w:rsidRPr="00F318AF" w:rsidRDefault="00F318AF" w:rsidP="005B373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Fig.4 | Energy supply-demand patterns and global infrastructure for island energy systems.</w:t>
      </w:r>
    </w:p>
    <w:p w14:paraId="746D6192" w14:textId="563656CB" w:rsidR="00872DF7" w:rsidRPr="00C613BE" w:rsidRDefault="00116E21" w:rsidP="00C14660">
      <w:pPr>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5D54C1B7" wp14:editId="700EDCAB">
            <wp:extent cx="4739374" cy="8205746"/>
            <wp:effectExtent l="0" t="0" r="4445" b="5080"/>
            <wp:docPr id="17343625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1178" cy="8208870"/>
                    </a:xfrm>
                    <a:prstGeom prst="rect">
                      <a:avLst/>
                    </a:prstGeom>
                    <a:noFill/>
                    <a:ln>
                      <a:noFill/>
                    </a:ln>
                  </pic:spPr>
                </pic:pic>
              </a:graphicData>
            </a:graphic>
          </wp:inline>
        </w:drawing>
      </w:r>
    </w:p>
    <w:p w14:paraId="27067322" w14:textId="6614F159" w:rsidR="008E69A0" w:rsidRPr="00F318AF" w:rsidRDefault="008E69A0" w:rsidP="00C14660">
      <w:pPr>
        <w:rPr>
          <w:rFonts w:ascii="Times New Roman" w:eastAsia="宋体" w:hAnsi="Times New Roman" w:cs="Times New Roman"/>
          <w:szCs w:val="21"/>
          <w14:ligatures w14:val="none"/>
        </w:rPr>
      </w:pPr>
      <w:r w:rsidRPr="00C613BE">
        <w:rPr>
          <w:rFonts w:ascii="Times New Roman" w:eastAsia="宋体" w:hAnsi="Times New Roman" w:cs="Times New Roman"/>
          <w:b/>
          <w:bCs/>
          <w:szCs w:val="21"/>
          <w14:ligatures w14:val="none"/>
        </w:rPr>
        <w:lastRenderedPageBreak/>
        <w:t xml:space="preserve">a, </w:t>
      </w:r>
      <w:r w:rsidRPr="00F318AF">
        <w:rPr>
          <w:rFonts w:ascii="Times New Roman" w:eastAsia="宋体" w:hAnsi="Times New Roman" w:cs="Times New Roman"/>
          <w:szCs w:val="21"/>
          <w14:ligatures w14:val="none"/>
        </w:rPr>
        <w:t>Annual energy profile of a case study island showing heating demand (red line) plotted against renewable energy generation from wind turbines (WT, light blue), photovoltaics (PV, yellow), and wave energy converters (WAVE, blue). The x-axis represents months (1-12), and the y-axis shows output/demand in kilowatts (kW).</w:t>
      </w:r>
      <w:r w:rsidRPr="00C613BE">
        <w:rPr>
          <w:rFonts w:ascii="Times New Roman" w:eastAsia="宋体" w:hAnsi="Times New Roman" w:cs="Times New Roman"/>
          <w:b/>
          <w:bCs/>
          <w:szCs w:val="21"/>
          <w14:ligatures w14:val="none"/>
        </w:rPr>
        <w:t xml:space="preserve"> b, </w:t>
      </w:r>
      <w:r w:rsidRPr="00F318AF">
        <w:rPr>
          <w:rFonts w:ascii="Times New Roman" w:eastAsia="宋体" w:hAnsi="Times New Roman" w:cs="Times New Roman"/>
          <w:szCs w:val="21"/>
          <w14:ligatures w14:val="none"/>
        </w:rPr>
        <w:t xml:space="preserve">Global distribution of islands (blue dots) and LNG terminals (red dots) demonstrating the geographical relationship between potential energy consumers and existing </w:t>
      </w:r>
      <w:r w:rsidR="00800CAA" w:rsidRPr="00F318AF">
        <w:rPr>
          <w:rFonts w:ascii="Times New Roman" w:eastAsia="宋体" w:hAnsi="Times New Roman" w:cs="Times New Roman"/>
          <w:szCs w:val="21"/>
          <w14:ligatures w14:val="none"/>
        </w:rPr>
        <w:t>LNG</w:t>
      </w:r>
      <w:r w:rsidRPr="00F318AF">
        <w:rPr>
          <w:rFonts w:ascii="Times New Roman" w:eastAsia="宋体" w:hAnsi="Times New Roman" w:cs="Times New Roman"/>
          <w:szCs w:val="21"/>
          <w14:ligatures w14:val="none"/>
        </w:rPr>
        <w:t xml:space="preserve"> supply infrastructure.</w:t>
      </w:r>
      <w:r w:rsidRPr="00C613BE">
        <w:rPr>
          <w:rFonts w:ascii="Times New Roman" w:eastAsia="宋体" w:hAnsi="Times New Roman" w:cs="Times New Roman"/>
          <w:b/>
          <w:bCs/>
          <w:szCs w:val="21"/>
          <w14:ligatures w14:val="none"/>
        </w:rPr>
        <w:t xml:space="preserve"> c, </w:t>
      </w:r>
      <w:r w:rsidRPr="00F318AF">
        <w:rPr>
          <w:rFonts w:ascii="Times New Roman" w:eastAsia="宋体" w:hAnsi="Times New Roman" w:cs="Times New Roman"/>
          <w:szCs w:val="21"/>
          <w14:ligatures w14:val="none"/>
        </w:rPr>
        <w:t>Geographic distribution of energy facilities on islands worldwide, categorized as LNG (Liquefied Natural Gas, gray), ES (Energy Storage, blue), HS (H</w:t>
      </w:r>
      <w:r w:rsidR="00D02B05" w:rsidRPr="00F318AF">
        <w:rPr>
          <w:rFonts w:ascii="Times New Roman" w:eastAsia="宋体" w:hAnsi="Times New Roman" w:cs="Times New Roman"/>
          <w:szCs w:val="21"/>
          <w14:ligatures w14:val="none"/>
        </w:rPr>
        <w:t>eating</w:t>
      </w:r>
      <w:r w:rsidRPr="00F318AF">
        <w:rPr>
          <w:rFonts w:ascii="Times New Roman" w:eastAsia="宋体" w:hAnsi="Times New Roman" w:cs="Times New Roman"/>
          <w:szCs w:val="21"/>
          <w14:ligatures w14:val="none"/>
        </w:rPr>
        <w:t xml:space="preserve"> Storage, orange), CS (C</w:t>
      </w:r>
      <w:r w:rsidR="00D02B05" w:rsidRPr="00F318AF">
        <w:rPr>
          <w:rFonts w:ascii="Times New Roman" w:eastAsia="宋体" w:hAnsi="Times New Roman" w:cs="Times New Roman"/>
          <w:szCs w:val="21"/>
          <w14:ligatures w14:val="none"/>
        </w:rPr>
        <w:t>ooling</w:t>
      </w:r>
      <w:r w:rsidRPr="00F318AF">
        <w:rPr>
          <w:rFonts w:ascii="Times New Roman" w:eastAsia="宋体" w:hAnsi="Times New Roman" w:cs="Times New Roman"/>
          <w:szCs w:val="21"/>
          <w14:ligatures w14:val="none"/>
        </w:rPr>
        <w:t xml:space="preserve"> Storage, light blue), and H</w:t>
      </w:r>
      <w:r w:rsidR="00D02B05" w:rsidRPr="00F318AF">
        <w:rPr>
          <w:rFonts w:ascii="Times New Roman" w:eastAsia="宋体" w:hAnsi="Times New Roman" w:cs="Times New Roman"/>
          <w:szCs w:val="21"/>
          <w:vertAlign w:val="subscript"/>
          <w14:ligatures w14:val="none"/>
        </w:rPr>
        <w:t>2</w:t>
      </w:r>
      <w:r w:rsidRPr="00F318AF">
        <w:rPr>
          <w:rFonts w:ascii="Times New Roman" w:eastAsia="宋体" w:hAnsi="Times New Roman" w:cs="Times New Roman"/>
          <w:szCs w:val="21"/>
          <w14:ligatures w14:val="none"/>
        </w:rPr>
        <w:t>S (</w:t>
      </w:r>
      <w:r w:rsidR="00D02B05" w:rsidRPr="00F318AF">
        <w:rPr>
          <w:rFonts w:ascii="Times New Roman" w:eastAsia="宋体" w:hAnsi="Times New Roman" w:cs="Times New Roman"/>
          <w:szCs w:val="21"/>
          <w14:ligatures w14:val="none"/>
        </w:rPr>
        <w:t>Hydrogen</w:t>
      </w:r>
      <w:r w:rsidRPr="00F318AF">
        <w:rPr>
          <w:rFonts w:ascii="Times New Roman" w:eastAsia="宋体" w:hAnsi="Times New Roman" w:cs="Times New Roman"/>
          <w:szCs w:val="21"/>
          <w14:ligatures w14:val="none"/>
        </w:rPr>
        <w:t xml:space="preserve"> Storage, green). Left and right panels show different </w:t>
      </w:r>
      <w:r w:rsidR="00175992" w:rsidRPr="00F318AF">
        <w:rPr>
          <w:rFonts w:ascii="Times New Roman" w:eastAsia="宋体" w:hAnsi="Times New Roman" w:cs="Times New Roman"/>
          <w:szCs w:val="21"/>
          <w14:ligatures w14:val="none"/>
        </w:rPr>
        <w:t>scenarios</w:t>
      </w:r>
      <w:r w:rsidRPr="00F318AF">
        <w:rPr>
          <w:rFonts w:ascii="Times New Roman" w:eastAsia="宋体" w:hAnsi="Times New Roman" w:cs="Times New Roman"/>
          <w:szCs w:val="21"/>
          <w14:ligatures w14:val="none"/>
        </w:rPr>
        <w:t xml:space="preserve"> of the relative distribution of these technologies across global island communities.</w:t>
      </w:r>
    </w:p>
    <w:p w14:paraId="6174F8DC" w14:textId="77777777" w:rsidR="00AB7920" w:rsidRPr="00C613BE" w:rsidRDefault="00AB7920"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The uneven spatiotemporal distribution of renewable resources is a key variable driving investment disparities. During winter, solar energy utilization rates decrease significantly for high-latitude islands, coinciding precisely with peak heating demand, creating a critical spatiotemporal mismatch between resource availability and load (Fig. 4a). For instance, a high-latitude case island in the North Atlantic (-45.27849, 60.15269) experiences an average winter solar utilization rate of only 21.03% of its summer rate, while heating loads remain persistently high. This mismatch compels high-latitude islands to deploy significantly more energy storage capacity and LNG infrastructure to offset the seasonal variability and instability of renewable supply. Model results demonstrate that investments in storage systems for high-latitude islands average 254% higher than for low-latitude islands, while LNG investments are 335% higher, directly contributing to substantially higher overall system investment costs.</w:t>
      </w:r>
    </w:p>
    <w:p w14:paraId="4C044BA7" w14:textId="77777777" w:rsidR="00AB7920" w:rsidRPr="00C613BE" w:rsidRDefault="00AB7920"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Variations in renewable resource endowments also drive differences among lower-latitude islands, as illustrated by comparing islands in Indonesia (124.01352, -1.85265) and Cuba (-114.724312, 18.356756). Despite similar per capita cooling demands, their per capita energy investment costs differ markedly. Renewable energy facility investment is significantly higher for the Indonesian island. Analysis reveals that while both islands possess abundant solar resources, wind resources differ substantially. The Indonesian island suffers from scarce and seasonally uneven wind resources, significantly lower than Cuba's. Consequently, the Indonesian island requires greater investment in more expensive wave energy resources to meet its electricity demand, resulting in higher per capita energy costs (Fig. 3b, c).</w:t>
      </w:r>
    </w:p>
    <w:p w14:paraId="67C5295C" w14:textId="0E322A0F" w:rsidR="009D5196" w:rsidRPr="00C613BE" w:rsidRDefault="00AB7920"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Geographic remoteness significantly impacts investment costs through supply chain complexity. Case studies show that islands near Greenland (-45.27849, 60.15269) face LNG procurement costs averaging twice those of nearshore islands like the UK case (-7.466944, 56.986007), primarily due to their greater distance from the nearest LNG ports. Combined with the high LNG demand for heating in these high-latitude locations, this results in much higher per capita energy investment compared to UK islands (Fig. 4b). Further contrasting the Indonesian island (124.01352, -1.85265) with Fiji in the South Pacific (-178.580599, -19.141772)—both with comparable per capita cooling demands—reveals that Fiji's lower solar, wind, and wave energy resources, coupled with extreme remoteness from LNG ports (making LNG prohibitively expensive), necessitate larger investments in renewables and significantly increased storage capacity to ensure supply reliability. This strategy leads to Fiji's higher per capita investment (Fig. 3a,b; Fig. 4b,c).</w:t>
      </w:r>
    </w:p>
    <w:p w14:paraId="2D36EB07" w14:textId="77777777" w:rsidR="00AB7920" w:rsidRDefault="00AB7920" w:rsidP="008A27DC">
      <w:pPr>
        <w:rPr>
          <w:rFonts w:ascii="Times New Roman" w:eastAsia="宋体" w:hAnsi="Times New Roman" w:cs="Times New Roman"/>
          <w:szCs w:val="21"/>
        </w:rPr>
      </w:pPr>
    </w:p>
    <w:p w14:paraId="621CC00C" w14:textId="77777777" w:rsidR="00F318AF" w:rsidRDefault="00F318AF" w:rsidP="008A27DC">
      <w:pPr>
        <w:rPr>
          <w:rFonts w:ascii="Times New Roman" w:eastAsia="宋体" w:hAnsi="Times New Roman" w:cs="Times New Roman"/>
          <w:szCs w:val="21"/>
        </w:rPr>
      </w:pPr>
    </w:p>
    <w:p w14:paraId="5F937D2D" w14:textId="77777777" w:rsidR="005B3730" w:rsidRDefault="005B3730" w:rsidP="008A27DC">
      <w:pPr>
        <w:rPr>
          <w:rFonts w:ascii="Times New Roman" w:eastAsia="宋体" w:hAnsi="Times New Roman" w:cs="Times New Roman"/>
          <w:szCs w:val="21"/>
        </w:rPr>
      </w:pPr>
    </w:p>
    <w:p w14:paraId="0C622E65" w14:textId="77777777" w:rsidR="005B3730" w:rsidRDefault="005B3730" w:rsidP="008A27DC">
      <w:pPr>
        <w:rPr>
          <w:rFonts w:ascii="Times New Roman" w:eastAsia="宋体" w:hAnsi="Times New Roman" w:cs="Times New Roman"/>
          <w:szCs w:val="21"/>
        </w:rPr>
      </w:pPr>
    </w:p>
    <w:p w14:paraId="1E8FAD52" w14:textId="77777777" w:rsidR="005B3730" w:rsidRDefault="005B3730" w:rsidP="008A27DC">
      <w:pPr>
        <w:rPr>
          <w:rFonts w:ascii="Times New Roman" w:eastAsia="宋体" w:hAnsi="Times New Roman" w:cs="Times New Roman"/>
          <w:szCs w:val="21"/>
        </w:rPr>
      </w:pPr>
    </w:p>
    <w:p w14:paraId="16446A04" w14:textId="77777777" w:rsidR="00846F82" w:rsidRPr="00C613BE" w:rsidRDefault="00846F82" w:rsidP="008A27DC">
      <w:pPr>
        <w:rPr>
          <w:rFonts w:ascii="Times New Roman" w:eastAsia="宋体" w:hAnsi="Times New Roman" w:cs="Times New Roman"/>
          <w:szCs w:val="21"/>
        </w:rPr>
      </w:pPr>
    </w:p>
    <w:p w14:paraId="5EE6A17C" w14:textId="0DECAAF8" w:rsidR="00692854" w:rsidRPr="00C613BE" w:rsidRDefault="00990284" w:rsidP="00C14660">
      <w:pPr>
        <w:rPr>
          <w:rFonts w:ascii="Times New Roman" w:eastAsia="宋体" w:hAnsi="Times New Roman" w:cs="Times New Roman"/>
          <w:b/>
          <w:szCs w:val="21"/>
          <w14:ligatures w14:val="none"/>
        </w:rPr>
      </w:pPr>
      <w:r w:rsidRPr="00990284">
        <w:rPr>
          <w:rFonts w:ascii="Times New Roman" w:eastAsia="宋体" w:hAnsi="Times New Roman" w:cs="Times New Roman" w:hint="eastAsia"/>
          <w:b/>
          <w:szCs w:val="21"/>
          <w14:ligatures w14:val="none"/>
        </w:rPr>
        <w:t>Climate Risk Gradients Intensify Spatial Heterogeneity in Per Capita Energy Investment for Future Risk-Based Design</w:t>
      </w:r>
    </w:p>
    <w:p w14:paraId="1583D1E3" w14:textId="08E30E70" w:rsidR="00917017" w:rsidRDefault="00823A4E" w:rsidP="00C14660">
      <w:pPr>
        <w:ind w:firstLine="420"/>
        <w:jc w:val="left"/>
        <w:rPr>
          <w:rFonts w:ascii="Times New Roman" w:eastAsia="宋体" w:hAnsi="Times New Roman" w:cs="Times New Roman"/>
          <w:szCs w:val="21"/>
        </w:rPr>
      </w:pPr>
      <w:r w:rsidRPr="00C613BE">
        <w:rPr>
          <w:rFonts w:ascii="Times New Roman" w:eastAsia="宋体" w:hAnsi="Times New Roman" w:cs="Times New Roman"/>
          <w:szCs w:val="21"/>
        </w:rPr>
        <w:t xml:space="preserve">Climate change is projected to significantly increase future typhoon risks. In our second scenario, we adopt a more conservative design approach to assess global island energy system investments under projected 2050 disaster risks. Comparative analysis between the 2020 baseline and 2050 scenarios reveals that climate change amplifies per capita energy investments in specific regions, intensifying preexisting spatial disparities (Fig. </w:t>
      </w:r>
      <w:r w:rsidR="005B3730">
        <w:rPr>
          <w:rFonts w:ascii="Times New Roman" w:eastAsia="宋体" w:hAnsi="Times New Roman" w:cs="Times New Roman" w:hint="eastAsia"/>
          <w:szCs w:val="21"/>
        </w:rPr>
        <w:t>5a</w:t>
      </w:r>
      <w:r w:rsidRPr="00C613BE">
        <w:rPr>
          <w:rFonts w:ascii="Times New Roman" w:eastAsia="宋体" w:hAnsi="Times New Roman" w:cs="Times New Roman"/>
          <w:szCs w:val="21"/>
        </w:rPr>
        <w:t>). Under RCP8.5, islands in the northwestern Pacific and southwestern Indian Ocean experience a 16.3% average increase in per capita energy investment—markedly higher than the 3% average increase in other regions—leading to more pronounced heterogeneity. This divergence is particularly acute within the Pacific Northwest’s "typhoon corridor" (Fig.</w:t>
      </w:r>
      <w:r w:rsidR="00243758">
        <w:rPr>
          <w:rFonts w:ascii="Times New Roman" w:eastAsia="宋体" w:hAnsi="Times New Roman" w:cs="Times New Roman" w:hint="eastAsia"/>
          <w:szCs w:val="21"/>
        </w:rPr>
        <w:t>5a</w:t>
      </w:r>
      <w:r w:rsidRPr="00C613BE">
        <w:rPr>
          <w:rFonts w:ascii="Times New Roman" w:eastAsia="宋体" w:hAnsi="Times New Roman" w:cs="Times New Roman"/>
          <w:szCs w:val="21"/>
        </w:rPr>
        <w:t>). Case studies in this high-risk zone (e.g., southeastern China, southern Japan, and northern Philippines) demonstrate significantly higher cost escalations than elsewhere. Our simulations indicate that typhoon corridor islands require substantial additional investments in energy storage and LNG infrastructure to withstand extreme climate events under RCP8.5. For instance, islands in southeastern China exhibit a 60% increase in per capita storage investment costs—far exceeding other regions (Fig.</w:t>
      </w:r>
      <w:r w:rsidR="005B3730">
        <w:rPr>
          <w:rFonts w:ascii="Times New Roman" w:eastAsia="宋体" w:hAnsi="Times New Roman" w:cs="Times New Roman" w:hint="eastAsia"/>
          <w:szCs w:val="21"/>
        </w:rPr>
        <w:t>5b</w:t>
      </w:r>
      <w:r w:rsidRPr="00C613BE">
        <w:rPr>
          <w:rFonts w:ascii="Times New Roman" w:eastAsia="宋体" w:hAnsi="Times New Roman" w:cs="Times New Roman"/>
          <w:szCs w:val="21"/>
        </w:rPr>
        <w:t>).</w:t>
      </w:r>
    </w:p>
    <w:p w14:paraId="182E44A8" w14:textId="77777777" w:rsidR="005B3730" w:rsidRDefault="005B3730" w:rsidP="00C14660">
      <w:pPr>
        <w:ind w:firstLine="420"/>
        <w:jc w:val="left"/>
        <w:rPr>
          <w:rFonts w:ascii="Times New Roman" w:eastAsia="宋体" w:hAnsi="Times New Roman" w:cs="Times New Roman"/>
          <w:szCs w:val="21"/>
        </w:rPr>
      </w:pPr>
    </w:p>
    <w:p w14:paraId="7698FD2E" w14:textId="77777777" w:rsidR="005B3730" w:rsidRDefault="005B3730" w:rsidP="00C14660">
      <w:pPr>
        <w:ind w:firstLine="420"/>
        <w:jc w:val="left"/>
        <w:rPr>
          <w:rFonts w:ascii="Times New Roman" w:eastAsia="宋体" w:hAnsi="Times New Roman" w:cs="Times New Roman"/>
          <w:szCs w:val="21"/>
        </w:rPr>
      </w:pPr>
    </w:p>
    <w:p w14:paraId="3A45EF07" w14:textId="77777777" w:rsidR="005B3730" w:rsidRDefault="005B3730" w:rsidP="00C14660">
      <w:pPr>
        <w:ind w:firstLine="420"/>
        <w:jc w:val="left"/>
        <w:rPr>
          <w:rFonts w:ascii="Times New Roman" w:eastAsia="宋体" w:hAnsi="Times New Roman" w:cs="Times New Roman"/>
          <w:szCs w:val="21"/>
        </w:rPr>
      </w:pPr>
    </w:p>
    <w:p w14:paraId="3106E907" w14:textId="77777777" w:rsidR="005B3730" w:rsidRDefault="005B3730" w:rsidP="00C14660">
      <w:pPr>
        <w:ind w:firstLine="420"/>
        <w:jc w:val="left"/>
        <w:rPr>
          <w:rFonts w:ascii="Times New Roman" w:eastAsia="宋体" w:hAnsi="Times New Roman" w:cs="Times New Roman"/>
          <w:szCs w:val="21"/>
        </w:rPr>
      </w:pPr>
    </w:p>
    <w:p w14:paraId="6C3CFD1C" w14:textId="77777777" w:rsidR="005B3730" w:rsidRDefault="005B3730" w:rsidP="00C14660">
      <w:pPr>
        <w:ind w:firstLine="420"/>
        <w:jc w:val="left"/>
        <w:rPr>
          <w:rFonts w:ascii="Times New Roman" w:eastAsia="宋体" w:hAnsi="Times New Roman" w:cs="Times New Roman"/>
          <w:szCs w:val="21"/>
        </w:rPr>
      </w:pPr>
    </w:p>
    <w:p w14:paraId="4321873E" w14:textId="77777777" w:rsidR="005B3730" w:rsidRDefault="005B3730" w:rsidP="00C14660">
      <w:pPr>
        <w:ind w:firstLine="420"/>
        <w:jc w:val="left"/>
        <w:rPr>
          <w:rFonts w:ascii="Times New Roman" w:eastAsia="宋体" w:hAnsi="Times New Roman" w:cs="Times New Roman"/>
          <w:szCs w:val="21"/>
        </w:rPr>
      </w:pPr>
    </w:p>
    <w:p w14:paraId="6B84488F" w14:textId="77777777" w:rsidR="005B3730" w:rsidRDefault="005B3730" w:rsidP="00C14660">
      <w:pPr>
        <w:ind w:firstLine="420"/>
        <w:jc w:val="left"/>
        <w:rPr>
          <w:rFonts w:ascii="Times New Roman" w:eastAsia="宋体" w:hAnsi="Times New Roman" w:cs="Times New Roman"/>
          <w:szCs w:val="21"/>
        </w:rPr>
      </w:pPr>
    </w:p>
    <w:p w14:paraId="59CE62E3" w14:textId="77777777" w:rsidR="005B3730" w:rsidRDefault="005B3730" w:rsidP="00C14660">
      <w:pPr>
        <w:ind w:firstLine="420"/>
        <w:jc w:val="left"/>
        <w:rPr>
          <w:rFonts w:ascii="Times New Roman" w:eastAsia="宋体" w:hAnsi="Times New Roman" w:cs="Times New Roman"/>
          <w:szCs w:val="21"/>
        </w:rPr>
      </w:pPr>
    </w:p>
    <w:p w14:paraId="705B2FCA" w14:textId="77777777" w:rsidR="005B3730" w:rsidRDefault="005B3730" w:rsidP="00C14660">
      <w:pPr>
        <w:ind w:firstLine="420"/>
        <w:jc w:val="left"/>
        <w:rPr>
          <w:rFonts w:ascii="Times New Roman" w:eastAsia="宋体" w:hAnsi="Times New Roman" w:cs="Times New Roman"/>
          <w:szCs w:val="21"/>
        </w:rPr>
      </w:pPr>
    </w:p>
    <w:p w14:paraId="7D874524" w14:textId="77777777" w:rsidR="005B3730" w:rsidRDefault="005B3730" w:rsidP="00C14660">
      <w:pPr>
        <w:ind w:firstLine="420"/>
        <w:jc w:val="left"/>
        <w:rPr>
          <w:rFonts w:ascii="Times New Roman" w:eastAsia="宋体" w:hAnsi="Times New Roman" w:cs="Times New Roman"/>
          <w:szCs w:val="21"/>
        </w:rPr>
      </w:pPr>
    </w:p>
    <w:p w14:paraId="105E22C6" w14:textId="77777777" w:rsidR="005B3730" w:rsidRDefault="005B3730" w:rsidP="00C14660">
      <w:pPr>
        <w:ind w:firstLine="420"/>
        <w:jc w:val="left"/>
        <w:rPr>
          <w:rFonts w:ascii="Times New Roman" w:eastAsia="宋体" w:hAnsi="Times New Roman" w:cs="Times New Roman"/>
          <w:szCs w:val="21"/>
        </w:rPr>
      </w:pPr>
    </w:p>
    <w:p w14:paraId="7B4734D2" w14:textId="77777777" w:rsidR="005B3730" w:rsidRDefault="005B3730" w:rsidP="00C14660">
      <w:pPr>
        <w:ind w:firstLine="420"/>
        <w:jc w:val="left"/>
        <w:rPr>
          <w:rFonts w:ascii="Times New Roman" w:eastAsia="宋体" w:hAnsi="Times New Roman" w:cs="Times New Roman"/>
          <w:szCs w:val="21"/>
        </w:rPr>
      </w:pPr>
    </w:p>
    <w:p w14:paraId="3A609698" w14:textId="77777777" w:rsidR="005B3730" w:rsidRDefault="005B3730" w:rsidP="00C14660">
      <w:pPr>
        <w:ind w:firstLine="420"/>
        <w:jc w:val="left"/>
        <w:rPr>
          <w:rFonts w:ascii="Times New Roman" w:eastAsia="宋体" w:hAnsi="Times New Roman" w:cs="Times New Roman"/>
          <w:szCs w:val="21"/>
        </w:rPr>
      </w:pPr>
    </w:p>
    <w:p w14:paraId="50BC45A3" w14:textId="77777777" w:rsidR="005B3730" w:rsidRDefault="005B3730" w:rsidP="00C14660">
      <w:pPr>
        <w:ind w:firstLine="420"/>
        <w:jc w:val="left"/>
        <w:rPr>
          <w:rFonts w:ascii="Times New Roman" w:eastAsia="宋体" w:hAnsi="Times New Roman" w:cs="Times New Roman"/>
          <w:szCs w:val="21"/>
        </w:rPr>
      </w:pPr>
    </w:p>
    <w:p w14:paraId="5DA7A59A" w14:textId="77777777" w:rsidR="005B3730" w:rsidRDefault="005B3730" w:rsidP="00C14660">
      <w:pPr>
        <w:ind w:firstLine="420"/>
        <w:jc w:val="left"/>
        <w:rPr>
          <w:rFonts w:ascii="Times New Roman" w:eastAsia="宋体" w:hAnsi="Times New Roman" w:cs="Times New Roman"/>
          <w:szCs w:val="21"/>
        </w:rPr>
      </w:pPr>
    </w:p>
    <w:p w14:paraId="36DCFF6A" w14:textId="77777777" w:rsidR="005B3730" w:rsidRDefault="005B3730" w:rsidP="00C14660">
      <w:pPr>
        <w:ind w:firstLine="420"/>
        <w:jc w:val="left"/>
        <w:rPr>
          <w:rFonts w:ascii="Times New Roman" w:eastAsia="宋体" w:hAnsi="Times New Roman" w:cs="Times New Roman"/>
          <w:szCs w:val="21"/>
        </w:rPr>
      </w:pPr>
    </w:p>
    <w:p w14:paraId="333A0206" w14:textId="77777777" w:rsidR="005B3730" w:rsidRDefault="005B3730" w:rsidP="00C14660">
      <w:pPr>
        <w:ind w:firstLine="420"/>
        <w:jc w:val="left"/>
        <w:rPr>
          <w:rFonts w:ascii="Times New Roman" w:eastAsia="宋体" w:hAnsi="Times New Roman" w:cs="Times New Roman"/>
          <w:szCs w:val="21"/>
        </w:rPr>
      </w:pPr>
    </w:p>
    <w:p w14:paraId="0432DC40" w14:textId="77777777" w:rsidR="005B3730" w:rsidRDefault="005B3730" w:rsidP="00C14660">
      <w:pPr>
        <w:ind w:firstLine="420"/>
        <w:jc w:val="left"/>
        <w:rPr>
          <w:rFonts w:ascii="Times New Roman" w:eastAsia="宋体" w:hAnsi="Times New Roman" w:cs="Times New Roman"/>
          <w:szCs w:val="21"/>
        </w:rPr>
      </w:pPr>
    </w:p>
    <w:p w14:paraId="3D70110E" w14:textId="77777777" w:rsidR="005B3730" w:rsidRDefault="005B3730" w:rsidP="00C14660">
      <w:pPr>
        <w:ind w:firstLine="420"/>
        <w:jc w:val="left"/>
        <w:rPr>
          <w:rFonts w:ascii="Times New Roman" w:eastAsia="宋体" w:hAnsi="Times New Roman" w:cs="Times New Roman"/>
          <w:szCs w:val="21"/>
        </w:rPr>
      </w:pPr>
    </w:p>
    <w:p w14:paraId="4D293A65" w14:textId="77777777" w:rsidR="005B3730" w:rsidRDefault="005B3730" w:rsidP="00C14660">
      <w:pPr>
        <w:ind w:firstLine="420"/>
        <w:jc w:val="left"/>
        <w:rPr>
          <w:rFonts w:ascii="Times New Roman" w:eastAsia="宋体" w:hAnsi="Times New Roman" w:cs="Times New Roman"/>
          <w:szCs w:val="21"/>
        </w:rPr>
      </w:pPr>
    </w:p>
    <w:p w14:paraId="666B8E82" w14:textId="77777777" w:rsidR="005B3730" w:rsidRDefault="005B3730" w:rsidP="00C14660">
      <w:pPr>
        <w:ind w:firstLine="420"/>
        <w:jc w:val="left"/>
        <w:rPr>
          <w:rFonts w:ascii="Times New Roman" w:eastAsia="宋体" w:hAnsi="Times New Roman" w:cs="Times New Roman"/>
          <w:szCs w:val="21"/>
        </w:rPr>
      </w:pPr>
    </w:p>
    <w:p w14:paraId="09949BBE" w14:textId="77777777" w:rsidR="005B3730" w:rsidRDefault="005B3730" w:rsidP="00C14660">
      <w:pPr>
        <w:ind w:firstLine="420"/>
        <w:jc w:val="left"/>
        <w:rPr>
          <w:rFonts w:ascii="Times New Roman" w:eastAsia="宋体" w:hAnsi="Times New Roman" w:cs="Times New Roman"/>
          <w:szCs w:val="21"/>
        </w:rPr>
      </w:pPr>
    </w:p>
    <w:p w14:paraId="79884ED6" w14:textId="77777777" w:rsidR="005B3730" w:rsidRDefault="005B3730" w:rsidP="00C14660">
      <w:pPr>
        <w:ind w:firstLine="420"/>
        <w:jc w:val="left"/>
        <w:rPr>
          <w:rFonts w:ascii="Times New Roman" w:eastAsia="宋体" w:hAnsi="Times New Roman" w:cs="Times New Roman"/>
          <w:szCs w:val="21"/>
        </w:rPr>
      </w:pPr>
    </w:p>
    <w:p w14:paraId="6B74F7DD" w14:textId="77777777" w:rsidR="005B3730" w:rsidRDefault="005B3730" w:rsidP="00C14660">
      <w:pPr>
        <w:ind w:firstLine="420"/>
        <w:jc w:val="left"/>
        <w:rPr>
          <w:rFonts w:ascii="Times New Roman" w:eastAsia="宋体" w:hAnsi="Times New Roman" w:cs="Times New Roman"/>
          <w:szCs w:val="21"/>
        </w:rPr>
      </w:pPr>
    </w:p>
    <w:p w14:paraId="38A42080" w14:textId="77777777" w:rsidR="005B3730" w:rsidRDefault="005B3730" w:rsidP="00320B5F">
      <w:pPr>
        <w:jc w:val="left"/>
        <w:rPr>
          <w:rFonts w:ascii="Times New Roman" w:eastAsia="宋体" w:hAnsi="Times New Roman" w:cs="Times New Roman"/>
          <w:szCs w:val="21"/>
        </w:rPr>
      </w:pPr>
    </w:p>
    <w:p w14:paraId="4F653811" w14:textId="5A829698" w:rsidR="00917017" w:rsidRPr="00917017" w:rsidRDefault="00917017"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 xml:space="preserve">Fig.5 | Transformation of global island energy system configurations under </w:t>
      </w:r>
      <w:r w:rsidR="00D36CED">
        <w:rPr>
          <w:rFonts w:ascii="Times New Roman" w:eastAsia="宋体" w:hAnsi="Times New Roman" w:cs="Times New Roman" w:hint="eastAsia"/>
          <w:b/>
          <w:bCs/>
          <w:szCs w:val="21"/>
          <w14:ligatures w14:val="none"/>
        </w:rPr>
        <w:t>current and future risk-based scenarios.</w:t>
      </w:r>
    </w:p>
    <w:p w14:paraId="6D76E703" w14:textId="5ACE2EE1" w:rsidR="002177F4" w:rsidRPr="00320B5F" w:rsidRDefault="00655877" w:rsidP="00C14660">
      <w:pPr>
        <w:jc w:val="cente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0" distR="0" wp14:anchorId="2E6810D9" wp14:editId="32E95F68">
            <wp:extent cx="5271770" cy="5486400"/>
            <wp:effectExtent l="0" t="0" r="5080" b="0"/>
            <wp:docPr id="983570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1770" cy="5486400"/>
                    </a:xfrm>
                    <a:prstGeom prst="rect">
                      <a:avLst/>
                    </a:prstGeom>
                    <a:noFill/>
                    <a:ln>
                      <a:noFill/>
                    </a:ln>
                  </pic:spPr>
                </pic:pic>
              </a:graphicData>
            </a:graphic>
          </wp:inline>
        </w:drawing>
      </w:r>
    </w:p>
    <w:p w14:paraId="047FC6BA" w14:textId="30843707" w:rsidR="00F04C32" w:rsidRPr="007A7C67" w:rsidRDefault="00F04C32" w:rsidP="00C14660">
      <w:pPr>
        <w:rPr>
          <w:rFonts w:ascii="Times New Roman" w:eastAsia="宋体" w:hAnsi="Times New Roman" w:cs="Times New Roman"/>
          <w:szCs w:val="21"/>
        </w:rPr>
      </w:pPr>
      <w:r w:rsidRPr="00C613BE">
        <w:rPr>
          <w:rFonts w:ascii="Times New Roman" w:eastAsia="宋体" w:hAnsi="Times New Roman" w:cs="Times New Roman"/>
          <w:b/>
          <w:bCs/>
          <w:szCs w:val="21"/>
        </w:rPr>
        <w:t xml:space="preserve">a, </w:t>
      </w:r>
      <w:r w:rsidRPr="007A7C67">
        <w:rPr>
          <w:rFonts w:ascii="Times New Roman" w:eastAsia="宋体" w:hAnsi="Times New Roman" w:cs="Times New Roman"/>
          <w:szCs w:val="21"/>
        </w:rPr>
        <w:t xml:space="preserve">Geographic distribution of energy generation capacities on global islands showing the proportional mix of Wind Turbines (WT, light blue), Photovoltaics (PV, yellow), Liquefied Natural Gas (LNG, gray), and Wave energy converters (WEC, blue) </w:t>
      </w:r>
      <w:r w:rsidR="007A7C67">
        <w:rPr>
          <w:rFonts w:ascii="Times New Roman" w:eastAsia="宋体" w:hAnsi="Times New Roman" w:cs="Times New Roman" w:hint="eastAsia"/>
          <w:szCs w:val="21"/>
        </w:rPr>
        <w:t xml:space="preserve">under </w:t>
      </w:r>
      <w:r w:rsidR="007A7C67" w:rsidRPr="007A7C67">
        <w:rPr>
          <w:rFonts w:ascii="Times New Roman" w:eastAsia="宋体" w:hAnsi="Times New Roman" w:cs="Times New Roman" w:hint="eastAsia"/>
          <w:szCs w:val="21"/>
        </w:rPr>
        <w:t>current</w:t>
      </w:r>
      <w:r w:rsidR="007A7C67">
        <w:rPr>
          <w:rFonts w:ascii="Times New Roman" w:eastAsia="宋体" w:hAnsi="Times New Roman" w:cs="Times New Roman" w:hint="eastAsia"/>
          <w:szCs w:val="21"/>
        </w:rPr>
        <w:t>(left)</w:t>
      </w:r>
      <w:r w:rsidR="007A7C67" w:rsidRPr="007A7C67">
        <w:rPr>
          <w:rFonts w:ascii="Times New Roman" w:eastAsia="宋体" w:hAnsi="Times New Roman" w:cs="Times New Roman" w:hint="eastAsia"/>
          <w:szCs w:val="21"/>
        </w:rPr>
        <w:t xml:space="preserve"> and future</w:t>
      </w:r>
      <w:r w:rsidR="007A7C67">
        <w:rPr>
          <w:rFonts w:ascii="Times New Roman" w:eastAsia="宋体" w:hAnsi="Times New Roman" w:cs="Times New Roman" w:hint="eastAsia"/>
          <w:szCs w:val="21"/>
        </w:rPr>
        <w:t>(right)</w:t>
      </w:r>
      <w:r w:rsidR="007A7C67" w:rsidRPr="007A7C67">
        <w:rPr>
          <w:rFonts w:ascii="Times New Roman" w:eastAsia="宋体" w:hAnsi="Times New Roman" w:cs="Times New Roman" w:hint="eastAsia"/>
          <w:szCs w:val="21"/>
        </w:rPr>
        <w:t xml:space="preserve"> risk-based scenarios.</w:t>
      </w:r>
      <w:r w:rsidR="0006003F" w:rsidRPr="00C613BE">
        <w:rPr>
          <w:rFonts w:ascii="Times New Roman" w:hAnsi="Times New Roman" w:cs="Times New Roman"/>
        </w:rPr>
        <w:t xml:space="preserve"> </w:t>
      </w:r>
      <w:r w:rsidR="0006003F" w:rsidRPr="00C613BE">
        <w:rPr>
          <w:rFonts w:ascii="Times New Roman" w:eastAsia="宋体" w:hAnsi="Times New Roman" w:cs="Times New Roman"/>
          <w:b/>
          <w:bCs/>
          <w:szCs w:val="21"/>
        </w:rPr>
        <w:t xml:space="preserve">b, </w:t>
      </w:r>
      <w:r w:rsidR="0006003F" w:rsidRPr="007A7C67">
        <w:rPr>
          <w:rFonts w:ascii="Times New Roman" w:eastAsia="宋体" w:hAnsi="Times New Roman" w:cs="Times New Roman"/>
          <w:szCs w:val="21"/>
        </w:rPr>
        <w:t xml:space="preserve">Evolution of energy storage capacity allocations across global islands between </w:t>
      </w:r>
      <w:r w:rsidR="007A7C67" w:rsidRPr="007A7C67">
        <w:rPr>
          <w:rFonts w:ascii="Times New Roman" w:eastAsia="宋体" w:hAnsi="Times New Roman" w:cs="Times New Roman" w:hint="eastAsia"/>
          <w:szCs w:val="21"/>
        </w:rPr>
        <w:t>current</w:t>
      </w:r>
      <w:r w:rsidR="007A7C67">
        <w:rPr>
          <w:rFonts w:ascii="Times New Roman" w:eastAsia="宋体" w:hAnsi="Times New Roman" w:cs="Times New Roman" w:hint="eastAsia"/>
          <w:szCs w:val="21"/>
        </w:rPr>
        <w:t>(left)</w:t>
      </w:r>
      <w:r w:rsidR="007A7C67" w:rsidRPr="007A7C67">
        <w:rPr>
          <w:rFonts w:ascii="Times New Roman" w:eastAsia="宋体" w:hAnsi="Times New Roman" w:cs="Times New Roman" w:hint="eastAsia"/>
          <w:szCs w:val="21"/>
        </w:rPr>
        <w:t xml:space="preserve"> and future</w:t>
      </w:r>
      <w:r w:rsidR="007A7C67">
        <w:rPr>
          <w:rFonts w:ascii="Times New Roman" w:eastAsia="宋体" w:hAnsi="Times New Roman" w:cs="Times New Roman" w:hint="eastAsia"/>
          <w:szCs w:val="21"/>
        </w:rPr>
        <w:t>(right)</w:t>
      </w:r>
      <w:r w:rsidR="007A7C67" w:rsidRPr="007A7C67">
        <w:rPr>
          <w:rFonts w:ascii="Times New Roman" w:eastAsia="宋体" w:hAnsi="Times New Roman" w:cs="Times New Roman" w:hint="eastAsia"/>
          <w:szCs w:val="21"/>
        </w:rPr>
        <w:t xml:space="preserve"> risk-based scenarios</w:t>
      </w:r>
      <w:r w:rsidR="0006003F" w:rsidRPr="007A7C67">
        <w:rPr>
          <w:rFonts w:ascii="Times New Roman" w:eastAsia="宋体" w:hAnsi="Times New Roman" w:cs="Times New Roman"/>
          <w:szCs w:val="21"/>
        </w:rPr>
        <w:t>, categorized as Energy Storage (ES, blue), Heating Storage (HS, orange), Cooling Storage (CS, light blue), and Hydrogen Storage (HYS, green).</w:t>
      </w:r>
      <w:r w:rsidR="00A952E6" w:rsidRPr="00C613BE">
        <w:rPr>
          <w:rFonts w:ascii="Times New Roman" w:hAnsi="Times New Roman" w:cs="Times New Roman"/>
        </w:rPr>
        <w:t xml:space="preserve"> </w:t>
      </w:r>
      <w:r w:rsidR="00A952E6" w:rsidRPr="00C613BE">
        <w:rPr>
          <w:rFonts w:ascii="Times New Roman" w:eastAsia="宋体" w:hAnsi="Times New Roman" w:cs="Times New Roman"/>
          <w:b/>
          <w:bCs/>
          <w:szCs w:val="21"/>
        </w:rPr>
        <w:t xml:space="preserve">c, </w:t>
      </w:r>
      <w:r w:rsidR="00A952E6" w:rsidRPr="007A7C67">
        <w:rPr>
          <w:rFonts w:ascii="Times New Roman" w:eastAsia="宋体" w:hAnsi="Times New Roman" w:cs="Times New Roman"/>
          <w:szCs w:val="21"/>
        </w:rPr>
        <w:t xml:space="preserve">Distribution of energy conversion facilities on islands worldwide </w:t>
      </w:r>
      <w:r w:rsidR="007A7C67">
        <w:rPr>
          <w:rFonts w:ascii="Times New Roman" w:eastAsia="宋体" w:hAnsi="Times New Roman" w:cs="Times New Roman" w:hint="eastAsia"/>
          <w:szCs w:val="21"/>
        </w:rPr>
        <w:t xml:space="preserve">under </w:t>
      </w:r>
      <w:r w:rsidR="007A7C67" w:rsidRPr="007A7C67">
        <w:rPr>
          <w:rFonts w:ascii="Times New Roman" w:eastAsia="宋体" w:hAnsi="Times New Roman" w:cs="Times New Roman" w:hint="eastAsia"/>
          <w:szCs w:val="21"/>
        </w:rPr>
        <w:t>current</w:t>
      </w:r>
      <w:r w:rsidR="007A7C67">
        <w:rPr>
          <w:rFonts w:ascii="Times New Roman" w:eastAsia="宋体" w:hAnsi="Times New Roman" w:cs="Times New Roman" w:hint="eastAsia"/>
          <w:szCs w:val="21"/>
        </w:rPr>
        <w:t>(left)</w:t>
      </w:r>
      <w:r w:rsidR="007A7C67" w:rsidRPr="007A7C67">
        <w:rPr>
          <w:rFonts w:ascii="Times New Roman" w:eastAsia="宋体" w:hAnsi="Times New Roman" w:cs="Times New Roman" w:hint="eastAsia"/>
          <w:szCs w:val="21"/>
        </w:rPr>
        <w:t xml:space="preserve"> and future</w:t>
      </w:r>
      <w:r w:rsidR="007A7C67">
        <w:rPr>
          <w:rFonts w:ascii="Times New Roman" w:eastAsia="宋体" w:hAnsi="Times New Roman" w:cs="Times New Roman" w:hint="eastAsia"/>
          <w:szCs w:val="21"/>
        </w:rPr>
        <w:t>(right)</w:t>
      </w:r>
      <w:r w:rsidR="007A7C67" w:rsidRPr="007A7C67">
        <w:rPr>
          <w:rFonts w:ascii="Times New Roman" w:eastAsia="宋体" w:hAnsi="Times New Roman" w:cs="Times New Roman" w:hint="eastAsia"/>
          <w:szCs w:val="21"/>
        </w:rPr>
        <w:t xml:space="preserve"> risk-based scenarios</w:t>
      </w:r>
      <w:r w:rsidR="00A952E6" w:rsidRPr="007A7C67">
        <w:rPr>
          <w:rFonts w:ascii="Times New Roman" w:eastAsia="宋体" w:hAnsi="Times New Roman" w:cs="Times New Roman"/>
          <w:szCs w:val="21"/>
        </w:rPr>
        <w:t xml:space="preserve">, including Combined Heat and Power (CHP, red), Electric Boilers (EB, pink), Air Conditioning (AC, light blue), </w:t>
      </w:r>
      <w:r w:rsidR="00454959" w:rsidRPr="007A7C67">
        <w:rPr>
          <w:rFonts w:ascii="Times New Roman" w:eastAsia="宋体" w:hAnsi="Times New Roman" w:cs="Times New Roman"/>
          <w:szCs w:val="21"/>
        </w:rPr>
        <w:t>E</w:t>
      </w:r>
      <w:r w:rsidR="00A952E6" w:rsidRPr="007A7C67">
        <w:rPr>
          <w:rFonts w:ascii="Times New Roman" w:eastAsia="宋体" w:hAnsi="Times New Roman" w:cs="Times New Roman"/>
          <w:szCs w:val="21"/>
        </w:rPr>
        <w:t>lectrolyzer (ELEC, green), Fuel Cell (BAT, purple), and Gas Vaporizer (GAS, brown).</w:t>
      </w:r>
    </w:p>
    <w:p w14:paraId="7CB65224" w14:textId="77777777" w:rsidR="007F0365" w:rsidRDefault="00846E12"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Extreme typhoon events exacerbate differential infrastructure vulnerability in high-risk areas of the Pacific Northwest, compelling affected islands to augment storage or LNG capacity. For China’s case island (121.195504, 27.987457), heightened disaster intensity under the 2050 scenario </w:t>
      </w:r>
      <w:r w:rsidRPr="00C613BE">
        <w:rPr>
          <w:rFonts w:ascii="Times New Roman" w:eastAsia="宋体" w:hAnsi="Times New Roman" w:cs="Times New Roman"/>
          <w:szCs w:val="21"/>
        </w:rPr>
        <w:lastRenderedPageBreak/>
        <w:t>reduces renewable penetration versus 2020, necessitating significant capacity expansions in thermal, electrical, cooling, and hydrogen storage systems alongside increased LNG-related facilities (CHP, GAS), substantially elevating costs. Conversely, Japan’s case island (26.49370, 127.959792) shows no marked change in renewable share despite rising disaster intensity; only hydrogen storage capacity increases significantly, with other components remaining stable</w:t>
      </w:r>
      <w:r w:rsidR="007F0365">
        <w:rPr>
          <w:rFonts w:ascii="Times New Roman" w:eastAsia="宋体" w:hAnsi="Times New Roman" w:cs="Times New Roman" w:hint="eastAsia"/>
          <w:szCs w:val="21"/>
        </w:rPr>
        <w:t>.</w:t>
      </w:r>
    </w:p>
    <w:p w14:paraId="4AEA5FA9" w14:textId="200D8553" w:rsidR="002766DE" w:rsidRPr="002766DE" w:rsidRDefault="002766DE" w:rsidP="00C14660">
      <w:pPr>
        <w:ind w:firstLine="420"/>
        <w:rPr>
          <w:rFonts w:ascii="Times New Roman" w:eastAsia="宋体" w:hAnsi="Times New Roman" w:cs="Times New Roman"/>
          <w:szCs w:val="21"/>
        </w:rPr>
      </w:pPr>
      <w:r w:rsidRPr="002766DE">
        <w:rPr>
          <w:rFonts w:ascii="Times New Roman" w:eastAsia="宋体" w:hAnsi="Times New Roman" w:cs="Times New Roman"/>
          <w:szCs w:val="21"/>
        </w:rPr>
        <w:t>Regression analysis quantitatively reveals the mechanisms driving divergent energy investment pathways among island nations under climate stress. First, heightened typhoon intensity directly and significantly increases dependence on conventional Liquefied Natural Gas (LNG) as a primary security measure (LNG_Usage: β = 0.565, p &lt; 0.001). Crucially, our multivariate model predicting investment in climate-resilient energy storage (Energy_Storage_Capacity) uncovers a pronounced negative interaction effect between typhoon intensity and pre-existing LNG dependency (Typhoon_Intensity:LNG_Usage β = -0.0977, p &lt; 0.001). This interaction signifies a profound structural inequity: </w:t>
      </w:r>
      <w:r w:rsidRPr="002766DE">
        <w:rPr>
          <w:rFonts w:ascii="Times New Roman" w:eastAsia="宋体" w:hAnsi="Times New Roman" w:cs="Times New Roman"/>
          <w:b/>
          <w:bCs/>
          <w:szCs w:val="21"/>
        </w:rPr>
        <w:t>islands with initially lower LNG usage are disproportionately forced to undertake significantly higher marginal investments in both LNG reserves and, critically, energy storage capacity when facing increased disaster risk. </w:t>
      </w:r>
      <w:r w:rsidRPr="002766DE">
        <w:rPr>
          <w:rFonts w:ascii="Times New Roman" w:eastAsia="宋体" w:hAnsi="Times New Roman" w:cs="Times New Roman"/>
          <w:szCs w:val="21"/>
        </w:rPr>
        <w:t xml:space="preserve">As visually confirmed in Fig. 1b, the slope representing the required increase in storage investment per unit rise in typhoon intensity is markedly steeper for these smaller, less fossil-fuel-dependent systems (blue line) compared to larger, incumbent systems (green line). This steep slope translates to punishingly high adaptation costs per unit of additional climate risk. The three-dimensional response surface (Fig. </w:t>
      </w:r>
      <w:r w:rsidR="00AA4132">
        <w:rPr>
          <w:rFonts w:ascii="Times New Roman" w:eastAsia="宋体" w:hAnsi="Times New Roman" w:cs="Times New Roman" w:hint="eastAsia"/>
          <w:szCs w:val="21"/>
        </w:rPr>
        <w:t>6</w:t>
      </w:r>
      <w:r w:rsidRPr="002766DE">
        <w:rPr>
          <w:rFonts w:ascii="Times New Roman" w:eastAsia="宋体" w:hAnsi="Times New Roman" w:cs="Times New Roman"/>
          <w:szCs w:val="21"/>
        </w:rPr>
        <w:t>c) further illustrates that the investment burden for achieving resilience is heavily conditioned by an island's developmental path, imposing the steepest financial climb on those nations historically least responsible for emissions and with the most limited existing infrastructure.</w:t>
      </w:r>
    </w:p>
    <w:p w14:paraId="3AE56536" w14:textId="641F158F" w:rsidR="0018454B" w:rsidRPr="00C613BE" w:rsidRDefault="00846E12"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Spatial heterogeneity in island energy investments thus stems from interconnected climatic, resource, geographic, and socioeconomic drivers, forming systemic inequities reflective of structural energy transition challenges. Climate change—through altered frequency and intensity of extreme events—further escalates investment demands in vulnerable regions, deepening global spatial disparities in energy system financing.</w:t>
      </w:r>
      <w:r w:rsidR="008F5FE7">
        <w:rPr>
          <w:rFonts w:ascii="Times New Roman" w:eastAsia="宋体" w:hAnsi="Times New Roman" w:cs="Times New Roman" w:hint="eastAsia"/>
          <w:szCs w:val="21"/>
        </w:rPr>
        <w:t xml:space="preserve"> </w:t>
      </w:r>
    </w:p>
    <w:p w14:paraId="0E8A654B" w14:textId="77777777" w:rsidR="009035F0" w:rsidRDefault="009035F0" w:rsidP="00C14660">
      <w:pPr>
        <w:rPr>
          <w:rFonts w:ascii="Times New Roman" w:eastAsia="宋体" w:hAnsi="Times New Roman" w:cs="Times New Roman"/>
          <w:szCs w:val="21"/>
        </w:rPr>
      </w:pPr>
    </w:p>
    <w:p w14:paraId="2F7A19D9" w14:textId="77777777" w:rsidR="0008508D" w:rsidRDefault="0008508D" w:rsidP="00C14660">
      <w:pPr>
        <w:rPr>
          <w:rFonts w:ascii="Times New Roman" w:eastAsia="宋体" w:hAnsi="Times New Roman" w:cs="Times New Roman"/>
          <w:szCs w:val="21"/>
        </w:rPr>
      </w:pPr>
    </w:p>
    <w:p w14:paraId="4619BF7D" w14:textId="77777777" w:rsidR="0008508D" w:rsidRDefault="0008508D" w:rsidP="00C14660">
      <w:pPr>
        <w:rPr>
          <w:rFonts w:ascii="Times New Roman" w:eastAsia="宋体" w:hAnsi="Times New Roman" w:cs="Times New Roman"/>
          <w:szCs w:val="21"/>
        </w:rPr>
      </w:pPr>
    </w:p>
    <w:p w14:paraId="23CA6DDB" w14:textId="77777777" w:rsidR="00B8070E" w:rsidRDefault="00B8070E" w:rsidP="00C14660">
      <w:pPr>
        <w:rPr>
          <w:rFonts w:ascii="Times New Roman" w:eastAsia="宋体" w:hAnsi="Times New Roman" w:cs="Times New Roman"/>
          <w:szCs w:val="21"/>
        </w:rPr>
      </w:pPr>
    </w:p>
    <w:p w14:paraId="7D4D31D3" w14:textId="157D627E" w:rsidR="00065418" w:rsidRPr="00065418" w:rsidRDefault="0008508D" w:rsidP="00065418">
      <w:pPr>
        <w:jc w:val="left"/>
        <w:rPr>
          <w:rFonts w:ascii="Times New Roman" w:eastAsia="宋体" w:hAnsi="Times New Roman" w:cs="Times New Roman"/>
          <w:szCs w:val="21"/>
        </w:rPr>
      </w:pPr>
      <w:r w:rsidRPr="00C613BE">
        <w:rPr>
          <w:rFonts w:ascii="Times New Roman" w:eastAsia="宋体" w:hAnsi="Times New Roman" w:cs="Times New Roman"/>
          <w:b/>
          <w:bCs/>
          <w:szCs w:val="21"/>
          <w14:ligatures w14:val="none"/>
        </w:rPr>
        <w:t>Fig.</w:t>
      </w:r>
      <w:r>
        <w:rPr>
          <w:rFonts w:ascii="Times New Roman" w:eastAsia="宋体" w:hAnsi="Times New Roman" w:cs="Times New Roman" w:hint="eastAsia"/>
          <w:b/>
          <w:bCs/>
          <w:szCs w:val="21"/>
          <w14:ligatures w14:val="none"/>
        </w:rPr>
        <w:t>6</w:t>
      </w:r>
      <w:r w:rsidRPr="00C613BE">
        <w:rPr>
          <w:rFonts w:ascii="Times New Roman" w:eastAsia="宋体" w:hAnsi="Times New Roman" w:cs="Times New Roman"/>
          <w:b/>
          <w:bCs/>
          <w:szCs w:val="21"/>
          <w14:ligatures w14:val="none"/>
        </w:rPr>
        <w:t xml:space="preserve"> | </w:t>
      </w:r>
      <w:r w:rsidRPr="0008508D">
        <w:rPr>
          <w:rFonts w:ascii="Times New Roman" w:eastAsia="宋体" w:hAnsi="Times New Roman" w:cs="Times New Roman" w:hint="eastAsia"/>
          <w:b/>
          <w:bCs/>
          <w:szCs w:val="21"/>
          <w14:ligatures w14:val="none"/>
        </w:rPr>
        <w:t xml:space="preserve">Multivariate </w:t>
      </w:r>
      <w:r>
        <w:rPr>
          <w:rFonts w:ascii="Times New Roman" w:eastAsia="宋体" w:hAnsi="Times New Roman" w:cs="Times New Roman" w:hint="eastAsia"/>
          <w:b/>
          <w:bCs/>
          <w:szCs w:val="21"/>
          <w14:ligatures w14:val="none"/>
        </w:rPr>
        <w:t>multiple</w:t>
      </w:r>
      <w:r w:rsidRPr="0008508D">
        <w:rPr>
          <w:rFonts w:ascii="Times New Roman" w:eastAsia="宋体" w:hAnsi="Times New Roman" w:cs="Times New Roman" w:hint="eastAsia"/>
          <w:b/>
          <w:bCs/>
          <w:szCs w:val="21"/>
          <w14:ligatures w14:val="none"/>
        </w:rPr>
        <w:t xml:space="preserve"> regression analysis on the impact of disaster intensity on LNG and energy storage capacity</w:t>
      </w:r>
    </w:p>
    <w:p w14:paraId="5D0DF0C5" w14:textId="227A5EAC" w:rsidR="00065418" w:rsidRPr="00C613BE" w:rsidRDefault="00350D4B" w:rsidP="00F2421F">
      <w:pPr>
        <w:jc w:val="center"/>
        <w:rPr>
          <w:rFonts w:ascii="Times New Roman" w:eastAsia="宋体" w:hAnsi="Times New Roman" w:cs="Times New Roman"/>
          <w:szCs w:val="21"/>
        </w:rPr>
      </w:pPr>
      <w:r w:rsidRPr="00350D4B">
        <w:rPr>
          <w:rFonts w:ascii="Times New Roman" w:eastAsia="宋体" w:hAnsi="Times New Roman" w:cs="Times New Roman"/>
          <w:szCs w:val="21"/>
        </w:rPr>
        <w:lastRenderedPageBreak/>
        <w:drawing>
          <wp:inline distT="0" distB="0" distL="0" distR="0" wp14:anchorId="4B8EB17E" wp14:editId="2997B7C9">
            <wp:extent cx="5274310" cy="6757035"/>
            <wp:effectExtent l="0" t="0" r="2540" b="5715"/>
            <wp:docPr id="6" name="图片 5">
              <a:extLst xmlns:a="http://schemas.openxmlformats.org/drawingml/2006/main">
                <a:ext uri="{FF2B5EF4-FFF2-40B4-BE49-F238E27FC236}">
                  <a16:creationId xmlns:a16="http://schemas.microsoft.com/office/drawing/2014/main" id="{44FE1B45-A2FE-0B82-0023-8F8A41A9A3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4FE1B45-A2FE-0B82-0023-8F8A41A9A3AA}"/>
                        </a:ext>
                      </a:extLst>
                    </pic:cNvPr>
                    <pic:cNvPicPr>
                      <a:picLocks noChangeAspect="1"/>
                    </pic:cNvPicPr>
                  </pic:nvPicPr>
                  <pic:blipFill>
                    <a:blip r:embed="rId12"/>
                    <a:stretch>
                      <a:fillRect/>
                    </a:stretch>
                  </pic:blipFill>
                  <pic:spPr>
                    <a:xfrm>
                      <a:off x="0" y="0"/>
                      <a:ext cx="5274310" cy="6757035"/>
                    </a:xfrm>
                    <a:prstGeom prst="rect">
                      <a:avLst/>
                    </a:prstGeom>
                  </pic:spPr>
                </pic:pic>
              </a:graphicData>
            </a:graphic>
          </wp:inline>
        </w:drawing>
      </w:r>
    </w:p>
    <w:p w14:paraId="68C720B7" w14:textId="77777777" w:rsidR="0044618E" w:rsidRDefault="0044618E" w:rsidP="00C14660">
      <w:pPr>
        <w:rPr>
          <w:rFonts w:ascii="Times New Roman" w:eastAsia="宋体" w:hAnsi="Times New Roman" w:cs="Times New Roman"/>
          <w:b/>
          <w:szCs w:val="21"/>
          <w14:ligatures w14:val="none"/>
        </w:rPr>
      </w:pPr>
      <w:r w:rsidRPr="00C613BE">
        <w:rPr>
          <w:rFonts w:ascii="Times New Roman" w:eastAsia="宋体" w:hAnsi="Times New Roman" w:cs="Times New Roman"/>
          <w:b/>
          <w:szCs w:val="21"/>
          <w14:ligatures w14:val="none"/>
        </w:rPr>
        <w:t>Spatial Inequity in Energy Investment Burden Coefficients Across Scenarios</w:t>
      </w:r>
    </w:p>
    <w:p w14:paraId="181BCDDF" w14:textId="58FB6CC0" w:rsidR="00630A9C" w:rsidRPr="00630A9C" w:rsidRDefault="00630A9C" w:rsidP="00C14660">
      <w:pPr>
        <w:jc w:val="left"/>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Fig.</w:t>
      </w:r>
      <w:r w:rsidR="000F42BA">
        <w:rPr>
          <w:rFonts w:ascii="Times New Roman" w:eastAsia="宋体" w:hAnsi="Times New Roman" w:cs="Times New Roman" w:hint="eastAsia"/>
          <w:b/>
          <w:bCs/>
          <w:szCs w:val="21"/>
          <w14:ligatures w14:val="none"/>
        </w:rPr>
        <w:t>7</w:t>
      </w:r>
      <w:r w:rsidRPr="00C613BE">
        <w:rPr>
          <w:rFonts w:ascii="Times New Roman" w:eastAsia="宋体" w:hAnsi="Times New Roman" w:cs="Times New Roman"/>
          <w:b/>
          <w:bCs/>
          <w:szCs w:val="21"/>
          <w14:ligatures w14:val="none"/>
        </w:rPr>
        <w:t xml:space="preserve"> | Spatiotemporal evolution of energy investment burdens under climate change scenarios.</w:t>
      </w:r>
    </w:p>
    <w:p w14:paraId="042C604F" w14:textId="0150374A" w:rsidR="00D31117" w:rsidRPr="00C613BE" w:rsidRDefault="006C60B1" w:rsidP="004E1FBD">
      <w:pPr>
        <w:jc w:val="center"/>
        <w:rPr>
          <w:rFonts w:ascii="Times New Roman" w:eastAsia="宋体" w:hAnsi="Times New Roman" w:cs="Times New Roman"/>
          <w:b/>
          <w:szCs w:val="21"/>
          <w14:ligatures w14:val="none"/>
        </w:rPr>
      </w:pPr>
      <w:r>
        <w:rPr>
          <w:rFonts w:ascii="Times New Roman" w:eastAsia="宋体" w:hAnsi="Times New Roman" w:cs="Times New Roman" w:hint="eastAsia"/>
          <w:b/>
          <w:noProof/>
          <w:szCs w:val="21"/>
          <w14:ligatures w14:val="none"/>
        </w:rPr>
        <w:lastRenderedPageBreak/>
        <w:drawing>
          <wp:inline distT="0" distB="0" distL="0" distR="0" wp14:anchorId="1EBFCD40" wp14:editId="7D65BA44">
            <wp:extent cx="5263515" cy="8213725"/>
            <wp:effectExtent l="0" t="0" r="0" b="0"/>
            <wp:docPr id="2714694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3515" cy="8213725"/>
                    </a:xfrm>
                    <a:prstGeom prst="rect">
                      <a:avLst/>
                    </a:prstGeom>
                    <a:noFill/>
                    <a:ln>
                      <a:noFill/>
                    </a:ln>
                  </pic:spPr>
                </pic:pic>
              </a:graphicData>
            </a:graphic>
          </wp:inline>
        </w:drawing>
      </w:r>
    </w:p>
    <w:p w14:paraId="4E578AB3" w14:textId="6C12B15E" w:rsidR="0018454B" w:rsidRPr="00063FB7" w:rsidRDefault="0018454B" w:rsidP="00C14660">
      <w:pPr>
        <w:jc w:val="left"/>
        <w:rPr>
          <w:rFonts w:ascii="Times New Roman" w:eastAsia="宋体" w:hAnsi="Times New Roman" w:cs="Times New Roman"/>
          <w:szCs w:val="21"/>
          <w14:ligatures w14:val="none"/>
        </w:rPr>
      </w:pPr>
      <w:r w:rsidRPr="00C613BE">
        <w:rPr>
          <w:rFonts w:ascii="Times New Roman" w:eastAsia="宋体" w:hAnsi="Times New Roman" w:cs="Times New Roman"/>
          <w:b/>
          <w:bCs/>
          <w:szCs w:val="21"/>
          <w14:ligatures w14:val="none"/>
        </w:rPr>
        <w:t xml:space="preserve">a, </w:t>
      </w:r>
      <w:r w:rsidRPr="00063FB7">
        <w:rPr>
          <w:rFonts w:ascii="Times New Roman" w:eastAsia="宋体" w:hAnsi="Times New Roman" w:cs="Times New Roman"/>
          <w:szCs w:val="21"/>
          <w14:ligatures w14:val="none"/>
        </w:rPr>
        <w:t>Global distribution of Energy Investment Burden Coefficient (EIBC)</w:t>
      </w:r>
      <w:r w:rsidR="00774CE0">
        <w:rPr>
          <w:rFonts w:ascii="Times New Roman" w:eastAsia="宋体" w:hAnsi="Times New Roman" w:cs="Times New Roman" w:hint="eastAsia"/>
          <w:szCs w:val="21"/>
          <w14:ligatures w14:val="none"/>
        </w:rPr>
        <w:t xml:space="preserve"> under</w:t>
      </w:r>
      <w:r w:rsidRPr="00063FB7">
        <w:rPr>
          <w:rFonts w:ascii="Times New Roman" w:eastAsia="宋体" w:hAnsi="Times New Roman" w:cs="Times New Roman"/>
          <w:szCs w:val="21"/>
          <w14:ligatures w14:val="none"/>
        </w:rPr>
        <w:t xml:space="preserve"> </w:t>
      </w:r>
      <w:r w:rsidR="00774CE0" w:rsidRPr="007A7C67">
        <w:rPr>
          <w:rFonts w:ascii="Times New Roman" w:eastAsia="宋体" w:hAnsi="Times New Roman" w:cs="Times New Roman" w:hint="eastAsia"/>
          <w:szCs w:val="21"/>
        </w:rPr>
        <w:t>current</w:t>
      </w:r>
      <w:r w:rsidR="00774CE0">
        <w:rPr>
          <w:rFonts w:ascii="Times New Roman" w:eastAsia="宋体" w:hAnsi="Times New Roman" w:cs="Times New Roman" w:hint="eastAsia"/>
          <w:szCs w:val="21"/>
        </w:rPr>
        <w:t>(left)</w:t>
      </w:r>
      <w:r w:rsidR="00774CE0" w:rsidRPr="007A7C67">
        <w:rPr>
          <w:rFonts w:ascii="Times New Roman" w:eastAsia="宋体" w:hAnsi="Times New Roman" w:cs="Times New Roman" w:hint="eastAsia"/>
          <w:szCs w:val="21"/>
        </w:rPr>
        <w:t xml:space="preserve"> and future</w:t>
      </w:r>
      <w:r w:rsidR="00774CE0">
        <w:rPr>
          <w:rFonts w:ascii="Times New Roman" w:eastAsia="宋体" w:hAnsi="Times New Roman" w:cs="Times New Roman" w:hint="eastAsia"/>
          <w:szCs w:val="21"/>
        </w:rPr>
        <w:t>(right)</w:t>
      </w:r>
      <w:r w:rsidR="00774CE0" w:rsidRPr="007A7C67">
        <w:rPr>
          <w:rFonts w:ascii="Times New Roman" w:eastAsia="宋体" w:hAnsi="Times New Roman" w:cs="Times New Roman" w:hint="eastAsia"/>
          <w:szCs w:val="21"/>
        </w:rPr>
        <w:t xml:space="preserve"> risk-based scenarios.</w:t>
      </w:r>
      <w:r w:rsidRPr="00063FB7">
        <w:rPr>
          <w:rFonts w:ascii="Times New Roman" w:eastAsia="宋体" w:hAnsi="Times New Roman" w:cs="Times New Roman"/>
          <w:szCs w:val="21"/>
          <w14:ligatures w14:val="none"/>
        </w:rPr>
        <w:t xml:space="preserve">  Red dots indicate higher EIBC values, representing greater </w:t>
      </w:r>
      <w:r w:rsidRPr="00063FB7">
        <w:rPr>
          <w:rFonts w:ascii="Times New Roman" w:eastAsia="宋体" w:hAnsi="Times New Roman" w:cs="Times New Roman"/>
          <w:szCs w:val="21"/>
          <w14:ligatures w14:val="none"/>
        </w:rPr>
        <w:lastRenderedPageBreak/>
        <w:t>investment burdens relative to local GDP, while</w:t>
      </w:r>
      <w:r w:rsidR="00CF4E08">
        <w:rPr>
          <w:rFonts w:ascii="Times New Roman" w:eastAsia="宋体" w:hAnsi="Times New Roman" w:cs="Times New Roman" w:hint="eastAsia"/>
          <w:szCs w:val="21"/>
          <w14:ligatures w14:val="none"/>
        </w:rPr>
        <w:t xml:space="preserve"> blue</w:t>
      </w:r>
      <w:r w:rsidRPr="00063FB7">
        <w:rPr>
          <w:rFonts w:ascii="Times New Roman" w:eastAsia="宋体" w:hAnsi="Times New Roman" w:cs="Times New Roman"/>
          <w:szCs w:val="21"/>
          <w14:ligatures w14:val="none"/>
        </w:rPr>
        <w:t xml:space="preserve"> dots represent moderate investment-to-GDP ratios. </w:t>
      </w:r>
    </w:p>
    <w:p w14:paraId="05B8663A" w14:textId="21C12F55" w:rsidR="0044618E" w:rsidRPr="00C613BE" w:rsidRDefault="0044618E"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The Energy Investment Burden Coefficient (EIBC), defined as the ratio of energy system investment costs to per capita GDP, exhibits a spatial pattern distinct from absolute investment costs. Regions with high EIBC concentrate in low-income island nations of Southeast and South Asia, alongside geographically isolated central Pacific islands. Despite lower absolute investments than developed islands, these areas face disproportionate fiscal pressure due to constrained economic capacity, with EIBC consistently exceeding 20% (Fig. 6, left). Within the Northwest Pacific’s "typhoon corridor," EIBC variations reflect stark economic disparities: Japan’s southern islands exhibit a 1.6% burden, southeastern Chinese islands 6.5%, and economically vulnerable northern Philippine islands 22%. Globally, Small Island Developing States (SIDS) demonstrate higher relative burdens despite modest absolute investments, revealing a structural mismatch between investment needs and economic resilience that constitutes foundational energy transition inequality.</w:t>
      </w:r>
    </w:p>
    <w:p w14:paraId="5B8D02BE" w14:textId="0B419497" w:rsidR="0044618E" w:rsidRPr="00C613BE" w:rsidRDefault="0044618E"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Comparative analysis of 2020 and 2050 scenarios indicates climate change intensifies EIBC spatial heterogeneity (Fig. 6, right). The EIBC ratio between high-burden and low-burden islands expands from 4-fold (2020) to 5-fold (2050), primarily driven by additional climate adaptation investments in vulnerable regions. Climate change particularly exacerbates intra-regional inequity in the West Pacific, where northern Philippines and Fiji experience EIBC surges from approximately 18% to 22–25% (a 4–7 percentage-point increase). In contrast, southern Japanese islands show only a marginal rise from 1.6% to 1.8% (+0.2 points), while southeastern Chinese islands increase from 6.5% to 8.1% (+1.6 points).</w:t>
      </w:r>
    </w:p>
    <w:p w14:paraId="0EBDAB3C" w14:textId="4BAF2211" w:rsidR="00670686" w:rsidRPr="00C613BE" w:rsidRDefault="0044618E"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This diverging trajectory demonstrates that climate change disproportionately escalates fiscal pressure on economically vulnerable islands, irrespective of absolute cost variations. The amplification of burden disparities underscores intricate climate-inequality interactions, presenting critical equity challenges for global energy transition governance and international climate cooperation frameworks.</w:t>
      </w:r>
    </w:p>
    <w:p w14:paraId="1BAC2B74" w14:textId="77777777" w:rsidR="00687B80" w:rsidRPr="00C613BE" w:rsidRDefault="00687B80" w:rsidP="00C14660">
      <w:pPr>
        <w:rPr>
          <w:rFonts w:ascii="Times New Roman" w:eastAsia="宋体" w:hAnsi="Times New Roman" w:cs="Times New Roman"/>
          <w:szCs w:val="21"/>
        </w:rPr>
      </w:pPr>
    </w:p>
    <w:p w14:paraId="5982E342" w14:textId="77777777" w:rsidR="00F352F3" w:rsidRDefault="00F352F3" w:rsidP="00C14660">
      <w:pPr>
        <w:jc w:val="left"/>
        <w:rPr>
          <w:rFonts w:ascii="Times New Roman" w:eastAsia="宋体" w:hAnsi="Times New Roman" w:cs="Times New Roman"/>
          <w:b/>
          <w:szCs w:val="21"/>
          <w14:ligatures w14:val="none"/>
        </w:rPr>
      </w:pPr>
      <w:r w:rsidRPr="00F352F3">
        <w:rPr>
          <w:rFonts w:ascii="Times New Roman" w:eastAsia="宋体" w:hAnsi="Times New Roman" w:cs="Times New Roman" w:hint="eastAsia"/>
          <w:b/>
          <w:szCs w:val="21"/>
          <w14:ligatures w14:val="none"/>
        </w:rPr>
        <w:t>Limited Equity Gains from Technological Progress in Energy Systems</w:t>
      </w:r>
    </w:p>
    <w:p w14:paraId="743A422F" w14:textId="3B5E2F38" w:rsidR="00AE5C14" w:rsidRPr="00AE5C14" w:rsidRDefault="00AE5C14"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Fig.</w:t>
      </w:r>
      <w:r w:rsidR="000F42BA">
        <w:rPr>
          <w:rFonts w:ascii="Times New Roman" w:eastAsia="宋体" w:hAnsi="Times New Roman" w:cs="Times New Roman" w:hint="eastAsia"/>
          <w:b/>
          <w:bCs/>
          <w:szCs w:val="21"/>
          <w14:ligatures w14:val="none"/>
        </w:rPr>
        <w:t>8</w:t>
      </w:r>
      <w:r w:rsidRPr="00C613BE">
        <w:rPr>
          <w:rFonts w:ascii="Times New Roman" w:eastAsia="宋体" w:hAnsi="Times New Roman" w:cs="Times New Roman"/>
          <w:b/>
          <w:bCs/>
          <w:szCs w:val="21"/>
          <w14:ligatures w14:val="none"/>
        </w:rPr>
        <w:t xml:space="preserve"> | Equity implications of projected cost reductions </w:t>
      </w:r>
      <w:r w:rsidR="006B4EE7" w:rsidRPr="006B4EE7">
        <w:rPr>
          <w:rFonts w:ascii="Times New Roman" w:eastAsia="宋体" w:hAnsi="Times New Roman" w:cs="Times New Roman" w:hint="eastAsia"/>
          <w:b/>
          <w:bCs/>
          <w:szCs w:val="21"/>
          <w14:ligatures w14:val="none"/>
        </w:rPr>
        <w:t xml:space="preserve">from </w:t>
      </w:r>
      <w:r w:rsidR="006B4EE7">
        <w:rPr>
          <w:rFonts w:ascii="Times New Roman" w:eastAsia="宋体" w:hAnsi="Times New Roman" w:cs="Times New Roman" w:hint="eastAsia"/>
          <w:b/>
          <w:bCs/>
          <w:szCs w:val="21"/>
          <w14:ligatures w14:val="none"/>
        </w:rPr>
        <w:t>t</w:t>
      </w:r>
      <w:r w:rsidR="006B4EE7" w:rsidRPr="006B4EE7">
        <w:rPr>
          <w:rFonts w:ascii="Times New Roman" w:eastAsia="宋体" w:hAnsi="Times New Roman" w:cs="Times New Roman" w:hint="eastAsia"/>
          <w:b/>
          <w:bCs/>
          <w:szCs w:val="21"/>
          <w14:ligatures w14:val="none"/>
        </w:rPr>
        <w:t xml:space="preserve">echnological </w:t>
      </w:r>
      <w:r w:rsidR="006B4EE7">
        <w:rPr>
          <w:rFonts w:ascii="Times New Roman" w:eastAsia="宋体" w:hAnsi="Times New Roman" w:cs="Times New Roman" w:hint="eastAsia"/>
          <w:b/>
          <w:bCs/>
          <w:szCs w:val="21"/>
          <w14:ligatures w14:val="none"/>
        </w:rPr>
        <w:t>p</w:t>
      </w:r>
      <w:r w:rsidR="006B4EE7" w:rsidRPr="006B4EE7">
        <w:rPr>
          <w:rFonts w:ascii="Times New Roman" w:eastAsia="宋体" w:hAnsi="Times New Roman" w:cs="Times New Roman" w:hint="eastAsia"/>
          <w:b/>
          <w:bCs/>
          <w:szCs w:val="21"/>
          <w14:ligatures w14:val="none"/>
        </w:rPr>
        <w:t>rogress</w:t>
      </w:r>
      <w:r w:rsidRPr="00C613BE">
        <w:rPr>
          <w:rFonts w:ascii="Times New Roman" w:eastAsia="宋体" w:hAnsi="Times New Roman" w:cs="Times New Roman"/>
          <w:b/>
          <w:bCs/>
          <w:szCs w:val="21"/>
          <w14:ligatures w14:val="none"/>
        </w:rPr>
        <w:t xml:space="preserve"> for global islands.</w:t>
      </w:r>
    </w:p>
    <w:p w14:paraId="5D79E57E" w14:textId="3599F803" w:rsidR="00741055" w:rsidRPr="00C613BE" w:rsidRDefault="0038660D" w:rsidP="00C14660">
      <w:pPr>
        <w:jc w:val="center"/>
        <w:rPr>
          <w:rFonts w:ascii="Times New Roman" w:eastAsia="宋体" w:hAnsi="Times New Roman" w:cs="Times New Roman"/>
          <w:b/>
          <w:szCs w:val="21"/>
          <w14:ligatures w14:val="none"/>
        </w:rPr>
      </w:pPr>
      <w:r>
        <w:rPr>
          <w:rFonts w:ascii="Times New Roman" w:eastAsia="宋体" w:hAnsi="Times New Roman" w:cs="Times New Roman"/>
          <w:noProof/>
          <w:szCs w:val="21"/>
        </w:rPr>
        <w:lastRenderedPageBreak/>
        <w:drawing>
          <wp:inline distT="0" distB="0" distL="0" distR="0" wp14:anchorId="1325AC0B" wp14:editId="6ECC6CDE">
            <wp:extent cx="5266690" cy="4207510"/>
            <wp:effectExtent l="0" t="0" r="0" b="2540"/>
            <wp:docPr id="227943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4207510"/>
                    </a:xfrm>
                    <a:prstGeom prst="rect">
                      <a:avLst/>
                    </a:prstGeom>
                    <a:noFill/>
                    <a:ln>
                      <a:noFill/>
                    </a:ln>
                  </pic:spPr>
                </pic:pic>
              </a:graphicData>
            </a:graphic>
          </wp:inline>
        </w:drawing>
      </w:r>
      <w:r w:rsidR="00D97A75">
        <w:rPr>
          <w:rFonts w:ascii="Times New Roman" w:eastAsia="宋体" w:hAnsi="Times New Roman" w:cs="Times New Roman" w:hint="eastAsia"/>
          <w:b/>
          <w:szCs w:val="21"/>
          <w14:ligatures w14:val="none"/>
        </w:rPr>
        <w:t xml:space="preserve"> </w:t>
      </w:r>
    </w:p>
    <w:p w14:paraId="6BA1A099" w14:textId="72B789C9" w:rsidR="00A40AE0" w:rsidRPr="00C613BE" w:rsidRDefault="00A40AE0"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 xml:space="preserve">a, </w:t>
      </w:r>
      <w:r w:rsidRPr="005B1467">
        <w:rPr>
          <w:rFonts w:ascii="Times New Roman" w:eastAsia="宋体" w:hAnsi="Times New Roman" w:cs="Times New Roman"/>
          <w:szCs w:val="21"/>
          <w14:ligatures w14:val="none"/>
        </w:rPr>
        <w:t>Temporal trends of the Energy Investment Burden Coefficient (EIBC) from 2020 to 2050 for selected regions, showing declining investment burdens across all regions with geographic coordinates indicated.</w:t>
      </w:r>
      <w:r w:rsidRPr="00C613BE">
        <w:rPr>
          <w:rFonts w:ascii="Times New Roman" w:hAnsi="Times New Roman" w:cs="Times New Roman"/>
        </w:rPr>
        <w:t xml:space="preserve"> </w:t>
      </w:r>
      <w:r w:rsidRPr="00C613BE">
        <w:rPr>
          <w:rFonts w:ascii="Times New Roman" w:eastAsia="宋体" w:hAnsi="Times New Roman" w:cs="Times New Roman"/>
          <w:b/>
          <w:bCs/>
          <w:szCs w:val="21"/>
          <w14:ligatures w14:val="none"/>
        </w:rPr>
        <w:t>b,</w:t>
      </w:r>
      <w:r w:rsidRPr="005B1467">
        <w:rPr>
          <w:rFonts w:ascii="Times New Roman" w:eastAsia="宋体" w:hAnsi="Times New Roman" w:cs="Times New Roman"/>
          <w:szCs w:val="21"/>
          <w14:ligatures w14:val="none"/>
        </w:rPr>
        <w:t xml:space="preserve"> Stacked bar charts illustrating the composition of total investment costs across different regions, categorized into Renewable Cost (blue), Storage Cost (green), LNG Cost (gray), Other Equipment Cost (purple), Discard Cost (orange), and Load Shedding Cost (red), with total cost indicated by the black line.</w:t>
      </w:r>
      <w:r w:rsidRPr="00C613BE">
        <w:rPr>
          <w:rFonts w:ascii="Times New Roman" w:hAnsi="Times New Roman" w:cs="Times New Roman"/>
        </w:rPr>
        <w:t xml:space="preserve"> </w:t>
      </w:r>
      <w:r w:rsidRPr="00C613BE">
        <w:rPr>
          <w:rFonts w:ascii="Times New Roman" w:eastAsia="宋体" w:hAnsi="Times New Roman" w:cs="Times New Roman"/>
          <w:b/>
          <w:bCs/>
          <w:szCs w:val="21"/>
          <w14:ligatures w14:val="none"/>
        </w:rPr>
        <w:t xml:space="preserve">c, </w:t>
      </w:r>
      <w:r w:rsidRPr="005B1467">
        <w:rPr>
          <w:rFonts w:ascii="Times New Roman" w:eastAsia="宋体" w:hAnsi="Times New Roman" w:cs="Times New Roman"/>
          <w:szCs w:val="21"/>
          <w14:ligatures w14:val="none"/>
        </w:rPr>
        <w:t>Geographic distribution of energy system component capacities on global islands represented by pie charts</w:t>
      </w:r>
      <w:r w:rsidR="005B1467">
        <w:rPr>
          <w:rFonts w:ascii="Times New Roman" w:eastAsia="宋体" w:hAnsi="Times New Roman" w:cs="Times New Roman" w:hint="eastAsia"/>
          <w:szCs w:val="21"/>
          <w14:ligatures w14:val="none"/>
        </w:rPr>
        <w:t xml:space="preserve">, </w:t>
      </w:r>
      <w:r w:rsidR="005B1467" w:rsidRPr="005B1467">
        <w:rPr>
          <w:rFonts w:ascii="Times New Roman" w:eastAsia="宋体" w:hAnsi="Times New Roman" w:cs="Times New Roman" w:hint="eastAsia"/>
          <w:szCs w:val="21"/>
          <w14:ligatures w14:val="none"/>
        </w:rPr>
        <w:t xml:space="preserve">designed for </w:t>
      </w:r>
      <w:r w:rsidR="005B1467">
        <w:rPr>
          <w:rFonts w:ascii="Times New Roman" w:eastAsia="宋体" w:hAnsi="Times New Roman" w:cs="Times New Roman" w:hint="eastAsia"/>
          <w:szCs w:val="21"/>
          <w14:ligatures w14:val="none"/>
        </w:rPr>
        <w:t>future risk-based scenario</w:t>
      </w:r>
      <w:r w:rsidR="005B1467" w:rsidRPr="005B1467">
        <w:rPr>
          <w:rFonts w:ascii="Times New Roman" w:eastAsia="宋体" w:hAnsi="Times New Roman" w:cs="Times New Roman" w:hint="eastAsia"/>
          <w:szCs w:val="21"/>
          <w14:ligatures w14:val="none"/>
        </w:rPr>
        <w:t xml:space="preserve"> with 2020 </w:t>
      </w:r>
      <w:r w:rsidR="005B1467">
        <w:rPr>
          <w:rFonts w:ascii="Times New Roman" w:eastAsia="宋体" w:hAnsi="Times New Roman" w:cs="Times New Roman" w:hint="eastAsia"/>
          <w:szCs w:val="21"/>
          <w14:ligatures w14:val="none"/>
        </w:rPr>
        <w:t xml:space="preserve">(left) and 2050(right) </w:t>
      </w:r>
      <w:r w:rsidR="005B1467" w:rsidRPr="005B1467">
        <w:rPr>
          <w:rFonts w:ascii="Times New Roman" w:eastAsia="宋体" w:hAnsi="Times New Roman" w:cs="Times New Roman" w:hint="eastAsia"/>
          <w:szCs w:val="21"/>
          <w14:ligatures w14:val="none"/>
        </w:rPr>
        <w:t>technology costs</w:t>
      </w:r>
      <w:r w:rsidRPr="005B1467">
        <w:rPr>
          <w:rFonts w:ascii="Times New Roman" w:eastAsia="宋体" w:hAnsi="Times New Roman" w:cs="Times New Roman"/>
          <w:szCs w:val="21"/>
          <w14:ligatures w14:val="none"/>
        </w:rPr>
        <w:t>. The charts depict the relative capacities of different technologies</w:t>
      </w:r>
      <w:r w:rsidR="00926569" w:rsidRPr="005B1467">
        <w:rPr>
          <w:rFonts w:ascii="Times New Roman" w:eastAsia="宋体" w:hAnsi="Times New Roman" w:cs="Times New Roman"/>
          <w:szCs w:val="21"/>
          <w14:ligatures w14:val="none"/>
        </w:rPr>
        <w:t>.</w:t>
      </w:r>
    </w:p>
    <w:p w14:paraId="0F22FA56" w14:textId="0DDCF118" w:rsidR="0044618E" w:rsidRPr="00C613BE" w:rsidRDefault="00F53FC1" w:rsidP="00C14660">
      <w:pPr>
        <w:ind w:firstLineChars="200" w:firstLine="420"/>
        <w:rPr>
          <w:rFonts w:ascii="Times New Roman" w:eastAsia="宋体" w:hAnsi="Times New Roman" w:cs="Times New Roman"/>
          <w:szCs w:val="21"/>
        </w:rPr>
      </w:pPr>
      <w:r w:rsidRPr="00F53FC1">
        <w:rPr>
          <w:rFonts w:ascii="Times New Roman" w:eastAsia="宋体" w:hAnsi="Times New Roman" w:cs="Times New Roman" w:hint="eastAsia"/>
          <w:szCs w:val="21"/>
        </w:rPr>
        <w:t>Technological progress is often regarded as a critical pathway to addressing global energy inequity, with cost reductions in energy storage and hydrogen production serving as illustrative examples. These two technologies are particularly relevant as they represent key scenarios of technological advancement analyzed in this study.</w:t>
      </w:r>
      <w:r w:rsidR="0044618E" w:rsidRPr="00C613BE">
        <w:rPr>
          <w:rFonts w:ascii="Times New Roman" w:eastAsia="宋体" w:hAnsi="Times New Roman" w:cs="Times New Roman"/>
          <w:szCs w:val="21"/>
        </w:rPr>
        <w:t xml:space="preserve"> Our analysis confirms these technological advances exert a universal cost-reduction effect across global islands. Simulations indicate that when storage and hydrogen costs decrease by </w:t>
      </w:r>
      <w:r w:rsidR="0044618E" w:rsidRPr="00C613BE">
        <w:rPr>
          <w:rFonts w:ascii="Cambria Math" w:eastAsia="宋体" w:hAnsi="Cambria Math" w:cs="Cambria Math"/>
          <w:szCs w:val="21"/>
        </w:rPr>
        <w:t>∼</w:t>
      </w:r>
      <w:r w:rsidR="0044618E" w:rsidRPr="00C613BE">
        <w:rPr>
          <w:rFonts w:ascii="Times New Roman" w:eastAsia="宋体" w:hAnsi="Times New Roman" w:cs="Times New Roman"/>
          <w:szCs w:val="21"/>
        </w:rPr>
        <w:t xml:space="preserve">50% from 2020 to 2050 (following current projections), average per capita energy investments under 2050 disaster risk decline by 12% globally. Most islands exhibit reduced Energy Investment Burden Coefficients (EIBC), demonstrating broad-based benefits (Fig. 7a). Specifically: Vanuatu’s EIBC decreases from </w:t>
      </w:r>
      <w:r w:rsidR="0044618E" w:rsidRPr="00C613BE">
        <w:rPr>
          <w:rFonts w:ascii="Cambria Math" w:eastAsia="宋体" w:hAnsi="Cambria Math" w:cs="Cambria Math"/>
          <w:szCs w:val="21"/>
        </w:rPr>
        <w:t>∼</w:t>
      </w:r>
      <w:r w:rsidR="0044618E" w:rsidRPr="00C613BE">
        <w:rPr>
          <w:rFonts w:ascii="Times New Roman" w:eastAsia="宋体" w:hAnsi="Times New Roman" w:cs="Times New Roman"/>
          <w:szCs w:val="21"/>
        </w:rPr>
        <w:t>0.22 (2020) to 0.18 (2050; −18%); Fiji from 0.21 to 0.16 (−24%); southeastern China from 0.08 to 0.06 (−25%); southeastern US islands show fluctuating but overall decline; while southwestern Japanese islands remain stable. This widespread reduction confirms technological progress alleviates energy investment burdens globally.</w:t>
      </w:r>
    </w:p>
    <w:p w14:paraId="59238CD9" w14:textId="77777777" w:rsidR="0044618E" w:rsidRPr="00C613BE" w:rsidRDefault="0044618E"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lastRenderedPageBreak/>
        <w:t>Cost composition analysis reveals underlying mechanisms. The proportion of storage costs (green segments) decreases over time, directly reflecting technological economies (Fig. 7b). Concurrently, renewable energy costs (blue segments) demonstrate systemic effects: lower storage/hydrogen costs enable more economical integration of intermittent renewables, facilitating higher renewable deployment and structural optimization. This synergy enhances system flexibility and clean energy competitiveness.</w:t>
      </w:r>
    </w:p>
    <w:p w14:paraId="2026161D" w14:textId="3F6AF868" w:rsidR="0044618E" w:rsidRPr="00C613BE" w:rsidRDefault="0044618E"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Declining reliance on LNG (gray segments) and gasification infrastructure (GAS) emerges as storage/hydrogen costs fall (Fig. 7b,c). Technological advances thus reconfigure optimal energy systems—increasing clean energy deployment, reducing fossil fuel imports, enhancing energy self-sufficiency, lowering security risks, and generating significant carbon mitigation co-benefits.</w:t>
      </w:r>
    </w:p>
    <w:p w14:paraId="148793EB" w14:textId="77777777" w:rsidR="0044618E" w:rsidRPr="00C613BE" w:rsidRDefault="0044618E"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Despite universal gains, cost-reduction benefits vary regionally. Vanuatu exhibits steeper declines than disaster-vulnerable southeastern China or Fiji—a divergence attributable to Pacific islands’ geographic isolation. These islands require larger storage capacities for weather resilience and supply security, heightening sensitivity to storage cost reductions. Consequently, Pacific cases show more pronounced EIBC decreases and higher storage cost shares, amplifying total cost impacts.</w:t>
      </w:r>
    </w:p>
    <w:p w14:paraId="0DF3DCF9" w14:textId="0260831B" w:rsidR="0044618E" w:rsidRPr="00C613BE" w:rsidRDefault="0044618E"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Critically, EIBC disparities persist despite technological gains. In 2020, Vanuatu and Fiji (EIBC 0.21–0.22) faced burdens 10–20× higher than the US/Japan (0.01–0.02). By 2050, Pacific EIBCs (0.16–0.18) remain 8–15× higher than developed economies’ levels. Notably, Pacific nations’ 2050 burdens still exceed developed islands’ 2020 baselines, confirming technology alleviates but does not resolve structural inequity (Fig. 7a). This gap may exacerbate economic inequality by constraining investments in education, healthcare, and development.</w:t>
      </w:r>
    </w:p>
    <w:p w14:paraId="62852679" w14:textId="5F71031D" w:rsidR="006D4136" w:rsidRPr="00C613BE" w:rsidRDefault="0044618E"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Thus, while storage/hydrogen cost reductions deliver broad-based benefits, their spatially uneven impact—and failure to eliminate fundamental disparities—underscores that technology alone cannot achieve equitable energy transitions. A 50% cost reduction only lowers high-burden EIBCs by 18–25%, insufficient to bridge 10–20× gaps. Targeted international cooperation and support mechanisms for Small Island Developing States remain imperative.</w:t>
      </w:r>
    </w:p>
    <w:p w14:paraId="20BAC7FC" w14:textId="5A56093E" w:rsidR="000036B6" w:rsidRPr="00C613BE" w:rsidRDefault="000036B6" w:rsidP="00C14660">
      <w:pPr>
        <w:rPr>
          <w:rFonts w:ascii="Times New Roman" w:eastAsia="宋体" w:hAnsi="Times New Roman" w:cs="Times New Roman"/>
          <w:b/>
          <w:szCs w:val="21"/>
          <w14:ligatures w14:val="none"/>
        </w:rPr>
      </w:pPr>
      <w:r w:rsidRPr="00C613BE">
        <w:rPr>
          <w:rFonts w:ascii="Times New Roman" w:eastAsia="宋体" w:hAnsi="Times New Roman" w:cs="Times New Roman"/>
          <w:b/>
          <w:szCs w:val="21"/>
          <w14:ligatures w14:val="none"/>
        </w:rPr>
        <w:t>Discussion</w:t>
      </w:r>
    </w:p>
    <w:p w14:paraId="0B1D7034" w14:textId="2D76ACE0" w:rsidR="00BC583B" w:rsidRPr="00C613BE" w:rsidRDefault="00BC583B"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This study reveals the spatial heterogeneity of global island energy system investments and the evolution of inequity under climate change. We demonstrate that climate risk gradients exacerbate pre-existing disparities in energy investment burdens, creating systemic regional divergence. Intensifying meteorological hazards may perpetuate and amplify inequities in the global energy transition. While anticipated cost reductions in energy storage and hydrogen production technologies offer broad benefits, their spatially uneven impact and limited scale are insufficient to intrinsically resolve this structural inequality.</w:t>
      </w:r>
    </w:p>
    <w:p w14:paraId="01DF9FE5" w14:textId="3CD2DE4D" w:rsidR="00BC583B" w:rsidRPr="00C613BE" w:rsidRDefault="00BC583B"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Fundamental spatial disparities in energy investment costs arise from differential climate conditions, supply chain complexity, and renewable resource endowments. High-latitude islands face elevated investment pressure due to greater heating demands and seasonal renewable resource mismatches. Islands with remote offshore locations incur higher fossil fuel transportation costs, necessitating greater energy storage deployment. Globally uneven renewable resource distribution further drives interregional investment differences. These inherent inequities are aggravated by climate change: Islands in high-risk zones (e.g., the Northwest Pacific "typhoon corridor") require up to 56% greater investment in storage and LNG infrastructure for climate resilience—far exceeding the global average.</w:t>
      </w:r>
    </w:p>
    <w:p w14:paraId="261A9032" w14:textId="00A6F58C" w:rsidR="00BC583B" w:rsidRPr="00C613BE" w:rsidRDefault="00BC583B"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lastRenderedPageBreak/>
        <w:t>Island energy systems exhibit self-reinforcing inequity mechanisms due to divergent climate risks and development levels. Climate change not only increases absolute investment needs in vulnerable islands but also widens the per capita investment gap between high- and low-risk regions. Analysis of the Energy Investment Burden Coefficient (EIBC) shows that for economically vulnerable islands (e.g., the Philippines), EIBC surges from 20% at baseline to 25–30% by 2050, whereas developed regions (e.g., Japan) see merely a 0.2-percentage-point increase. This divergence portends worsening inequity in the global energy transition.</w:t>
      </w:r>
    </w:p>
    <w:p w14:paraId="6BF713B1" w14:textId="5628FA05" w:rsidR="00BC583B" w:rsidRPr="00C613BE" w:rsidRDefault="00BC583B"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Although projected cost declines in storage and hydrogen technologies provide universal benefits, their impact remains spatially heterogeneous and insufficient to eliminate structural inequities. Disaster-prone, isolated islands exhibit higher sensitivity to storage costs, experiencing greater per capita investment reductions. Yet even under rapid technological advancement, Pacific Island nations</w:t>
      </w:r>
      <w:r w:rsidR="00CA326C" w:rsidRPr="00C613BE">
        <w:rPr>
          <w:rFonts w:ascii="Times New Roman" w:eastAsia="宋体" w:hAnsi="Times New Roman" w:cs="Times New Roman"/>
          <w:szCs w:val="21"/>
        </w:rPr>
        <w:t>’</w:t>
      </w:r>
      <w:r w:rsidRPr="00C613BE">
        <w:rPr>
          <w:rFonts w:ascii="Times New Roman" w:eastAsia="宋体" w:hAnsi="Times New Roman" w:cs="Times New Roman"/>
          <w:szCs w:val="21"/>
        </w:rPr>
        <w:t xml:space="preserve"> 2050 EIBC will remain 8–15 times higher than that of developed economies. This "equity-technology disconnect" underscores that innovation alone cannot resolve transition inequities.</w:t>
      </w:r>
    </w:p>
    <w:p w14:paraId="00BB5348" w14:textId="77777777" w:rsidR="00BC583B" w:rsidRPr="00C613BE" w:rsidRDefault="00BC583B"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Our findings elucidate how geographic constraints and socioeconomic vulnerability synergistically drive self-reinforcing inequity. Achieving energy justice requires solutions beyond market-driven techno-fixes.</w:t>
      </w:r>
    </w:p>
    <w:p w14:paraId="5990DDF2" w14:textId="77777777" w:rsidR="00CA326C" w:rsidRPr="00C613BE" w:rsidRDefault="00BC583B"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 xml:space="preserve">Conventional </w:t>
      </w:r>
      <w:r w:rsidR="00CA326C" w:rsidRPr="00C613BE">
        <w:rPr>
          <w:rFonts w:ascii="Times New Roman" w:eastAsia="宋体" w:hAnsi="Times New Roman" w:cs="Times New Roman"/>
          <w:szCs w:val="21"/>
        </w:rPr>
        <w:t>energy justice frameworks focus on access, affordability, and participation, often neglecting geographically determined vulnerabilities to climate risks. Our analysis reveals significant disparities driven by location: high-latitude islands face inherently higher structural energy investment needs due to climate-driven demand patterns. Similarly, islands in typhoon-prone regions incur substantial additional costs for disaster-resilient infrastructure capacity. This geographically imposed burden necessitates moving beyond egalitarian principles towards discussions of equitable compensation and differentiated responsibilities.</w:t>
      </w:r>
    </w:p>
    <w:p w14:paraId="469D2C48" w14:textId="43045523" w:rsidR="00CA326C" w:rsidRPr="00C613BE" w:rsidRDefault="00CA326C"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Island energy systems exhibit distinct vulnerabilities arising from a triple constraint: geographical isolation, limited resource endowments, and heightened climate sensitivity. This fundamentally differentiates them from mainland systems in terms of investment needs and resilience building. Firstly, geographical isolation extends supply chains, imposing a significant "geographical tax" – particularly for transporting fuels like LNG to high-latitude or remote islands – elevating baseline energy costs. Secondly, limited resource endowments constrain viable renewable options, as evidenced by case studies (e.g., Indonesia vs. Cuba) demonstrating how spatial heterogeneity in resources (e.g., wind potential) drives substantial investment disparities. Thirdly, heightened climate sensitivity requires disproportionately higher investment in adaptation and resilient infrastructure due to elevated risks from extreme weather events (e.g., typhoon damage).</w:t>
      </w:r>
    </w:p>
    <w:p w14:paraId="2E4AB4BA" w14:textId="1AAAA75E" w:rsidR="00CA326C" w:rsidRPr="00C613BE" w:rsidRDefault="00CA326C"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Current international climate finance mechanisms inadequately address these unique island constraints. Allocation based primarily on population, mitigation potential, or absolute vulnerability overlooks the critical mismatch between high investment burdens and limited economic capacity. Our results underscore the need for finance metrics that better capture the compound effects of climate risk and economic vulnerability specific to islands.</w:t>
      </w:r>
      <w:r w:rsidR="00EC164C" w:rsidRPr="00C613BE">
        <w:rPr>
          <w:rFonts w:ascii="Times New Roman" w:eastAsia="宋体" w:hAnsi="Times New Roman" w:cs="Times New Roman"/>
          <w:szCs w:val="21"/>
        </w:rPr>
        <w:t xml:space="preserve"> Moreover, t</w:t>
      </w:r>
      <w:r w:rsidRPr="00C613BE">
        <w:rPr>
          <w:rFonts w:ascii="Times New Roman" w:eastAsia="宋体" w:hAnsi="Times New Roman" w:cs="Times New Roman"/>
          <w:szCs w:val="21"/>
        </w:rPr>
        <w:t xml:space="preserve">his "decoupling of technological progress from equity" demands a strategic shift in R&amp;D priorities towards fair energy transitions. This entails prioritizing technologies with the highest cost-reduction potential in high Energy Investment Burden Coefficient (EIBC) regions; developing modular, climate-resilient solutions with flexible investment scales; and creating integrated systems aligned with local </w:t>
      </w:r>
      <w:r w:rsidRPr="00C613BE">
        <w:rPr>
          <w:rFonts w:ascii="Times New Roman" w:eastAsia="宋体" w:hAnsi="Times New Roman" w:cs="Times New Roman"/>
          <w:szCs w:val="21"/>
        </w:rPr>
        <w:lastRenderedPageBreak/>
        <w:t>resources and technical capacity.</w:t>
      </w:r>
      <w:r w:rsidR="00EC164C" w:rsidRPr="00C613BE">
        <w:rPr>
          <w:rFonts w:ascii="Times New Roman" w:eastAsia="宋体" w:hAnsi="Times New Roman" w:cs="Times New Roman"/>
          <w:szCs w:val="21"/>
        </w:rPr>
        <w:t xml:space="preserve"> </w:t>
      </w:r>
      <w:r w:rsidRPr="00C613BE">
        <w:rPr>
          <w:rFonts w:ascii="Times New Roman" w:eastAsia="宋体" w:hAnsi="Times New Roman" w:cs="Times New Roman"/>
          <w:szCs w:val="21"/>
        </w:rPr>
        <w:t>Crucially, technological innovation must be coupled with financial innovation – such as climate-risk insurance and low-cost financing mechanisms for highly vulnerable areas – to bridge investment gaps that technology alone cannot solve. Only this dual-track approach can mitigate structural inequalities in the energy transition.</w:t>
      </w:r>
    </w:p>
    <w:p w14:paraId="13DB7EB3" w14:textId="03042189" w:rsidR="00563133" w:rsidRPr="00C613BE" w:rsidRDefault="00CA326C"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Achieving a just global energy transition requires systematically reconceptualizing energy justice to incorporate geographical vulnerability, developing targeted policies for islands, and directing innovation towards equitable outcomes. These insights are critical for building a more resilient, fair, and sustainable energy future.</w:t>
      </w:r>
    </w:p>
    <w:p w14:paraId="7DF4E8ED" w14:textId="77777777" w:rsidR="00563133" w:rsidRPr="00C613BE" w:rsidRDefault="00563133" w:rsidP="00C14660">
      <w:pPr>
        <w:rPr>
          <w:rFonts w:ascii="Times New Roman" w:eastAsia="宋体" w:hAnsi="Times New Roman" w:cs="Times New Roman"/>
          <w:szCs w:val="21"/>
        </w:rPr>
      </w:pPr>
    </w:p>
    <w:p w14:paraId="5E3F9791" w14:textId="2CEA9981" w:rsidR="001D252B" w:rsidRPr="00C613BE" w:rsidRDefault="00611FF5" w:rsidP="00C14660">
      <w:pPr>
        <w:rPr>
          <w:rFonts w:ascii="Times New Roman" w:eastAsia="宋体" w:hAnsi="Times New Roman" w:cs="Times New Roman"/>
          <w:b/>
          <w:szCs w:val="21"/>
          <w14:ligatures w14:val="none"/>
        </w:rPr>
      </w:pPr>
      <w:r w:rsidRPr="00C613BE">
        <w:rPr>
          <w:rFonts w:ascii="Times New Roman" w:eastAsia="宋体" w:hAnsi="Times New Roman" w:cs="Times New Roman"/>
          <w:b/>
          <w:szCs w:val="21"/>
          <w14:ligatures w14:val="none"/>
        </w:rPr>
        <w:t>Method</w:t>
      </w:r>
    </w:p>
    <w:p w14:paraId="378C0489" w14:textId="7C9AD8D3" w:rsidR="001D252B" w:rsidRDefault="00ED4D95"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Island Integrated Energy System Model</w:t>
      </w:r>
    </w:p>
    <w:p w14:paraId="11C5B3E9" w14:textId="50CD5C6D" w:rsidR="00B20C07" w:rsidRPr="00B20C07" w:rsidRDefault="00B20C07"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Fig.</w:t>
      </w:r>
      <w:r w:rsidR="000F42BA">
        <w:rPr>
          <w:rFonts w:ascii="Times New Roman" w:eastAsia="宋体" w:hAnsi="Times New Roman" w:cs="Times New Roman" w:hint="eastAsia"/>
          <w:b/>
          <w:bCs/>
          <w:szCs w:val="21"/>
          <w14:ligatures w14:val="none"/>
        </w:rPr>
        <w:t>9</w:t>
      </w:r>
      <w:r w:rsidRPr="00C613BE">
        <w:rPr>
          <w:rFonts w:ascii="Times New Roman" w:eastAsia="宋体" w:hAnsi="Times New Roman" w:cs="Times New Roman"/>
          <w:b/>
          <w:bCs/>
          <w:szCs w:val="21"/>
          <w14:ligatures w14:val="none"/>
        </w:rPr>
        <w:t xml:space="preserve"> | Island Integrated Energy System.</w:t>
      </w:r>
    </w:p>
    <w:p w14:paraId="453C6EE4" w14:textId="43D760CA" w:rsidR="008B7CE0" w:rsidRPr="00C613BE" w:rsidRDefault="00E65C2E" w:rsidP="00C14660">
      <w:pPr>
        <w:jc w:val="center"/>
        <w:rPr>
          <w:rFonts w:ascii="Times New Roman" w:eastAsia="宋体" w:hAnsi="Times New Roman" w:cs="Times New Roman"/>
          <w:szCs w:val="21"/>
        </w:rPr>
      </w:pPr>
      <w:r w:rsidRPr="00C613BE">
        <w:rPr>
          <w:rFonts w:ascii="Times New Roman" w:eastAsia="宋体" w:hAnsi="Times New Roman" w:cs="Times New Roman"/>
          <w:noProof/>
          <w:szCs w:val="21"/>
        </w:rPr>
        <w:drawing>
          <wp:inline distT="0" distB="0" distL="0" distR="0" wp14:anchorId="74FC8DC0" wp14:editId="345E5325">
            <wp:extent cx="5274310" cy="3613785"/>
            <wp:effectExtent l="0" t="0" r="2540" b="5715"/>
            <wp:docPr id="8429150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13785"/>
                    </a:xfrm>
                    <a:prstGeom prst="rect">
                      <a:avLst/>
                    </a:prstGeom>
                    <a:noFill/>
                    <a:ln>
                      <a:noFill/>
                    </a:ln>
                  </pic:spPr>
                </pic:pic>
              </a:graphicData>
            </a:graphic>
          </wp:inline>
        </w:drawing>
      </w:r>
    </w:p>
    <w:p w14:paraId="50121D5A" w14:textId="7B92857B" w:rsidR="005E795D" w:rsidRPr="00C613BE" w:rsidRDefault="00ED4D95"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We propose an island integrated energy system (Fig.7), incorporating external energy inputs from wind, solar, wave, and liquefied natural gas (LNG). LNG is procured from the nearest base station and transported to the island (data source</w:t>
      </w:r>
      <w:r w:rsidR="005E795D" w:rsidRPr="00C613BE">
        <w:rPr>
          <w:rFonts w:ascii="Times New Roman" w:eastAsia="宋体" w:hAnsi="Times New Roman" w:cs="Times New Roman"/>
          <w:szCs w:val="21"/>
        </w:rPr>
        <w:fldChar w:fldCharType="begin"/>
      </w:r>
      <w:r w:rsidR="005E795D" w:rsidRPr="00C613BE">
        <w:rPr>
          <w:rFonts w:ascii="Times New Roman" w:eastAsia="宋体" w:hAnsi="Times New Roman" w:cs="Times New Roman"/>
          <w:szCs w:val="21"/>
        </w:rPr>
        <w:instrText xml:space="preserve"> ADDIN ZOTERO_ITEM CSL_CITATION {"citationID":"ikO5AMl7","properties":{"formattedCitation":"\\super 14\\nosupersub{}","plainCitation":"14","noteIndex":0},"citationItems":[{"id":331,"uris":["http://zotero.org/users/16842078/items/CNCHRSTR"],"itemData":{"id":331,"type":"dataset","title":"Global Gas Infrastructure Tracker","author":[{"literal":"Global Energy Monitor"}],"issued":{"date-parts":[["2024",8]]}}}],"schema":"https://github.com/citation-style-language/schema/raw/master/csl-citation.json"} </w:instrText>
      </w:r>
      <w:r w:rsidR="005E795D" w:rsidRPr="00C613BE">
        <w:rPr>
          <w:rFonts w:ascii="Times New Roman" w:eastAsia="宋体" w:hAnsi="Times New Roman" w:cs="Times New Roman"/>
          <w:szCs w:val="21"/>
        </w:rPr>
        <w:fldChar w:fldCharType="separate"/>
      </w:r>
      <w:r w:rsidR="005E795D" w:rsidRPr="00C613BE">
        <w:rPr>
          <w:rFonts w:ascii="Times New Roman" w:hAnsi="Times New Roman" w:cs="Times New Roman"/>
          <w:kern w:val="0"/>
          <w:szCs w:val="21"/>
          <w:vertAlign w:val="superscript"/>
        </w:rPr>
        <w:t>14</w:t>
      </w:r>
      <w:r w:rsidR="005E795D"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 Energy conversion and storage facilities couple these sources to meet electricity, heating, and cooling demands. Model cost and operational parameters derive from the U.S. NREL's  Annual Technology Baseline (ATB) medium-cost scenario</w:t>
      </w:r>
      <w:r w:rsidR="00531C80" w:rsidRPr="00C613BE">
        <w:rPr>
          <w:rFonts w:ascii="Times New Roman" w:eastAsia="宋体" w:hAnsi="Times New Roman" w:cs="Times New Roman"/>
          <w:szCs w:val="21"/>
        </w:rPr>
        <w:fldChar w:fldCharType="begin"/>
      </w:r>
      <w:r w:rsidR="00531C80" w:rsidRPr="00C613BE">
        <w:rPr>
          <w:rFonts w:ascii="Times New Roman" w:eastAsia="宋体" w:hAnsi="Times New Roman" w:cs="Times New Roman"/>
          <w:szCs w:val="21"/>
        </w:rPr>
        <w:instrText xml:space="preserve"> ADDIN ZOTERO_ITEM CSL_CITATION {"citationID":"qSpxPZ7K","properties":{"formattedCitation":"\\super 15\\nosupersub{}","plainCitation":"15","noteIndex":0},"citationItems":[{"id":311,"uris":["http://zotero.org/users/16842078/items/WVHV72E5"],"itemData":{"id":311,"type":"dataset","abstract":"Starting in 2015 NREL has presented the Annual Technology Baseline (ATB) in an Excel workbook that contains detailed cost and performance data, both current and projected, for renewable and conventional technologies. The workbook includes a spreadsheet for each technology. This version of the workbook provides the final updates to data for the 2021 ATB. In 2019 and 2020, NREL has also provided selected data in Tableau workbooks and structured summary csv files. The data for 2015 - 2020 is located on https://data.nrel.gov. In 2021 and going forward, the data is cloud optimized and provided in the OEDI data lake. A website documents this and future data at https://atb.nrel.gov.","DOI":"10.25984/1807473","language":"en","title":"2021 Annual Technology Baseline (ATB) Cost and Performance Data for Electricity Generation Technologies","URL":"https://data.openei.org/submissions/4129","author":[{"literal":"Vimmerstedt, Laura and Akar, et al."}],"accessed":{"date-parts":[["2025",5,11]]},"issued":{"date-parts":[["2021"]]}}}],"schema":"https://github.com/citation-style-language/schema/raw/master/csl-citation.json"} </w:instrText>
      </w:r>
      <w:r w:rsidR="00531C80" w:rsidRPr="00C613BE">
        <w:rPr>
          <w:rFonts w:ascii="Times New Roman" w:eastAsia="宋体" w:hAnsi="Times New Roman" w:cs="Times New Roman"/>
          <w:szCs w:val="21"/>
        </w:rPr>
        <w:fldChar w:fldCharType="separate"/>
      </w:r>
      <w:r w:rsidR="00531C80" w:rsidRPr="00C613BE">
        <w:rPr>
          <w:rFonts w:ascii="Times New Roman" w:hAnsi="Times New Roman" w:cs="Times New Roman"/>
          <w:kern w:val="0"/>
          <w:szCs w:val="21"/>
          <w:vertAlign w:val="superscript"/>
        </w:rPr>
        <w:t>15</w:t>
      </w:r>
      <w:r w:rsidR="00531C80"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 xml:space="preserve"> and relevant literature</w:t>
      </w:r>
      <w:r w:rsidR="00531C80" w:rsidRPr="00C613BE">
        <w:rPr>
          <w:rFonts w:ascii="Times New Roman" w:eastAsia="宋体" w:hAnsi="Times New Roman" w:cs="Times New Roman"/>
          <w:szCs w:val="21"/>
        </w:rPr>
        <w:t>, with detailed parameters provided in Supplementary Note 1. </w:t>
      </w:r>
      <w:r w:rsidR="003E6FE3" w:rsidRPr="003E6FE3">
        <w:rPr>
          <w:rFonts w:ascii="Times New Roman" w:eastAsia="宋体" w:hAnsi="Times New Roman" w:cs="Times New Roman" w:hint="eastAsia"/>
          <w:szCs w:val="21"/>
        </w:rPr>
        <w:t>The system is scaled for a 500-person community, which represents an optimal scale for demonstrating renewable energy integration in an island context</w:t>
      </w:r>
      <w:r w:rsidR="003E6FE3">
        <w:rPr>
          <w:rFonts w:ascii="Times New Roman" w:eastAsia="宋体" w:hAnsi="Times New Roman" w:cs="Times New Roman" w:hint="eastAsia"/>
          <w:szCs w:val="21"/>
        </w:rPr>
        <w:t xml:space="preserve">. </w:t>
      </w:r>
      <w:r w:rsidR="003E6FE3" w:rsidRPr="003E6FE3">
        <w:rPr>
          <w:rFonts w:ascii="Times New Roman" w:eastAsia="宋体" w:hAnsi="Times New Roman" w:cs="Times New Roman" w:hint="eastAsia"/>
          <w:szCs w:val="21"/>
        </w:rPr>
        <w:t>Based on IRENA's analysis of off-grid systems (Case 7)</w:t>
      </w:r>
      <w:r w:rsidR="000A7AE0">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{"citationID":"zCIAEjlg","properties":{"formattedCitation":"\\super 16\\nosupersub{}","plainCitation":"16","noteIndex":0},"citationItems":[{"id":439,"uris":["http://zotero.org/users/16842078/items/ZCGM2XFI"],"itemData":{"id":439,"type":"webpage","abstract":"IRENA proposes a five-phase method to assess the value of storage and create viable investment conditions. IRENA’s Electricity Storage Valuation Framework (ESVF) aims to guide storage deployment for the effective integration of solar and wind power.","language":"en","title":"Electricity Storage Valuation Framework 2020","URL":"https://www.irena.org/publications/2020/Mar/Electricity-Storage-Valuation-Framework-2020","accessed":{"date-parts":[["2025",6,1]]},"issued":{"date-parts":[["2020",3,5]]}}}],"schema":"https://github.com/citation-style-language/schema/raw/master/csl-citation.json"} </w:instrText>
      </w:r>
      <w:r w:rsidR="000A7AE0">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16</w:t>
      </w:r>
      <w:r w:rsidR="000A7AE0">
        <w:rPr>
          <w:rFonts w:ascii="Times New Roman" w:eastAsia="宋体" w:hAnsi="Times New Roman" w:cs="Times New Roman"/>
          <w:szCs w:val="21"/>
        </w:rPr>
        <w:fldChar w:fldCharType="end"/>
      </w:r>
      <w:r w:rsidR="003E6FE3" w:rsidRPr="003E6FE3">
        <w:rPr>
          <w:rFonts w:ascii="Times New Roman" w:eastAsia="宋体" w:hAnsi="Times New Roman" w:cs="Times New Roman" w:hint="eastAsia"/>
          <w:szCs w:val="21"/>
        </w:rPr>
        <w:t>, this scale is particularly suitable for comprehensive hybrid renewable solutions, as it allows for meaningful capacity deployment (typically 0.5-2 MW) while remaining manageable in terms of system complexity and investment requirements.</w:t>
      </w:r>
      <w:r w:rsidR="003E6FE3">
        <w:rPr>
          <w:rFonts w:ascii="Times New Roman" w:eastAsia="宋体" w:hAnsi="Times New Roman" w:cs="Times New Roman" w:hint="eastAsia"/>
          <w:szCs w:val="21"/>
        </w:rPr>
        <w:t xml:space="preserve"> </w:t>
      </w:r>
      <w:r w:rsidR="003E6FE3" w:rsidRPr="003E6FE3">
        <w:rPr>
          <w:rFonts w:ascii="Times New Roman" w:eastAsia="宋体" w:hAnsi="Times New Roman" w:cs="Times New Roman" w:hint="eastAsia"/>
          <w:szCs w:val="21"/>
        </w:rPr>
        <w:t>For islands with smaller populations, we scale the system accordingly using their actual population size to maintain per capita energy adequacy.</w:t>
      </w:r>
    </w:p>
    <w:p w14:paraId="6182F72C" w14:textId="77777777" w:rsidR="00531C80" w:rsidRPr="00C613BE" w:rsidRDefault="00531C80" w:rsidP="00C14660">
      <w:pPr>
        <w:jc w:val="left"/>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lastRenderedPageBreak/>
        <w:t>Renewable Potential and Demand Assessment</w:t>
      </w:r>
    </w:p>
    <w:p w14:paraId="2394801C" w14:textId="3179AF33" w:rsidR="00531C80" w:rsidRPr="00C613BE" w:rsidRDefault="00531C80" w:rsidP="00C14660">
      <w:pPr>
        <w:ind w:firstLineChars="200" w:firstLine="420"/>
        <w:rPr>
          <w:rFonts w:ascii="Times New Roman" w:hAnsi="Times New Roman" w:cs="Times New Roman"/>
        </w:rPr>
      </w:pPr>
      <w:r w:rsidRPr="00C613BE">
        <w:rPr>
          <w:rFonts w:ascii="Times New Roman" w:eastAsia="宋体" w:hAnsi="Times New Roman" w:cs="Times New Roman"/>
          <w:szCs w:val="21"/>
        </w:rPr>
        <w:t xml:space="preserve">Hourly solar photovoltaic (PV) and wind generation profiles were simulated using the </w:t>
      </w:r>
      <w:r w:rsidR="00194D2D" w:rsidRPr="00C613BE">
        <w:rPr>
          <w:rFonts w:ascii="Times New Roman" w:eastAsia="宋体" w:hAnsi="Times New Roman" w:cs="Times New Roman"/>
          <w:i/>
          <w:iCs/>
          <w:szCs w:val="21"/>
        </w:rPr>
        <w:t>Renewables.ninja</w:t>
      </w:r>
      <w:r w:rsidRPr="00C613BE">
        <w:rPr>
          <w:rFonts w:ascii="Times New Roman" w:eastAsia="宋体" w:hAnsi="Times New Roman" w:cs="Times New Roman"/>
          <w:szCs w:val="21"/>
        </w:rPr>
        <w:t xml:space="preserve"> platform</w:t>
      </w:r>
      <w:r w:rsidR="005E795D" w:rsidRPr="00C613BE">
        <w:rPr>
          <w:rFonts w:ascii="Times New Roman" w:eastAsia="宋体" w:hAnsi="Times New Roman" w:cs="Times New Roman"/>
          <w:szCs w:val="21"/>
          <w:vertAlign w:val="superscript"/>
        </w:rPr>
        <w:fldChar w:fldCharType="begin"/>
      </w:r>
      <w:r w:rsidR="000A7AE0">
        <w:rPr>
          <w:rFonts w:ascii="Times New Roman" w:eastAsia="宋体" w:hAnsi="Times New Roman" w:cs="Times New Roman"/>
          <w:szCs w:val="21"/>
          <w:vertAlign w:val="superscript"/>
        </w:rPr>
        <w:instrText xml:space="preserve"> ADDIN ZOTERO_ITEM CSL_CITATION {"citationID":"ypsRn0lO","properties":{"formattedCitation":"\\super 17,18\\nosupersub{}","plainCitation":"17,18","noteIndex":0},"citationItems":[{"id":316,"uris":["http://zotero.org/users/16842078/items/PPUK5B9H"],"itemData":{"id":316,"type":"article-journal","abstract":"Solar PV is rapidly growing globally, creating difﬁcult questions around how to efﬁciently integrate it into national electricity grids. Its time-varying power output is difﬁcult to model credibly because it depends on complex and variable weather systems, leading to difﬁculty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ﬁnd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www.renewables.ninja.","container-title":"Energy","DOI":"10.1016/j.energy.2016.08.060","ISSN":"03605442","journalAbbreviation":"Energy","language":"en","page":"1251-1265","source":"DOI.org (Crossref)","title":"Long-term patterns of European PV output using 30 years of validated hourly reanalysis and satellite data","volume":"114","author":[{"family":"Pfenninger","given":"Stefan"},{"family":"Staffell","given":"Iain"}],"issued":{"date-parts":[["2016",11]]}},"label":"page"},{"id":325,"uris":["http://zotero.org/users/16842078/items/RHK6HNY4"],"itemData":{"id":325,"type":"article-journal","abstract":"Reanalysis models are rapidly gaining popularity for simulating wind power output due to their convenience and global coverage. However, they should only be relied upon once thoroughly proven. This paper reports the ﬁrst international validation of reanalysis for wind energy, testing NASA's MERRA and MERRA-2 in 23 European countries. Both reanalyses suffer signiﬁcant spatial bias, overestimating wind output by 50% in northwest Europe and underestimating by 30% in the Mediterranean. We derive national correction factors, and show that after calibration national hourly output can be modelled with R2 above 0.95. Our underlying data are made freely available to aid future research.","container-title":"Energy","DOI":"10.1016/j.energy.2016.08.068","ISSN":"03605442","journalAbbreviation":"Energy","language":"en","page":"1224-1239","source":"DOI.org (Crossref)","title":"Using bias-corrected reanalysis to simulate current and future wind power output","volume":"114","author":[{"family":"Staffell","given":"Iain"},{"family":"Pfenninger","given":"Stefan"}],"issued":{"date-parts":[["2016",11]]}},"label":"page"}],"schema":"https://github.com/citation-style-language/schema/raw/master/csl-citation.json"} </w:instrText>
      </w:r>
      <w:r w:rsidR="005E795D" w:rsidRPr="00C613BE">
        <w:rPr>
          <w:rFonts w:ascii="Times New Roman" w:eastAsia="宋体" w:hAnsi="Times New Roman" w:cs="Times New Roman"/>
          <w:szCs w:val="21"/>
          <w:vertAlign w:val="superscript"/>
        </w:rPr>
        <w:fldChar w:fldCharType="separate"/>
      </w:r>
      <w:r w:rsidR="000A7AE0" w:rsidRPr="000A7AE0">
        <w:rPr>
          <w:rFonts w:ascii="Times New Roman" w:hAnsi="Times New Roman" w:cs="Times New Roman"/>
          <w:kern w:val="0"/>
          <w:vertAlign w:val="superscript"/>
        </w:rPr>
        <w:t>17,18</w:t>
      </w:r>
      <w:r w:rsidR="005E795D" w:rsidRPr="00C613BE">
        <w:rPr>
          <w:rFonts w:ascii="Times New Roman" w:eastAsia="宋体" w:hAnsi="Times New Roman" w:cs="Times New Roman"/>
          <w:szCs w:val="21"/>
          <w:vertAlign w:val="superscript"/>
        </w:rPr>
        <w:fldChar w:fldCharType="end"/>
      </w:r>
      <w:r w:rsidRPr="00C613BE">
        <w:rPr>
          <w:rFonts w:ascii="Times New Roman" w:hAnsi="Times New Roman" w:cs="Times New Roman"/>
        </w:rPr>
        <w:t xml:space="preserve"> , leveraging historical meteorological data (ERA5, MERRA-2) and performance models. Simulations used 2020 data with each island represented by its centroid coordinates.</w:t>
      </w:r>
    </w:p>
    <w:p w14:paraId="15E6FFB8" w14:textId="714CB120" w:rsidR="00531C80" w:rsidRPr="00C613BE" w:rsidRDefault="00531C80"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PV systems were modeled as fixed-tilt installations with tilt angles optimized for maximum annual yield. Azimuth was set southward (Northern Hemisphere) or northward (Southern Hemisphere). To avoid artificial capacity constraints during optimization, maximum AC power input was scaled proportionally to population (2.0 kW/person), with system losses set at 10%. Wind simulations used Vestas V90 2000 turbines at 80m hub height, with maximum AC power input similarly set to 2.0 kW/person.</w:t>
      </w:r>
    </w:p>
    <w:p w14:paraId="5C3A7EBF" w14:textId="67BEB775" w:rsidR="005E795D" w:rsidRPr="00C613BE" w:rsidRDefault="00531C80"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Wave energy density (kW/m) and significant wave height (m) under SSP585 scenario were sourced from a global wave model data</w:t>
      </w:r>
      <w:r w:rsidR="005E795D"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{"citationID":"vlyronYy","properties":{"formattedCitation":"\\super 19\\nosupersub{}","plainCitation":"19","noteIndex":0},"citationItems":[{"id":313,"uris":["http://zotero.org/users/16842078/items/TA2GWXZX"],"itemData":{"id":313,"type":"article-journal","abstract":"Ocean wave climate, including wind waves and swells, is essential to human marine activities and global or regional climate systems, and is highly related to harnessing wave energy resources. In this study, a global 3-hourly instantaneous wave dataset was established with the third-generation wave model MASNUM-WAM and wind forcings derived from the products of the First Institute of Oceanography-Earth System Model version 2.0, the climate model coupled with wave model, under the unified framework of the Coupled Model Intercomparison Project phase 6. This dataset contains 17 wave parameters, including the information associated with wave energy and spectral shape geometries, from one historical (1950–2014) simulation and three future (2015–2100) scenario experiments (ssp125, ssp245, and ssp585). Moreover, all the parameters can be accessed separately in the form of wind waves and swells. The historical results show that the simulated wave characteristics agree well with satellite observations and the ERA5 reanalysis products. This dataset can provide the community with a unique and informative data source for wave climate and wave energy resource research.","container-title":"Scientific Data","DOI":"10.1038/s41597-023-02151-w","ISSN":"2052-4463","issue":"1","journalAbbreviation":"Sci Data","language":"en","license":"2023 The Author(s)","note":"publisher: Nature Publishing Group","page":"225","source":"www.nature.com","title":"Global 3-hourly wind-wave and swell data for wave climate and wave energy resource research from 1950 to 2100","volume":"10","author":[{"family":"Jiang","given":"Xingjie"},{"family":"Xie","given":"Botao"},{"family":"Bao","given":"Ying"},{"family":"Song","given":"Zhenya"}],"issued":{"date-parts":[["2023",4,20]]}}}],"schema":"https://github.com/citation-style-language/schema/raw/master/csl-citation.json"} </w:instrText>
      </w:r>
      <w:r w:rsidR="005E795D"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19</w:t>
      </w:r>
      <w:r w:rsidR="005E795D"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w:t>
      </w:r>
      <w:r w:rsidR="003122A5" w:rsidRPr="00C613BE">
        <w:rPr>
          <w:rFonts w:ascii="Times New Roman" w:hAnsi="Times New Roman" w:cs="Times New Roman"/>
        </w:rPr>
        <w:t xml:space="preserve"> and </w:t>
      </w:r>
      <w:r w:rsidR="009A4ECD" w:rsidRPr="00C613BE">
        <w:rPr>
          <w:rFonts w:ascii="Times New Roman" w:eastAsia="宋体" w:hAnsi="Times New Roman" w:cs="Times New Roman"/>
          <w:szCs w:val="21"/>
        </w:rPr>
        <w:t xml:space="preserve">to </w:t>
      </w:r>
      <w:r w:rsidR="003122A5" w:rsidRPr="00C613BE">
        <w:rPr>
          <w:rFonts w:ascii="Times New Roman" w:eastAsia="宋体" w:hAnsi="Times New Roman" w:cs="Times New Roman"/>
          <w:szCs w:val="21"/>
        </w:rPr>
        <w:t>fully explore the configuration potential of wave energy facilities in the optimization model, the maximum wave energy facility length per island was set to 1 km.</w:t>
      </w:r>
    </w:p>
    <w:p w14:paraId="4B1D515C" w14:textId="446E67C3" w:rsidR="005E795D" w:rsidRPr="00C613BE" w:rsidRDefault="00531C80"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Hourly heating and cooling demands were simulated using </w:t>
      </w:r>
      <w:r w:rsidR="00194D2D" w:rsidRPr="00C613BE">
        <w:rPr>
          <w:rFonts w:ascii="Times New Roman" w:eastAsia="宋体" w:hAnsi="Times New Roman" w:cs="Times New Roman"/>
          <w:i/>
          <w:iCs/>
          <w:szCs w:val="21"/>
        </w:rPr>
        <w:t>Renewables.ninja</w:t>
      </w:r>
      <w:r w:rsidRPr="00C613BE">
        <w:rPr>
          <w:rFonts w:ascii="Times New Roman" w:eastAsia="宋体" w:hAnsi="Times New Roman" w:cs="Times New Roman"/>
          <w:szCs w:val="21"/>
        </w:rPr>
        <w:t xml:space="preserve"> methodology</w:t>
      </w:r>
      <w:r w:rsidR="005E795D"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{"citationID":"UGBNxzNK","properties":{"formattedCitation":"\\super 20\\nosupersub{}","plainCitation":"20","noteIndex":0},"citationItems":[{"id":317,"uris":["http://zotero.org/users/16842078/items/KHBRQ5NA"],"itemData":{"id":317,"type":"article-journal","abstract":"Accurate modelling of the weather’s temporal and spatial impacts on building energy demand is critical to decarbonizing energy systems. Here we introduce a customizable model for hourly heating and cooling demand applicable globally at all spatial scales. We validate against demand from ~5,000 buildings and 43 regions across four continents. The model requires limited data inputs and shows better agreement with measured demand than existing models. We use it first to demonstrate that a 1 °C reduction in thermostat settings across all buildings could reduce Europe’s gas consumption by 240 TWh yr−1, approximately one-sixth of historical imports from Russia. Second, we show that service demand for cooling is increasing by up to 5% per year in some regions due to climate change, and 5 billion people experience &gt;100 additional cooling degree days per year when compared with a generation ago. The model and underlying data are freely accessible to promote further research.","container-title":"Nature Energy","DOI":"10.1038/s41560-023-01341-5","ISSN":"2058-7546","issue":"12","journalAbbreviation":"Nat Energy","language":"en","license":"2023 The Author(s)","note":"publisher: Nature Publishing Group","page":"1328-1344","source":"www.nature.com","title":"A global model of hourly space heating and cooling demand at multiple spatial scales","volume":"8","author":[{"family":"Staffell","given":"Iain"},{"family":"Pfenninger","given":"Stefan"},{"family":"Johnson","given":"Nathan"}],"issued":{"date-parts":[["2023",12]]}}}],"schema":"https://github.com/citation-style-language/schema/raw/master/csl-citation.json"} </w:instrText>
      </w:r>
      <w:r w:rsidR="005E795D"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20</w:t>
      </w:r>
      <w:r w:rsidR="005E795D" w:rsidRPr="00C613BE">
        <w:rPr>
          <w:rFonts w:ascii="Times New Roman" w:eastAsia="宋体" w:hAnsi="Times New Roman" w:cs="Times New Roman"/>
          <w:szCs w:val="21"/>
        </w:rPr>
        <w:fldChar w:fldCharType="end"/>
      </w:r>
      <w:r w:rsidR="00053C37" w:rsidRPr="00C613BE">
        <w:rPr>
          <w:rFonts w:ascii="Times New Roman" w:hAnsi="Times New Roman" w:cs="Times New Roman"/>
        </w:rPr>
        <w:t xml:space="preserve"> </w:t>
      </w:r>
      <w:r w:rsidR="00053C37" w:rsidRPr="00C613BE">
        <w:rPr>
          <w:rFonts w:ascii="Times New Roman" w:eastAsia="宋体" w:hAnsi="Times New Roman" w:cs="Times New Roman"/>
          <w:szCs w:val="21"/>
        </w:rPr>
        <w:t xml:space="preserve">. Heating demand initiates when ambient temperature falls below region-specific heating thresholds, while cooling demand activates when temperature exceeds cooling thresholds. Calculations incorporate regional parameters as defined in Table 1 </w:t>
      </w:r>
      <w:r w:rsidR="005E795D"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{"citationID":"LzzWNb2Z","properties":{"formattedCitation":"\\super 20\\nosupersub{}","plainCitation":"20","noteIndex":0},"citationItems":[{"id":317,"uris":["http://zotero.org/users/16842078/items/KHBRQ5NA"],"itemData":{"id":317,"type":"article-journal","abstract":"Accurate modelling of the weather’s temporal and spatial impacts on building energy demand is critical to decarbonizing energy systems. Here we introduce a customizable model for hourly heating and cooling demand applicable globally at all spatial scales. We validate against demand from ~5,000 buildings and 43 regions across four continents. The model requires limited data inputs and shows better agreement with measured demand than existing models. We use it first to demonstrate that a 1 °C reduction in thermostat settings across all buildings could reduce Europe’s gas consumption by 240 TWh yr−1, approximately one-sixth of historical imports from Russia. Second, we show that service demand for cooling is increasing by up to 5% per year in some regions due to climate change, and 5 billion people experience &gt;100 additional cooling degree days per year when compared with a generation ago. The model and underlying data are freely accessible to promote further research.","container-title":"Nature Energy","DOI":"10.1038/s41560-023-01341-5","ISSN":"2058-7546","issue":"12","journalAbbreviation":"Nat Energy","language":"en","license":"2023 The Author(s)","note":"publisher: Nature Publishing Group","page":"1328-1344","source":"www.nature.com","title":"A global model of hourly space heating and cooling demand at multiple spatial scales","volume":"8","author":[{"family":"Staffell","given":"Iain"},{"family":"Pfenninger","given":"Stefan"},{"family":"Johnson","given":"Nathan"}],"issued":{"date-parts":[["2023",12]]}}}],"schema":"https://github.com/citation-style-language/schema/raw/master/csl-citation.json"} </w:instrText>
      </w:r>
      <w:r w:rsidR="005E795D"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20</w:t>
      </w:r>
      <w:r w:rsidR="005E795D" w:rsidRPr="00C613BE">
        <w:rPr>
          <w:rFonts w:ascii="Times New Roman" w:eastAsia="宋体" w:hAnsi="Times New Roman" w:cs="Times New Roman"/>
          <w:szCs w:val="21"/>
        </w:rPr>
        <w:fldChar w:fldCharType="end"/>
      </w:r>
      <w:r w:rsidR="005E795D" w:rsidRPr="00C613BE">
        <w:rPr>
          <w:rFonts w:ascii="Times New Roman" w:eastAsia="宋体" w:hAnsi="Times New Roman" w:cs="Times New Roman"/>
          <w:szCs w:val="21"/>
        </w:rPr>
        <w:t>：</w:t>
      </w:r>
    </w:p>
    <w:p w14:paraId="3EFF90F7" w14:textId="22ECDF02" w:rsidR="0008360B" w:rsidRPr="00B20C07" w:rsidRDefault="0008360B" w:rsidP="00C14660">
      <w:pPr>
        <w:ind w:firstLine="420"/>
        <w:jc w:val="center"/>
        <w:rPr>
          <w:rFonts w:ascii="Times New Roman" w:eastAsia="宋体" w:hAnsi="Times New Roman" w:cs="Times New Roman"/>
          <w:b/>
          <w:bCs/>
          <w:szCs w:val="21"/>
        </w:rPr>
      </w:pPr>
      <w:r w:rsidRPr="00B20C07">
        <w:rPr>
          <w:rFonts w:ascii="Times New Roman" w:eastAsia="宋体" w:hAnsi="Times New Roman" w:cs="Times New Roman"/>
          <w:b/>
          <w:bCs/>
          <w:szCs w:val="21"/>
        </w:rPr>
        <w:t>Table 1 Cooling and heating load parameters</w:t>
      </w:r>
    </w:p>
    <w:tbl>
      <w:tblPr>
        <w:tblW w:w="10302" w:type="dxa"/>
        <w:tblInd w:w="-1074" w:type="dxa"/>
        <w:tblBorders>
          <w:top w:val="single" w:sz="4" w:space="0" w:color="auto"/>
          <w:bottom w:val="single" w:sz="4" w:space="0" w:color="auto"/>
        </w:tblBorders>
        <w:tblLook w:val="04A0" w:firstRow="1" w:lastRow="0" w:firstColumn="1" w:lastColumn="0" w:noHBand="0" w:noVBand="1"/>
      </w:tblPr>
      <w:tblGrid>
        <w:gridCol w:w="914"/>
        <w:gridCol w:w="1068"/>
        <w:gridCol w:w="1068"/>
        <w:gridCol w:w="1292"/>
        <w:gridCol w:w="1292"/>
        <w:gridCol w:w="922"/>
        <w:gridCol w:w="1291"/>
        <w:gridCol w:w="1179"/>
        <w:gridCol w:w="1276"/>
      </w:tblGrid>
      <w:tr w:rsidR="00AB5E18" w:rsidRPr="00C613BE" w14:paraId="55050E59" w14:textId="77777777" w:rsidTr="002C1EE1">
        <w:trPr>
          <w:trHeight w:val="790"/>
        </w:trPr>
        <w:tc>
          <w:tcPr>
            <w:tcW w:w="914" w:type="dxa"/>
            <w:tcBorders>
              <w:top w:val="single" w:sz="4" w:space="0" w:color="auto"/>
              <w:bottom w:val="single" w:sz="4" w:space="0" w:color="auto"/>
            </w:tcBorders>
            <w:noWrap/>
            <w:vAlign w:val="center"/>
            <w:hideMark/>
          </w:tcPr>
          <w:p w14:paraId="11C9467E"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regions</w:t>
            </w:r>
          </w:p>
        </w:tc>
        <w:tc>
          <w:tcPr>
            <w:tcW w:w="1068" w:type="dxa"/>
            <w:tcBorders>
              <w:top w:val="single" w:sz="4" w:space="0" w:color="auto"/>
              <w:bottom w:val="single" w:sz="4" w:space="0" w:color="auto"/>
            </w:tcBorders>
            <w:vAlign w:val="center"/>
            <w:hideMark/>
          </w:tcPr>
          <w:p w14:paraId="71A1FD67"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 xml:space="preserve">Heating </w:t>
            </w:r>
            <w:r w:rsidRPr="00C613BE">
              <w:rPr>
                <w:rFonts w:ascii="Times New Roman" w:eastAsia="宋体" w:hAnsi="Times New Roman" w:cs="Times New Roman"/>
                <w:b/>
                <w:bCs/>
                <w:color w:val="000000"/>
                <w:kern w:val="0"/>
                <w:szCs w:val="21"/>
                <w14:ligatures w14:val="none"/>
              </w:rPr>
              <w:br/>
              <w:t>threshold</w:t>
            </w:r>
            <w:r w:rsidRPr="00C613BE">
              <w:rPr>
                <w:rFonts w:ascii="Times New Roman" w:eastAsia="宋体" w:hAnsi="Times New Roman" w:cs="Times New Roman"/>
                <w:b/>
                <w:bCs/>
                <w:color w:val="000000"/>
                <w:kern w:val="0"/>
                <w:szCs w:val="21"/>
                <w14:ligatures w14:val="none"/>
              </w:rPr>
              <w:br/>
              <w:t>[°C]</w:t>
            </w:r>
          </w:p>
        </w:tc>
        <w:tc>
          <w:tcPr>
            <w:tcW w:w="1068" w:type="dxa"/>
            <w:tcBorders>
              <w:top w:val="single" w:sz="4" w:space="0" w:color="auto"/>
              <w:bottom w:val="single" w:sz="4" w:space="0" w:color="auto"/>
            </w:tcBorders>
            <w:vAlign w:val="center"/>
            <w:hideMark/>
          </w:tcPr>
          <w:p w14:paraId="6E834A02"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 xml:space="preserve">Cooling </w:t>
            </w:r>
            <w:r w:rsidRPr="00C613BE">
              <w:rPr>
                <w:rFonts w:ascii="Times New Roman" w:eastAsia="宋体" w:hAnsi="Times New Roman" w:cs="Times New Roman"/>
                <w:b/>
                <w:bCs/>
                <w:color w:val="000000"/>
                <w:kern w:val="0"/>
                <w:szCs w:val="21"/>
                <w14:ligatures w14:val="none"/>
              </w:rPr>
              <w:br/>
              <w:t>threshold</w:t>
            </w:r>
            <w:r w:rsidRPr="00C613BE">
              <w:rPr>
                <w:rFonts w:ascii="Times New Roman" w:eastAsia="宋体" w:hAnsi="Times New Roman" w:cs="Times New Roman"/>
                <w:b/>
                <w:bCs/>
                <w:color w:val="000000"/>
                <w:kern w:val="0"/>
                <w:szCs w:val="21"/>
                <w14:ligatures w14:val="none"/>
              </w:rPr>
              <w:br/>
              <w:t>[°C]</w:t>
            </w:r>
          </w:p>
        </w:tc>
        <w:tc>
          <w:tcPr>
            <w:tcW w:w="1292" w:type="dxa"/>
            <w:tcBorders>
              <w:top w:val="single" w:sz="4" w:space="0" w:color="auto"/>
              <w:bottom w:val="single" w:sz="4" w:space="0" w:color="auto"/>
            </w:tcBorders>
            <w:vAlign w:val="center"/>
            <w:hideMark/>
          </w:tcPr>
          <w:p w14:paraId="3DBB16A7"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 xml:space="preserve">Heating </w:t>
            </w:r>
            <w:r w:rsidRPr="00C613BE">
              <w:rPr>
                <w:rFonts w:ascii="Times New Roman" w:eastAsia="宋体" w:hAnsi="Times New Roman" w:cs="Times New Roman"/>
                <w:b/>
                <w:bCs/>
                <w:color w:val="000000"/>
                <w:kern w:val="0"/>
                <w:szCs w:val="21"/>
                <w14:ligatures w14:val="none"/>
              </w:rPr>
              <w:br/>
              <w:t>power</w:t>
            </w:r>
            <w:r w:rsidRPr="00C613BE">
              <w:rPr>
                <w:rFonts w:ascii="Times New Roman" w:eastAsia="宋体" w:hAnsi="Times New Roman" w:cs="Times New Roman"/>
                <w:b/>
                <w:bCs/>
                <w:color w:val="000000"/>
                <w:kern w:val="0"/>
                <w:szCs w:val="21"/>
                <w14:ligatures w14:val="none"/>
              </w:rPr>
              <w:br/>
              <w:t>[W/(°C · p)]</w:t>
            </w:r>
          </w:p>
        </w:tc>
        <w:tc>
          <w:tcPr>
            <w:tcW w:w="1292" w:type="dxa"/>
            <w:tcBorders>
              <w:top w:val="single" w:sz="4" w:space="0" w:color="auto"/>
              <w:bottom w:val="single" w:sz="4" w:space="0" w:color="auto"/>
            </w:tcBorders>
            <w:vAlign w:val="center"/>
            <w:hideMark/>
          </w:tcPr>
          <w:p w14:paraId="4D60DC1C"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 xml:space="preserve">Cooling </w:t>
            </w:r>
            <w:r w:rsidRPr="00C613BE">
              <w:rPr>
                <w:rFonts w:ascii="Times New Roman" w:eastAsia="宋体" w:hAnsi="Times New Roman" w:cs="Times New Roman"/>
                <w:b/>
                <w:bCs/>
                <w:color w:val="000000"/>
                <w:kern w:val="0"/>
                <w:szCs w:val="21"/>
                <w14:ligatures w14:val="none"/>
              </w:rPr>
              <w:br/>
              <w:t>power</w:t>
            </w:r>
            <w:r w:rsidRPr="00C613BE">
              <w:rPr>
                <w:rFonts w:ascii="Times New Roman" w:eastAsia="宋体" w:hAnsi="Times New Roman" w:cs="Times New Roman"/>
                <w:b/>
                <w:bCs/>
                <w:color w:val="000000"/>
                <w:kern w:val="0"/>
                <w:szCs w:val="21"/>
                <w14:ligatures w14:val="none"/>
              </w:rPr>
              <w:br/>
              <w:t>[W/(°C · p)]</w:t>
            </w:r>
          </w:p>
        </w:tc>
        <w:tc>
          <w:tcPr>
            <w:tcW w:w="922" w:type="dxa"/>
            <w:tcBorders>
              <w:top w:val="single" w:sz="4" w:space="0" w:color="auto"/>
              <w:bottom w:val="single" w:sz="4" w:space="0" w:color="auto"/>
            </w:tcBorders>
            <w:vAlign w:val="center"/>
            <w:hideMark/>
          </w:tcPr>
          <w:p w14:paraId="17E8F70A"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 xml:space="preserve">Smooth </w:t>
            </w:r>
            <w:r w:rsidRPr="00C613BE">
              <w:rPr>
                <w:rFonts w:ascii="Times New Roman" w:eastAsia="宋体" w:hAnsi="Times New Roman" w:cs="Times New Roman"/>
                <w:b/>
                <w:bCs/>
                <w:color w:val="000000"/>
                <w:kern w:val="0"/>
                <w:szCs w:val="21"/>
                <w14:ligatures w14:val="none"/>
              </w:rPr>
              <w:br/>
              <w:t>coef.</w:t>
            </w:r>
            <w:r w:rsidRPr="00C613BE">
              <w:rPr>
                <w:rFonts w:ascii="Times New Roman" w:eastAsia="宋体" w:hAnsi="Times New Roman" w:cs="Times New Roman"/>
                <w:b/>
                <w:bCs/>
                <w:color w:val="000000"/>
                <w:kern w:val="0"/>
                <w:szCs w:val="21"/>
                <w14:ligatures w14:val="none"/>
              </w:rPr>
              <w:br/>
              <w:t>[day</w:t>
            </w:r>
            <w:r w:rsidRPr="00C613BE">
              <w:rPr>
                <w:rFonts w:ascii="Times New Roman" w:eastAsia="宋体" w:hAnsi="Times New Roman" w:cs="Times New Roman"/>
                <w:b/>
                <w:bCs/>
                <w:color w:val="000000"/>
                <w:kern w:val="0"/>
                <w:szCs w:val="21"/>
                <w:vertAlign w:val="superscript"/>
                <w14:ligatures w14:val="none"/>
              </w:rPr>
              <w:t>-1</w:t>
            </w:r>
            <w:r w:rsidRPr="00C613BE">
              <w:rPr>
                <w:rFonts w:ascii="Times New Roman" w:eastAsia="宋体" w:hAnsi="Times New Roman" w:cs="Times New Roman"/>
                <w:b/>
                <w:bCs/>
                <w:color w:val="000000"/>
                <w:kern w:val="0"/>
                <w:szCs w:val="21"/>
                <w14:ligatures w14:val="none"/>
              </w:rPr>
              <w:t>]</w:t>
            </w:r>
          </w:p>
        </w:tc>
        <w:tc>
          <w:tcPr>
            <w:tcW w:w="1291" w:type="dxa"/>
            <w:tcBorders>
              <w:top w:val="single" w:sz="4" w:space="0" w:color="auto"/>
              <w:bottom w:val="single" w:sz="4" w:space="0" w:color="auto"/>
            </w:tcBorders>
            <w:vAlign w:val="center"/>
            <w:hideMark/>
          </w:tcPr>
          <w:p w14:paraId="5F59FE71"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Solar</w:t>
            </w:r>
            <w:r w:rsidRPr="00C613BE">
              <w:rPr>
                <w:rFonts w:ascii="Times New Roman" w:eastAsia="宋体" w:hAnsi="Times New Roman" w:cs="Times New Roman"/>
                <w:b/>
                <w:bCs/>
                <w:color w:val="000000"/>
                <w:kern w:val="0"/>
                <w:szCs w:val="21"/>
                <w14:ligatures w14:val="none"/>
              </w:rPr>
              <w:br/>
              <w:t>coef.</w:t>
            </w:r>
            <w:r w:rsidRPr="00C613BE">
              <w:rPr>
                <w:rFonts w:ascii="Times New Roman" w:eastAsia="宋体" w:hAnsi="Times New Roman" w:cs="Times New Roman"/>
                <w:b/>
                <w:bCs/>
                <w:color w:val="000000"/>
                <w:kern w:val="0"/>
                <w:szCs w:val="21"/>
                <w14:ligatures w14:val="none"/>
              </w:rPr>
              <w:br/>
              <w:t>[°C/(Wm</w:t>
            </w:r>
            <w:r w:rsidRPr="00C613BE">
              <w:rPr>
                <w:rFonts w:ascii="Times New Roman" w:eastAsia="宋体" w:hAnsi="Times New Roman" w:cs="Times New Roman"/>
                <w:b/>
                <w:bCs/>
                <w:color w:val="000000"/>
                <w:kern w:val="0"/>
                <w:szCs w:val="21"/>
                <w:vertAlign w:val="superscript"/>
                <w14:ligatures w14:val="none"/>
              </w:rPr>
              <w:t>-2</w:t>
            </w:r>
            <w:r w:rsidRPr="00C613BE">
              <w:rPr>
                <w:rFonts w:ascii="Times New Roman" w:eastAsia="宋体" w:hAnsi="Times New Roman" w:cs="Times New Roman"/>
                <w:b/>
                <w:bCs/>
                <w:color w:val="000000"/>
                <w:kern w:val="0"/>
                <w:szCs w:val="21"/>
                <w14:ligatures w14:val="none"/>
              </w:rPr>
              <w:t>)]</w:t>
            </w:r>
          </w:p>
        </w:tc>
        <w:tc>
          <w:tcPr>
            <w:tcW w:w="1179" w:type="dxa"/>
            <w:tcBorders>
              <w:top w:val="single" w:sz="4" w:space="0" w:color="auto"/>
              <w:bottom w:val="single" w:sz="4" w:space="0" w:color="auto"/>
            </w:tcBorders>
            <w:vAlign w:val="center"/>
            <w:hideMark/>
          </w:tcPr>
          <w:p w14:paraId="1A831DA7"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Wind</w:t>
            </w:r>
            <w:r w:rsidRPr="00C613BE">
              <w:rPr>
                <w:rFonts w:ascii="Times New Roman" w:eastAsia="宋体" w:hAnsi="Times New Roman" w:cs="Times New Roman"/>
                <w:b/>
                <w:bCs/>
                <w:color w:val="000000"/>
                <w:kern w:val="0"/>
                <w:szCs w:val="21"/>
                <w14:ligatures w14:val="none"/>
              </w:rPr>
              <w:br/>
              <w:t>coef.</w:t>
            </w:r>
            <w:r w:rsidRPr="00C613BE">
              <w:rPr>
                <w:rFonts w:ascii="Times New Roman" w:eastAsia="宋体" w:hAnsi="Times New Roman" w:cs="Times New Roman"/>
                <w:b/>
                <w:bCs/>
                <w:color w:val="000000"/>
                <w:kern w:val="0"/>
                <w:szCs w:val="21"/>
                <w14:ligatures w14:val="none"/>
              </w:rPr>
              <w:br/>
              <w:t>[°C/(ms</w:t>
            </w:r>
            <w:r w:rsidRPr="00C613BE">
              <w:rPr>
                <w:rFonts w:ascii="Times New Roman" w:eastAsia="宋体" w:hAnsi="Times New Roman" w:cs="Times New Roman"/>
                <w:b/>
                <w:bCs/>
                <w:color w:val="000000"/>
                <w:kern w:val="0"/>
                <w:szCs w:val="21"/>
                <w:vertAlign w:val="superscript"/>
                <w14:ligatures w14:val="none"/>
              </w:rPr>
              <w:t>-1</w:t>
            </w:r>
            <w:r w:rsidRPr="00C613BE">
              <w:rPr>
                <w:rFonts w:ascii="Times New Roman" w:eastAsia="宋体" w:hAnsi="Times New Roman" w:cs="Times New Roman"/>
                <w:b/>
                <w:bCs/>
                <w:color w:val="000000"/>
                <w:kern w:val="0"/>
                <w:szCs w:val="21"/>
                <w14:ligatures w14:val="none"/>
              </w:rPr>
              <w:t>)]</w:t>
            </w:r>
          </w:p>
        </w:tc>
        <w:tc>
          <w:tcPr>
            <w:tcW w:w="1276" w:type="dxa"/>
            <w:tcBorders>
              <w:top w:val="single" w:sz="4" w:space="0" w:color="auto"/>
              <w:bottom w:val="single" w:sz="4" w:space="0" w:color="auto"/>
            </w:tcBorders>
            <w:vAlign w:val="center"/>
            <w:hideMark/>
          </w:tcPr>
          <w:p w14:paraId="33155906"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 xml:space="preserve">Humidity </w:t>
            </w:r>
            <w:r w:rsidRPr="00C613BE">
              <w:rPr>
                <w:rFonts w:ascii="Times New Roman" w:eastAsia="宋体" w:hAnsi="Times New Roman" w:cs="Times New Roman"/>
                <w:b/>
                <w:bCs/>
                <w:color w:val="000000"/>
                <w:kern w:val="0"/>
                <w:szCs w:val="21"/>
                <w14:ligatures w14:val="none"/>
              </w:rPr>
              <w:br/>
              <w:t>coef.</w:t>
            </w:r>
            <w:r w:rsidRPr="00C613BE">
              <w:rPr>
                <w:rFonts w:ascii="Times New Roman" w:eastAsia="宋体" w:hAnsi="Times New Roman" w:cs="Times New Roman"/>
                <w:b/>
                <w:bCs/>
                <w:color w:val="000000"/>
                <w:kern w:val="0"/>
                <w:szCs w:val="21"/>
                <w14:ligatures w14:val="none"/>
              </w:rPr>
              <w:br/>
              <w:t>[°C/(gkg</w:t>
            </w:r>
            <w:r w:rsidRPr="00C613BE">
              <w:rPr>
                <w:rFonts w:ascii="Times New Roman" w:eastAsia="宋体" w:hAnsi="Times New Roman" w:cs="Times New Roman"/>
                <w:b/>
                <w:bCs/>
                <w:color w:val="000000"/>
                <w:kern w:val="0"/>
                <w:szCs w:val="21"/>
                <w:vertAlign w:val="superscript"/>
                <w14:ligatures w14:val="none"/>
              </w:rPr>
              <w:t>-1</w:t>
            </w:r>
            <w:r w:rsidRPr="00C613BE">
              <w:rPr>
                <w:rFonts w:ascii="Times New Roman" w:eastAsia="宋体" w:hAnsi="Times New Roman" w:cs="Times New Roman"/>
                <w:b/>
                <w:bCs/>
                <w:color w:val="000000"/>
                <w:kern w:val="0"/>
                <w:szCs w:val="21"/>
                <w14:ligatures w14:val="none"/>
              </w:rPr>
              <w:t>)]</w:t>
            </w:r>
          </w:p>
        </w:tc>
      </w:tr>
      <w:tr w:rsidR="00AB5E18" w:rsidRPr="00C613BE" w14:paraId="7BCAB756" w14:textId="77777777" w:rsidTr="002C1EE1">
        <w:trPr>
          <w:trHeight w:val="263"/>
        </w:trPr>
        <w:tc>
          <w:tcPr>
            <w:tcW w:w="914" w:type="dxa"/>
            <w:tcBorders>
              <w:top w:val="single" w:sz="4" w:space="0" w:color="auto"/>
              <w:bottom w:val="single" w:sz="4" w:space="0" w:color="auto"/>
            </w:tcBorders>
            <w:noWrap/>
            <w:vAlign w:val="center"/>
            <w:hideMark/>
          </w:tcPr>
          <w:p w14:paraId="3E045E00"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APAC</w:t>
            </w:r>
          </w:p>
        </w:tc>
        <w:tc>
          <w:tcPr>
            <w:tcW w:w="1068" w:type="dxa"/>
            <w:tcBorders>
              <w:top w:val="single" w:sz="4" w:space="0" w:color="auto"/>
              <w:bottom w:val="single" w:sz="4" w:space="0" w:color="auto"/>
            </w:tcBorders>
            <w:noWrap/>
            <w:vAlign w:val="center"/>
            <w:hideMark/>
          </w:tcPr>
          <w:p w14:paraId="4896EE88"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11.9</w:t>
            </w:r>
          </w:p>
        </w:tc>
        <w:tc>
          <w:tcPr>
            <w:tcW w:w="1068" w:type="dxa"/>
            <w:tcBorders>
              <w:top w:val="single" w:sz="4" w:space="0" w:color="auto"/>
              <w:bottom w:val="single" w:sz="4" w:space="0" w:color="auto"/>
            </w:tcBorders>
            <w:noWrap/>
            <w:vAlign w:val="center"/>
            <w:hideMark/>
          </w:tcPr>
          <w:p w14:paraId="6149AAA6"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20.4</w:t>
            </w:r>
          </w:p>
        </w:tc>
        <w:tc>
          <w:tcPr>
            <w:tcW w:w="1292" w:type="dxa"/>
            <w:tcBorders>
              <w:top w:val="single" w:sz="4" w:space="0" w:color="auto"/>
              <w:bottom w:val="single" w:sz="4" w:space="0" w:color="auto"/>
            </w:tcBorders>
            <w:noWrap/>
            <w:vAlign w:val="center"/>
            <w:hideMark/>
          </w:tcPr>
          <w:p w14:paraId="62249AF0"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127</w:t>
            </w:r>
          </w:p>
        </w:tc>
        <w:tc>
          <w:tcPr>
            <w:tcW w:w="1292" w:type="dxa"/>
            <w:tcBorders>
              <w:top w:val="single" w:sz="4" w:space="0" w:color="auto"/>
              <w:bottom w:val="single" w:sz="4" w:space="0" w:color="auto"/>
            </w:tcBorders>
            <w:noWrap/>
            <w:vAlign w:val="center"/>
            <w:hideMark/>
          </w:tcPr>
          <w:p w14:paraId="3158D3F6"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52</w:t>
            </w:r>
          </w:p>
        </w:tc>
        <w:tc>
          <w:tcPr>
            <w:tcW w:w="922" w:type="dxa"/>
            <w:tcBorders>
              <w:top w:val="single" w:sz="4" w:space="0" w:color="auto"/>
              <w:bottom w:val="single" w:sz="4" w:space="0" w:color="auto"/>
            </w:tcBorders>
            <w:noWrap/>
            <w:vAlign w:val="center"/>
            <w:hideMark/>
          </w:tcPr>
          <w:p w14:paraId="37C857FD"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0.73</w:t>
            </w:r>
          </w:p>
        </w:tc>
        <w:tc>
          <w:tcPr>
            <w:tcW w:w="1291" w:type="dxa"/>
            <w:tcBorders>
              <w:top w:val="single" w:sz="4" w:space="0" w:color="auto"/>
              <w:bottom w:val="single" w:sz="4" w:space="0" w:color="auto"/>
            </w:tcBorders>
            <w:noWrap/>
            <w:vAlign w:val="center"/>
            <w:hideMark/>
          </w:tcPr>
          <w:p w14:paraId="1BE453AA"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0.014</w:t>
            </w:r>
          </w:p>
        </w:tc>
        <w:tc>
          <w:tcPr>
            <w:tcW w:w="1179" w:type="dxa"/>
            <w:tcBorders>
              <w:top w:val="single" w:sz="4" w:space="0" w:color="auto"/>
              <w:bottom w:val="single" w:sz="4" w:space="0" w:color="auto"/>
            </w:tcBorders>
            <w:noWrap/>
            <w:vAlign w:val="center"/>
            <w:hideMark/>
          </w:tcPr>
          <w:p w14:paraId="216A5090"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-0.12</w:t>
            </w:r>
          </w:p>
        </w:tc>
        <w:tc>
          <w:tcPr>
            <w:tcW w:w="1276" w:type="dxa"/>
            <w:tcBorders>
              <w:top w:val="single" w:sz="4" w:space="0" w:color="auto"/>
              <w:bottom w:val="single" w:sz="4" w:space="0" w:color="auto"/>
            </w:tcBorders>
            <w:noWrap/>
            <w:vAlign w:val="center"/>
            <w:hideMark/>
          </w:tcPr>
          <w:p w14:paraId="06A179CF"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0.036</w:t>
            </w:r>
          </w:p>
        </w:tc>
      </w:tr>
      <w:tr w:rsidR="00AB5E18" w:rsidRPr="00C613BE" w14:paraId="28947D63" w14:textId="77777777" w:rsidTr="002C1EE1">
        <w:trPr>
          <w:trHeight w:val="263"/>
        </w:trPr>
        <w:tc>
          <w:tcPr>
            <w:tcW w:w="914" w:type="dxa"/>
            <w:tcBorders>
              <w:top w:val="single" w:sz="4" w:space="0" w:color="auto"/>
              <w:bottom w:val="single" w:sz="4" w:space="0" w:color="auto"/>
            </w:tcBorders>
            <w:noWrap/>
            <w:vAlign w:val="center"/>
            <w:hideMark/>
          </w:tcPr>
          <w:p w14:paraId="2AE866D7"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Europe</w:t>
            </w:r>
          </w:p>
        </w:tc>
        <w:tc>
          <w:tcPr>
            <w:tcW w:w="1068" w:type="dxa"/>
            <w:tcBorders>
              <w:top w:val="single" w:sz="4" w:space="0" w:color="auto"/>
              <w:bottom w:val="single" w:sz="4" w:space="0" w:color="auto"/>
            </w:tcBorders>
            <w:noWrap/>
            <w:vAlign w:val="center"/>
            <w:hideMark/>
          </w:tcPr>
          <w:p w14:paraId="30BDFEAD"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12.7</w:t>
            </w:r>
          </w:p>
        </w:tc>
        <w:tc>
          <w:tcPr>
            <w:tcW w:w="1068" w:type="dxa"/>
            <w:tcBorders>
              <w:top w:val="single" w:sz="4" w:space="0" w:color="auto"/>
              <w:bottom w:val="single" w:sz="4" w:space="0" w:color="auto"/>
            </w:tcBorders>
            <w:noWrap/>
            <w:vAlign w:val="center"/>
            <w:hideMark/>
          </w:tcPr>
          <w:p w14:paraId="03E01203"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20.4</w:t>
            </w:r>
          </w:p>
        </w:tc>
        <w:tc>
          <w:tcPr>
            <w:tcW w:w="1292" w:type="dxa"/>
            <w:tcBorders>
              <w:top w:val="single" w:sz="4" w:space="0" w:color="auto"/>
              <w:bottom w:val="single" w:sz="4" w:space="0" w:color="auto"/>
            </w:tcBorders>
            <w:noWrap/>
            <w:vAlign w:val="center"/>
            <w:hideMark/>
          </w:tcPr>
          <w:p w14:paraId="461FA46D"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116</w:t>
            </w:r>
          </w:p>
        </w:tc>
        <w:tc>
          <w:tcPr>
            <w:tcW w:w="1292" w:type="dxa"/>
            <w:tcBorders>
              <w:top w:val="single" w:sz="4" w:space="0" w:color="auto"/>
              <w:bottom w:val="single" w:sz="4" w:space="0" w:color="auto"/>
            </w:tcBorders>
            <w:noWrap/>
            <w:vAlign w:val="center"/>
            <w:hideMark/>
          </w:tcPr>
          <w:p w14:paraId="46F3D14C"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16</w:t>
            </w:r>
          </w:p>
        </w:tc>
        <w:tc>
          <w:tcPr>
            <w:tcW w:w="922" w:type="dxa"/>
            <w:tcBorders>
              <w:top w:val="single" w:sz="4" w:space="0" w:color="auto"/>
              <w:bottom w:val="single" w:sz="4" w:space="0" w:color="auto"/>
            </w:tcBorders>
            <w:noWrap/>
            <w:vAlign w:val="center"/>
            <w:hideMark/>
          </w:tcPr>
          <w:p w14:paraId="12B13970"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0.62</w:t>
            </w:r>
          </w:p>
        </w:tc>
        <w:tc>
          <w:tcPr>
            <w:tcW w:w="1291" w:type="dxa"/>
            <w:tcBorders>
              <w:top w:val="single" w:sz="4" w:space="0" w:color="auto"/>
              <w:bottom w:val="single" w:sz="4" w:space="0" w:color="auto"/>
            </w:tcBorders>
            <w:noWrap/>
            <w:vAlign w:val="center"/>
            <w:hideMark/>
          </w:tcPr>
          <w:p w14:paraId="33F53596"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0.019</w:t>
            </w:r>
          </w:p>
        </w:tc>
        <w:tc>
          <w:tcPr>
            <w:tcW w:w="1179" w:type="dxa"/>
            <w:tcBorders>
              <w:top w:val="single" w:sz="4" w:space="0" w:color="auto"/>
              <w:bottom w:val="single" w:sz="4" w:space="0" w:color="auto"/>
            </w:tcBorders>
            <w:noWrap/>
            <w:vAlign w:val="center"/>
            <w:hideMark/>
          </w:tcPr>
          <w:p w14:paraId="6115824C"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-0.13</w:t>
            </w:r>
          </w:p>
        </w:tc>
        <w:tc>
          <w:tcPr>
            <w:tcW w:w="1276" w:type="dxa"/>
            <w:tcBorders>
              <w:top w:val="single" w:sz="4" w:space="0" w:color="auto"/>
              <w:bottom w:val="single" w:sz="4" w:space="0" w:color="auto"/>
            </w:tcBorders>
            <w:noWrap/>
            <w:vAlign w:val="center"/>
            <w:hideMark/>
          </w:tcPr>
          <w:p w14:paraId="11349067"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0.032</w:t>
            </w:r>
          </w:p>
        </w:tc>
      </w:tr>
      <w:tr w:rsidR="00AB5E18" w:rsidRPr="00C613BE" w14:paraId="45A2769F" w14:textId="77777777" w:rsidTr="002C1EE1">
        <w:trPr>
          <w:trHeight w:val="263"/>
        </w:trPr>
        <w:tc>
          <w:tcPr>
            <w:tcW w:w="914" w:type="dxa"/>
            <w:tcBorders>
              <w:top w:val="single" w:sz="4" w:space="0" w:color="auto"/>
              <w:bottom w:val="single" w:sz="4" w:space="0" w:color="auto"/>
            </w:tcBorders>
            <w:noWrap/>
            <w:vAlign w:val="center"/>
            <w:hideMark/>
          </w:tcPr>
          <w:p w14:paraId="639AFAC1"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US</w:t>
            </w:r>
          </w:p>
        </w:tc>
        <w:tc>
          <w:tcPr>
            <w:tcW w:w="1068" w:type="dxa"/>
            <w:tcBorders>
              <w:top w:val="single" w:sz="4" w:space="0" w:color="auto"/>
              <w:bottom w:val="single" w:sz="4" w:space="0" w:color="auto"/>
            </w:tcBorders>
            <w:noWrap/>
            <w:vAlign w:val="center"/>
            <w:hideMark/>
          </w:tcPr>
          <w:p w14:paraId="4B92BC5E"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9.7</w:t>
            </w:r>
          </w:p>
        </w:tc>
        <w:tc>
          <w:tcPr>
            <w:tcW w:w="1068" w:type="dxa"/>
            <w:tcBorders>
              <w:top w:val="single" w:sz="4" w:space="0" w:color="auto"/>
              <w:bottom w:val="single" w:sz="4" w:space="0" w:color="auto"/>
            </w:tcBorders>
            <w:noWrap/>
            <w:vAlign w:val="center"/>
            <w:hideMark/>
          </w:tcPr>
          <w:p w14:paraId="57513E76"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18.8</w:t>
            </w:r>
          </w:p>
        </w:tc>
        <w:tc>
          <w:tcPr>
            <w:tcW w:w="1292" w:type="dxa"/>
            <w:tcBorders>
              <w:top w:val="single" w:sz="4" w:space="0" w:color="auto"/>
              <w:bottom w:val="single" w:sz="4" w:space="0" w:color="auto"/>
            </w:tcBorders>
            <w:noWrap/>
            <w:vAlign w:val="center"/>
            <w:hideMark/>
          </w:tcPr>
          <w:p w14:paraId="62D60650"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129</w:t>
            </w:r>
          </w:p>
        </w:tc>
        <w:tc>
          <w:tcPr>
            <w:tcW w:w="1292" w:type="dxa"/>
            <w:tcBorders>
              <w:top w:val="single" w:sz="4" w:space="0" w:color="auto"/>
              <w:bottom w:val="single" w:sz="4" w:space="0" w:color="auto"/>
            </w:tcBorders>
            <w:noWrap/>
            <w:vAlign w:val="center"/>
            <w:hideMark/>
          </w:tcPr>
          <w:p w14:paraId="47BD15E9"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59</w:t>
            </w:r>
          </w:p>
        </w:tc>
        <w:tc>
          <w:tcPr>
            <w:tcW w:w="922" w:type="dxa"/>
            <w:tcBorders>
              <w:top w:val="single" w:sz="4" w:space="0" w:color="auto"/>
              <w:bottom w:val="single" w:sz="4" w:space="0" w:color="auto"/>
            </w:tcBorders>
            <w:noWrap/>
            <w:vAlign w:val="center"/>
            <w:hideMark/>
          </w:tcPr>
          <w:p w14:paraId="3BFE663C"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0.35</w:t>
            </w:r>
          </w:p>
        </w:tc>
        <w:tc>
          <w:tcPr>
            <w:tcW w:w="1291" w:type="dxa"/>
            <w:tcBorders>
              <w:top w:val="single" w:sz="4" w:space="0" w:color="auto"/>
              <w:bottom w:val="single" w:sz="4" w:space="0" w:color="auto"/>
            </w:tcBorders>
            <w:noWrap/>
            <w:vAlign w:val="center"/>
            <w:hideMark/>
          </w:tcPr>
          <w:p w14:paraId="29A4D66D"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0.011</w:t>
            </w:r>
          </w:p>
        </w:tc>
        <w:tc>
          <w:tcPr>
            <w:tcW w:w="1179" w:type="dxa"/>
            <w:tcBorders>
              <w:top w:val="single" w:sz="4" w:space="0" w:color="auto"/>
              <w:bottom w:val="single" w:sz="4" w:space="0" w:color="auto"/>
            </w:tcBorders>
            <w:noWrap/>
            <w:vAlign w:val="center"/>
            <w:hideMark/>
          </w:tcPr>
          <w:p w14:paraId="33C2EA24"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-0.1</w:t>
            </w:r>
          </w:p>
        </w:tc>
        <w:tc>
          <w:tcPr>
            <w:tcW w:w="1276" w:type="dxa"/>
            <w:tcBorders>
              <w:top w:val="single" w:sz="4" w:space="0" w:color="auto"/>
              <w:bottom w:val="single" w:sz="4" w:space="0" w:color="auto"/>
            </w:tcBorders>
            <w:noWrap/>
            <w:vAlign w:val="center"/>
            <w:hideMark/>
          </w:tcPr>
          <w:p w14:paraId="579D390C"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0.022</w:t>
            </w:r>
          </w:p>
        </w:tc>
      </w:tr>
      <w:tr w:rsidR="00AB5E18" w:rsidRPr="00C613BE" w14:paraId="1792A55A" w14:textId="77777777" w:rsidTr="002C1EE1">
        <w:trPr>
          <w:trHeight w:val="263"/>
        </w:trPr>
        <w:tc>
          <w:tcPr>
            <w:tcW w:w="914" w:type="dxa"/>
            <w:tcBorders>
              <w:top w:val="single" w:sz="4" w:space="0" w:color="auto"/>
            </w:tcBorders>
            <w:noWrap/>
            <w:vAlign w:val="center"/>
            <w:hideMark/>
          </w:tcPr>
          <w:p w14:paraId="04AD95DF"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Others</w:t>
            </w:r>
          </w:p>
        </w:tc>
        <w:tc>
          <w:tcPr>
            <w:tcW w:w="1068" w:type="dxa"/>
            <w:tcBorders>
              <w:top w:val="single" w:sz="4" w:space="0" w:color="auto"/>
            </w:tcBorders>
            <w:noWrap/>
            <w:vAlign w:val="center"/>
            <w:hideMark/>
          </w:tcPr>
          <w:p w14:paraId="125B32E7"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11.9</w:t>
            </w:r>
          </w:p>
        </w:tc>
        <w:tc>
          <w:tcPr>
            <w:tcW w:w="1068" w:type="dxa"/>
            <w:tcBorders>
              <w:top w:val="single" w:sz="4" w:space="0" w:color="auto"/>
            </w:tcBorders>
            <w:noWrap/>
            <w:vAlign w:val="center"/>
            <w:hideMark/>
          </w:tcPr>
          <w:p w14:paraId="4FBC85CF"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20.4</w:t>
            </w:r>
          </w:p>
        </w:tc>
        <w:tc>
          <w:tcPr>
            <w:tcW w:w="1292" w:type="dxa"/>
            <w:tcBorders>
              <w:top w:val="single" w:sz="4" w:space="0" w:color="auto"/>
            </w:tcBorders>
            <w:noWrap/>
            <w:vAlign w:val="center"/>
            <w:hideMark/>
          </w:tcPr>
          <w:p w14:paraId="0E663164"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127</w:t>
            </w:r>
          </w:p>
        </w:tc>
        <w:tc>
          <w:tcPr>
            <w:tcW w:w="1292" w:type="dxa"/>
            <w:tcBorders>
              <w:top w:val="single" w:sz="4" w:space="0" w:color="auto"/>
            </w:tcBorders>
            <w:noWrap/>
            <w:vAlign w:val="center"/>
            <w:hideMark/>
          </w:tcPr>
          <w:p w14:paraId="01817EFB"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52</w:t>
            </w:r>
          </w:p>
        </w:tc>
        <w:tc>
          <w:tcPr>
            <w:tcW w:w="922" w:type="dxa"/>
            <w:tcBorders>
              <w:top w:val="single" w:sz="4" w:space="0" w:color="auto"/>
            </w:tcBorders>
            <w:noWrap/>
            <w:vAlign w:val="center"/>
            <w:hideMark/>
          </w:tcPr>
          <w:p w14:paraId="5FF118C1"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0.73</w:t>
            </w:r>
          </w:p>
        </w:tc>
        <w:tc>
          <w:tcPr>
            <w:tcW w:w="1291" w:type="dxa"/>
            <w:tcBorders>
              <w:top w:val="single" w:sz="4" w:space="0" w:color="auto"/>
            </w:tcBorders>
            <w:noWrap/>
            <w:vAlign w:val="center"/>
            <w:hideMark/>
          </w:tcPr>
          <w:p w14:paraId="3F4F9F72"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0.014</w:t>
            </w:r>
          </w:p>
        </w:tc>
        <w:tc>
          <w:tcPr>
            <w:tcW w:w="1179" w:type="dxa"/>
            <w:tcBorders>
              <w:top w:val="single" w:sz="4" w:space="0" w:color="auto"/>
            </w:tcBorders>
            <w:noWrap/>
            <w:vAlign w:val="center"/>
            <w:hideMark/>
          </w:tcPr>
          <w:p w14:paraId="6CA4BCF7"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-0.12</w:t>
            </w:r>
          </w:p>
        </w:tc>
        <w:tc>
          <w:tcPr>
            <w:tcW w:w="1276" w:type="dxa"/>
            <w:tcBorders>
              <w:top w:val="single" w:sz="4" w:space="0" w:color="auto"/>
            </w:tcBorders>
            <w:noWrap/>
            <w:vAlign w:val="center"/>
            <w:hideMark/>
          </w:tcPr>
          <w:p w14:paraId="06F246CC"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0.036</w:t>
            </w:r>
          </w:p>
        </w:tc>
      </w:tr>
    </w:tbl>
    <w:p w14:paraId="1E83885D" w14:textId="060964CF" w:rsidR="0057048A" w:rsidRPr="00C613BE" w:rsidRDefault="002C1EE1" w:rsidP="00C14660">
      <w:pPr>
        <w:ind w:firstLineChars="200" w:firstLine="420"/>
        <w:rPr>
          <w:rFonts w:ascii="Times New Roman" w:eastAsia="宋体" w:hAnsi="Times New Roman" w:cs="Times New Roman"/>
          <w:i/>
          <w:iCs/>
          <w:szCs w:val="21"/>
        </w:rPr>
      </w:pPr>
      <w:r w:rsidRPr="00C613BE">
        <w:rPr>
          <w:rFonts w:ascii="Times New Roman" w:eastAsia="宋体" w:hAnsi="Times New Roman" w:cs="Times New Roman"/>
          <w:i/>
          <w:iCs/>
          <w:szCs w:val="21"/>
        </w:rPr>
        <w:t>APAC parameters were adopted as defaults for the "Others" region given their broad applicability and intermediate characteristics.</w:t>
      </w:r>
    </w:p>
    <w:p w14:paraId="3B93A3EC" w14:textId="653E6D36" w:rsidR="005E795D" w:rsidRPr="00C613BE" w:rsidRDefault="00B251D0"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The electrical load typically comprises heating/cooling-related demand and base electricity demand (e.g., lighting, appliances) independent of thermal needs. Given available heating/cooling demand data for islands, only base electricity demand was modeled. For modeling simplicity, this base demand was decomposed into illumination-dependent lighting load and time-varying activity-dependent load</w:t>
      </w:r>
      <w:r w:rsidR="00531C80"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{"citationID":"JkJvzcXB","properties":{"formattedCitation":"\\super 21\\nosupersub{}","plainCitation":"21","noteIndex":0},"citationItems":[{"id":320,"uris":["http://zotero.org/users/16842078/items/FZC4V5EL"],"itemData":{"id":320,"type":"article-journal","abstract":"This paper presents a model to simulate the electricity demand of a single household consisting of multiple individuals. The total consumption is divided into four main categories, namely cold appliances, heating, ventilation, and air conditioning, lighting, and energy consumed by household members’ activities. The ﬁrst three components are modeled using engineering physically-based models, while the activity patterns of individuals are modeled using a heterogeneous Markov chain. Using data collected by the U.S. Bureau of Labor Statistics, a case study for an average American household is developed. The data are used to conduct an in-sample validation of the modeled activities and a rigorous statistical validation of the predicted electricity demand against metered data is provided. The results show highly realistic patterns that capture annual and diurnal variations, load ﬂuctuations, and diversity between household conﬁguration, location, and size.","container-title":"Applied Energy","DOI":"10.1016/j.apenergy.2013.02.057","ISSN":"03062619","journalAbbreviation":"Applied Energy","language":"en","page":"465-473","source":"DOI.org (Crossref)","title":"A highly resolved modeling technique to simulate residential power demand","volume":"107","author":[{"family":"Muratori","given":"Matteo"},{"family":"Roberts","given":"Matthew C."},{"family":"Sioshansi","given":"Ramteen"},{"family":"Marano","given":"Vincenzo"},{"family":"Rizzoni","given":"Giorgio"}],"issued":{"date-parts":[["2013",7]]}}}],"schema":"https://github.com/citation-style-language/schema/raw/master/csl-citation.json"} </w:instrText>
      </w:r>
      <w:r w:rsidR="00531C80"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21</w:t>
      </w:r>
      <w:r w:rsidR="00531C80" w:rsidRPr="00C613BE">
        <w:rPr>
          <w:rFonts w:ascii="Times New Roman" w:eastAsia="宋体" w:hAnsi="Times New Roman" w:cs="Times New Roman"/>
          <w:szCs w:val="21"/>
        </w:rPr>
        <w:fldChar w:fldCharType="end"/>
      </w:r>
      <w:r w:rsidR="00531C80" w:rsidRPr="00C613BE">
        <w:rPr>
          <w:rFonts w:ascii="Times New Roman" w:eastAsia="宋体" w:hAnsi="Times New Roman" w:cs="Times New Roman"/>
          <w:szCs w:val="21"/>
        </w:rPr>
        <w:t xml:space="preserve"> </w:t>
      </w:r>
      <w:r w:rsidRPr="00C613BE">
        <w:rPr>
          <w:rFonts w:ascii="Times New Roman" w:eastAsia="宋体" w:hAnsi="Times New Roman" w:cs="Times New Roman"/>
          <w:szCs w:val="21"/>
        </w:rPr>
        <w:t>. Detailed modeling procedures are described in Supplementary Note 2.</w:t>
      </w:r>
    </w:p>
    <w:p w14:paraId="7D4A02CF" w14:textId="77777777" w:rsidR="00531C80" w:rsidRPr="00C613BE" w:rsidRDefault="00531C80"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Island Selection Criteria</w:t>
      </w:r>
    </w:p>
    <w:p w14:paraId="4DB899AF" w14:textId="7C73E853" w:rsidR="00531C80" w:rsidRPr="00C613BE" w:rsidRDefault="00531C80"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We selected 2015 global islands meeting these criteria: 1) Inhabited (ensuring socioeconomic relevance); 2) Minimum area ≥10 km² (enabling renewable infrastructure); 3) Geographical isolation ≥10 km from mainland (minimizing continental influence); 4) Population &lt;3.5 million (excluding mainland-like energy systems) </w:t>
      </w:r>
      <w:r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{"citationID":"VSQ9JUio","properties":{"formattedCitation":"\\super 22\\nosupersub{}","plainCitation":"22","noteIndex":0},"citationItems":[{"id":322,"uris":["http://zotero.org/users/16842078/items/JV93X3SN"],"itemData":{"id":322,"type":"article-journal","abstract":"In terms of energy supply, the vast majority of populated islands depends on fossil fuels. These are normally not locally available on the islands. Because of the increasing proﬁtability of renewable energies and a growing environmental awareness, more and more islands are breaking away from the conventional energy supply and are reinforcing the use of renewable energies. An energy supply system proven successful on one island could also be successfully implemented on another island. For this, the second island has to have similar conditions for the use of renewable energies. This study classiﬁes the global islands with the use of cluster analysis. Input variables of the performed cluster analysis are climatic as well as physical and socio-economic parameters. In total 1087 islands are classiﬁed. Finally, ten main clusters of islands could be pointed out. These clusters contain regional and global spread groups of islands. The result offers the possibility to identify similar islands concerning the implementation of RES. Therefore, it supports the transfer of proven, well-working concepts and the direct adoption of these concepts by suitable islands. Furthermore, islands which have especially high potentials for the use of a speciﬁc renewable energy source can be easily recognized.","container-title":"Applied Energy","DOI":"10.1016/j.apenergy.2016.05.018","ISSN":"03062619","journalAbbreviation":"Applied Energy","language":"en","page":"251-258","source":"DOI.org (Crossref)","title":"Classification of global island regarding the opportunity of using RES","volume":"175","author":[{"family":"Meschede","given":"Henning"},{"family":"Holzapfel","given":"Peter"},{"family":"Kadelbach","given":"Florian"},{"family":"Hesselbach","given":"Jens"}],"issued":{"date-parts":[["2016",8]]}}}],"schema":"https://github.com/citation-style-language/schema/raw/master/csl-citation.json"} </w:instrText>
      </w:r>
      <w:r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22</w:t>
      </w:r>
      <w:r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 Population data came from</w:t>
      </w:r>
      <w:r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{"citationID":"5P4oOyzo","properties":{"formattedCitation":"\\super 23\\nosupersub{}","plainCitation":"23","noteIndex":0},"citationItems":[{"id":328,"uris":["http://zotero.org/users/16842078/items/FE9RDUP5"],"itemData":{"id":328,"type":"dataset","DOI":"https://doi.org/10.48690/1523378","publisher":"Oak Ridge National Laboratory.","title":"LandScan Global 2020 [Data set]","author":[{"literal":"Rose, A., McKee, J., Sims, K., Bright, E., Reith, A., &amp; Urban, M."}],"issued":{"date-parts":[["2021"]]}}}],"schema":"https://github.com/citation-style-language/schema/raw/master/csl-citation.json"} </w:instrText>
      </w:r>
      <w:r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23</w:t>
      </w:r>
      <w:r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 xml:space="preserve">; island area and mainland distance from </w:t>
      </w:r>
      <w:r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{"citationID":"KjeX1Xho","properties":{"formattedCitation":"\\super 24\\nosupersub{}","plainCitation":"24","noteIndex":0},"citationItems":[{"id":330,"uris":["http://zotero.org/users/16842078/items/7HQLT69Q"],"itemData":{"id":330,"type":"article-journal","abstract":"The Earth’s islands harbor a distinct, yet highly threatened, biological and cultural diversity that has been shaped by geographic isolation and unique environments. Island systems are key natural laboratories for testing theory in ecology and evolution. However, despite their potential usefulness for research, a quantitative description of island environments and an environmental classification are still lacking. Here, we prepare a standardized dataset and perform a comprehensive global environmental characterization for 17,883 of the world’s marine islands &gt;1 km\n              2\n              (</w:instrText>
      </w:r>
      <w:r w:rsidR="000A7AE0">
        <w:rPr>
          <w:rFonts w:ascii="Cambria Math" w:eastAsia="宋体" w:hAnsi="Cambria Math" w:cs="Cambria Math"/>
          <w:szCs w:val="21"/>
        </w:rPr>
        <w:instrText>∼</w:instrText>
      </w:r>
      <w:r w:rsidR="000A7AE0">
        <w:rPr>
          <w:rFonts w:ascii="Times New Roman" w:eastAsia="宋体" w:hAnsi="Times New Roman" w:cs="Times New Roman"/>
          <w:szCs w:val="21"/>
        </w:rPr>
        <w:instrText xml:space="preserve">98% of total island area). We consider area, temperature, precipitation, seasonality in temperature and precipitation, past climate change velocity, elevation, isolation, and past connectivity—key island characteristics and drivers of ecosystem processes. We find that islands are significantly cooler, wetter, and less seasonal than mainlands. Constrained by their limited area, they show less elevational heterogeneity. Wet temperate climates are more prevalent on islands, whereas desert climates are comparatively rare. We use ordination and clustering to characterize islands in multidimensional environmental space and to delimit island ecoregions, which provides unique insights into the environmental configuration and diversity of the world’s islands. Combining ordination and classification together with global environmental data in a common framework opens up avenues for a more integrative use of islands in biogeography, macroecology, and conservation. To showcase possible applications of the presented data, we predict vascular plant species richness for all 17,883 islands based on statistically derived environment–richness relationships.","container-title":"Proceedings of the National Academy of Sciences","DOI":"10.1073/pnas.1306309110","ISSN":"0027-8424, 1091-6490","issue":"38","journalAbbreviation":"Proc. Natl. Acad. Sci. U.S.A.","language":"en","page":"15307-15312","source":"DOI.org (Crossref)","title":"Bioclimatic and physical characterization of the world’s islands","volume":"110","author":[{"family":"Weigelt","given":"Patrick"},{"family":"Jetz","given":"Walter"},{"family":"Kreft","given":"Holger"}],"issued":{"date-parts":[["2013",9,17]]}}}],"schema":"https://github.com/citation-style-language/schema/raw/master/csl-citation.json"} </w:instrText>
      </w:r>
      <w:r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24</w:t>
      </w:r>
      <w:r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w:t>
      </w:r>
    </w:p>
    <w:p w14:paraId="63F5FB04" w14:textId="77777777" w:rsidR="00BE612B" w:rsidRPr="00C613BE" w:rsidRDefault="00BE612B"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Climate Data for Hazard Modeling</w:t>
      </w:r>
    </w:p>
    <w:p w14:paraId="5EC626B3" w14:textId="27F95FBB" w:rsidR="003122A5" w:rsidRPr="00C613BE" w:rsidRDefault="003122A5"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Typhoon hazards were modeled using 3-hourly near-surface wind speed data from MRI-AGCM3-2-S_highresSST (CMIP6, SSP585 scenario) </w:t>
      </w:r>
      <w:r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{"citationID":"tCgfEjSj","properties":{"formattedCitation":"\\super 25\\nosupersub{}","plainCitation":"25","noteIndex":0},"citationItems":[{"id":332,"uris":["http://zotero.org/users/16842078/items/S8HT2LLV"],"itemData":{"id":332,"type":"dataset","publisher":"World Data Center for Climate (WDCC) at DKRZ","title":"MRI MRI-AGCM3-2-H model output prepared for CMIP6 HighResMIP","URL":"https://hdl.handle.net/21.14106/82f8c3ccd7521a207862a18240db28723b0c6679","author":[{"literal":"Mizuta, Ryo; Yoshimura, Hiromasa; Ose, Tomoaki; Hosaka, Masahiro; Yukimoto, Seiji"}],"issued":{"date-parts":[["2023"]]}}}],"schema":"https://github.com/citation-style-language/schema/raw/master/csl-citation.json"} </w:instrText>
      </w:r>
      <w:r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25</w:t>
      </w:r>
      <w:r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 xml:space="preserve">, accessed via Earth System Grid Federation </w:t>
      </w:r>
      <w:r w:rsidRPr="00C613BE">
        <w:rPr>
          <w:rFonts w:ascii="Times New Roman" w:eastAsia="宋体" w:hAnsi="Times New Roman" w:cs="Times New Roman"/>
          <w:szCs w:val="21"/>
        </w:rPr>
        <w:lastRenderedPageBreak/>
        <w:t>(ESGF). This high-resolution model demonstrates enhanced tropical cyclone simulation capability.</w:t>
      </w:r>
    </w:p>
    <w:p w14:paraId="6B131A47" w14:textId="77777777" w:rsidR="00C00FE3" w:rsidRPr="00C613BE" w:rsidRDefault="00C00FE3"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Bi-level Optimization Model</w:t>
      </w:r>
    </w:p>
    <w:p w14:paraId="3658E0F3" w14:textId="77777777" w:rsidR="00C00FE3" w:rsidRPr="00C613BE" w:rsidRDefault="00C00FE3"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A bi-level optimization framework was adopted to determine the minimum annualized cost for island energy system planning. This structure effectively balances long-term investment decisions with short-term operational scheduling.</w:t>
      </w:r>
    </w:p>
    <w:p w14:paraId="6DD8B270" w14:textId="5BC5B6D2" w:rsidR="00C00FE3" w:rsidRPr="00C613BE" w:rsidRDefault="00C00FE3"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 xml:space="preserve">The objective of the </w:t>
      </w:r>
      <w:r w:rsidR="0011682B" w:rsidRPr="00C613BE">
        <w:rPr>
          <w:rFonts w:ascii="Times New Roman" w:eastAsia="宋体" w:hAnsi="Times New Roman" w:cs="Times New Roman"/>
          <w:szCs w:val="21"/>
        </w:rPr>
        <w:t>upper-level model</w:t>
      </w:r>
      <w:r w:rsidRPr="00C613BE">
        <w:rPr>
          <w:rFonts w:ascii="Times New Roman" w:eastAsia="宋体" w:hAnsi="Times New Roman" w:cs="Times New Roman"/>
          <w:szCs w:val="21"/>
        </w:rPr>
        <w:t xml:space="preserve"> is to minimize the total annual cost of the energy system. This level determines the optimal configuration capacity of energy components for each island (e.g., PV, wind, wave, storage devices, and other conventional equipment). The decision variables are the installation capacities of all devices within the system. The objective function minimizes total cost, including equivalent annual investment cost and annual operational cost. The equivalent annual equipment investment cost is:</w:t>
      </w:r>
      <w:r w:rsidR="005E795D" w:rsidRPr="00C613BE">
        <w:rPr>
          <w:rFonts w:ascii="Times New Roman" w:eastAsia="宋体" w:hAnsi="Times New Roman" w:cs="Times New Roman"/>
          <w:szCs w:val="21"/>
        </w:rPr>
        <w:br/>
      </w:r>
      <m:oMathPara>
        <m:oMath>
          <m:eqArr>
            <m:eqArrPr>
              <m:maxDist m:val="1"/>
              <m:ctrlPr>
                <w:rPr>
                  <w:rFonts w:ascii="Cambria Math" w:eastAsia="宋体" w:hAnsi="Cambria Math" w:cs="Times New Roman"/>
                  <w:i/>
                  <w:szCs w:val="21"/>
                </w:rPr>
              </m:ctrlPr>
            </m:eqArrPr>
            <m:e>
              <m:r>
                <w:rPr>
                  <w:rFonts w:ascii="Cambria Math" w:eastAsia="宋体" w:hAnsi="Cambria Math" w:cs="Times New Roman"/>
                  <w:szCs w:val="21"/>
                </w:rPr>
                <m:t>min</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T</m:t>
                  </m:r>
                </m:sub>
              </m:sSub>
              <m:r>
                <w:rPr>
                  <w:rFonts w:ascii="Cambria Math" w:eastAsia="宋体" w:hAnsi="Cambria Math" w:cs="Times New Roman"/>
                  <w:szCs w:val="21"/>
                </w:rPr>
                <m:t>=</m:t>
              </m:r>
              <m:func>
                <m:funcPr>
                  <m:ctrlPr>
                    <w:rPr>
                      <w:rFonts w:ascii="Cambria Math" w:eastAsia="宋体" w:hAnsi="Cambria Math" w:cs="Times New Roman"/>
                      <w:szCs w:val="21"/>
                    </w:rPr>
                  </m:ctrlPr>
                </m:funcPr>
                <m:fName>
                  <m:r>
                    <m:rPr>
                      <m:sty m:val="p"/>
                    </m:rPr>
                    <w:rPr>
                      <w:rFonts w:ascii="Cambria Math" w:eastAsia="宋体" w:hAnsi="Cambria Math" w:cs="Times New Roman"/>
                      <w:szCs w:val="21"/>
                    </w:rPr>
                    <m:t>min</m:t>
                  </m:r>
                </m:fName>
                <m:e>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sub>
                    <m:sup>
                      <m:r>
                        <w:rPr>
                          <w:rFonts w:ascii="Cambria Math" w:eastAsia="宋体" w:hAnsi="Cambria Math" w:cs="Times New Roman"/>
                          <w:szCs w:val="21"/>
                        </w:rPr>
                        <m:t>l</m:t>
                      </m:r>
                    </m:sup>
                    <m:e>
                      <m:sSub>
                        <m:sSubPr>
                          <m:ctrlPr>
                            <w:rPr>
                              <w:rFonts w:ascii="Cambria Math" w:eastAsia="宋体" w:hAnsi="Cambria Math" w:cs="Times New Roman"/>
                              <w:i/>
                              <w:szCs w:val="21"/>
                            </w:rPr>
                          </m:ctrlPr>
                        </m:sSubPr>
                        <m:e>
                          <m:r>
                            <w:rPr>
                              <w:rFonts w:ascii="Cambria Math" w:eastAsia="宋体" w:hAnsi="Cambria Math" w:cs="Times New Roman"/>
                              <w:szCs w:val="21"/>
                            </w:rPr>
                            <m:t>a</m:t>
                          </m:r>
                        </m:e>
                        <m:sub>
                          <m:r>
                            <w:rPr>
                              <w:rFonts w:ascii="Cambria Math" w:eastAsia="宋体" w:hAnsi="Cambria Math" w:cs="Times New Roman"/>
                              <w:szCs w:val="21"/>
                            </w:rPr>
                            <m:t>i</m:t>
                          </m:r>
                        </m:sub>
                      </m:sSub>
                    </m:e>
                  </m:nary>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i</m:t>
                      </m:r>
                    </m:sub>
                  </m:sSub>
                  <m:f>
                    <m:fPr>
                      <m:ctrlPr>
                        <w:rPr>
                          <w:rFonts w:ascii="Cambria Math" w:eastAsia="宋体" w:hAnsi="Cambria Math" w:cs="Times New Roman"/>
                          <w:i/>
                          <w:szCs w:val="21"/>
                        </w:rPr>
                      </m:ctrlPr>
                    </m:fPr>
                    <m:num>
                      <m:sSup>
                        <m:sSupPr>
                          <m:ctrlPr>
                            <w:rPr>
                              <w:rFonts w:ascii="Cambria Math" w:eastAsia="宋体" w:hAnsi="Cambria Math" w:cs="Times New Roman"/>
                              <w:i/>
                              <w:szCs w:val="21"/>
                            </w:rPr>
                          </m:ctrlPr>
                        </m:sSupPr>
                        <m:e>
                          <m:r>
                            <w:rPr>
                              <w:rFonts w:ascii="Cambria Math" w:eastAsia="宋体" w:hAnsi="Cambria Math" w:cs="Times New Roman"/>
                              <w:szCs w:val="21"/>
                            </w:rPr>
                            <m:t>r</m:t>
                          </m:r>
                          <m:d>
                            <m:dPr>
                              <m:ctrlPr>
                                <w:rPr>
                                  <w:rFonts w:ascii="Cambria Math" w:eastAsia="宋体" w:hAnsi="Cambria Math" w:cs="Times New Roman"/>
                                  <w:i/>
                                  <w:szCs w:val="21"/>
                                </w:rPr>
                              </m:ctrlPr>
                            </m:dPr>
                            <m:e>
                              <m:r>
                                <w:rPr>
                                  <w:rFonts w:ascii="Cambria Math" w:eastAsia="宋体" w:hAnsi="Cambria Math" w:cs="Times New Roman"/>
                                  <w:szCs w:val="21"/>
                                </w:rPr>
                                <m:t>1+r</m:t>
                              </m:r>
                            </m:e>
                          </m:d>
                        </m:e>
                        <m:sup>
                          <m:r>
                            <w:rPr>
                              <w:rFonts w:ascii="Cambria Math" w:eastAsia="宋体" w:hAnsi="Cambria Math" w:cs="Times New Roman"/>
                              <w:szCs w:val="21"/>
                            </w:rPr>
                            <m:t>y</m:t>
                          </m:r>
                        </m:sup>
                      </m:sSup>
                    </m:num>
                    <m:den>
                      <m:sSup>
                        <m:sSupPr>
                          <m:ctrlPr>
                            <w:rPr>
                              <w:rFonts w:ascii="Cambria Math" w:eastAsia="宋体" w:hAnsi="Cambria Math" w:cs="Times New Roman"/>
                              <w:i/>
                              <w:szCs w:val="21"/>
                            </w:rPr>
                          </m:ctrlPr>
                        </m:sSupPr>
                        <m:e>
                          <m:d>
                            <m:dPr>
                              <m:ctrlPr>
                                <w:rPr>
                                  <w:rFonts w:ascii="Cambria Math" w:eastAsia="宋体" w:hAnsi="Cambria Math" w:cs="Times New Roman"/>
                                  <w:i/>
                                  <w:szCs w:val="21"/>
                                </w:rPr>
                              </m:ctrlPr>
                            </m:dPr>
                            <m:e>
                              <m:r>
                                <w:rPr>
                                  <w:rFonts w:ascii="Cambria Math" w:eastAsia="宋体" w:hAnsi="Cambria Math" w:cs="Times New Roman"/>
                                  <w:szCs w:val="21"/>
                                </w:rPr>
                                <m:t>1+r</m:t>
                              </m:r>
                            </m:e>
                          </m:d>
                        </m:e>
                        <m:sup>
                          <m:r>
                            <w:rPr>
                              <w:rFonts w:ascii="Cambria Math" w:eastAsia="宋体" w:hAnsi="Cambria Math" w:cs="Times New Roman"/>
                              <w:szCs w:val="21"/>
                            </w:rPr>
                            <m:t>y</m:t>
                          </m:r>
                        </m:sup>
                      </m:sSup>
                      <m:r>
                        <w:rPr>
                          <w:rFonts w:ascii="Cambria Math" w:eastAsia="宋体" w:hAnsi="Cambria Math" w:cs="Times New Roman"/>
                          <w:szCs w:val="21"/>
                        </w:rPr>
                        <m:t>-1</m:t>
                      </m:r>
                    </m:den>
                  </m:f>
                </m:e>
              </m:func>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1</m:t>
                  </m:r>
                </m:e>
              </m:d>
            </m:e>
          </m:eqArr>
        </m:oMath>
      </m:oMathPara>
    </w:p>
    <w:p w14:paraId="1B1A510C" w14:textId="6EF9F40C" w:rsidR="005E795D" w:rsidRPr="00C613BE" w:rsidRDefault="00C00FE3"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Where </w:t>
      </w:r>
      <m:oMath>
        <m:sSub>
          <m:sSubPr>
            <m:ctrlPr>
              <w:rPr>
                <w:rFonts w:ascii="Cambria Math" w:eastAsia="宋体" w:hAnsi="Cambria Math" w:cs="Times New Roman"/>
                <w:szCs w:val="21"/>
              </w:rPr>
            </m:ctrlPr>
          </m:sSubPr>
          <m:e>
            <m:r>
              <w:rPr>
                <w:rFonts w:ascii="Cambria Math" w:eastAsia="宋体" w:hAnsi="Cambria Math" w:cs="Times New Roman"/>
                <w:szCs w:val="21"/>
              </w:rPr>
              <m:t>C</m:t>
            </m:r>
          </m:e>
          <m:sub>
            <m:r>
              <w:rPr>
                <w:rFonts w:ascii="Cambria Math" w:eastAsia="宋体" w:hAnsi="Cambria Math" w:cs="Times New Roman"/>
                <w:szCs w:val="21"/>
              </w:rPr>
              <m:t>T</m:t>
            </m:r>
          </m:sub>
        </m:sSub>
      </m:oMath>
      <w:r w:rsidR="009402D7" w:rsidRPr="00C613BE">
        <w:rPr>
          <w:rFonts w:ascii="Times New Roman" w:eastAsia="宋体" w:hAnsi="Times New Roman" w:cs="Times New Roman"/>
          <w:szCs w:val="21"/>
        </w:rPr>
        <w:t xml:space="preserve"> is</w:t>
      </w:r>
      <w:r w:rsidRPr="00C613BE">
        <w:rPr>
          <w:rFonts w:ascii="Times New Roman" w:eastAsia="宋体" w:hAnsi="Times New Roman" w:cs="Times New Roman"/>
          <w:szCs w:val="21"/>
        </w:rPr>
        <w:t xml:space="preserve"> the annual equipment investment cost;</w:t>
      </w:r>
      <w:r w:rsidR="008C05CD" w:rsidRPr="00C613BE">
        <w:rPr>
          <w:rFonts w:ascii="Times New Roman" w:eastAsia="宋体" w:hAnsi="Times New Roman" w:cs="Times New Roman"/>
          <w:szCs w:val="21"/>
        </w:rPr>
        <w:t xml:space="preserve"> </w:t>
      </w:r>
      <m:oMath>
        <m:r>
          <w:rPr>
            <w:rFonts w:ascii="Cambria Math" w:eastAsia="宋体" w:hAnsi="Cambria Math" w:cs="Times New Roman"/>
            <w:szCs w:val="21"/>
          </w:rPr>
          <m:t>l</m:t>
        </m:r>
      </m:oMath>
      <w:r w:rsidR="008C05CD" w:rsidRPr="00C613BE">
        <w:rPr>
          <w:rFonts w:ascii="Times New Roman" w:eastAsia="宋体" w:hAnsi="Times New Roman" w:cs="Times New Roman"/>
          <w:szCs w:val="21"/>
        </w:rPr>
        <w:t xml:space="preserve"> is the total number of devices; </w:t>
      </w:r>
      <m:oMath>
        <m:sSub>
          <m:sSubPr>
            <m:ctrlPr>
              <w:rPr>
                <w:rFonts w:ascii="Cambria Math" w:eastAsia="宋体" w:hAnsi="Cambria Math" w:cs="Times New Roman"/>
                <w:szCs w:val="21"/>
              </w:rPr>
            </m:ctrlPr>
          </m:sSubPr>
          <m:e>
            <m:r>
              <w:rPr>
                <w:rFonts w:ascii="Cambria Math" w:eastAsia="宋体" w:hAnsi="Cambria Math" w:cs="Times New Roman"/>
                <w:szCs w:val="21"/>
              </w:rPr>
              <m:t>a</m:t>
            </m:r>
          </m:e>
          <m:sub>
            <m:r>
              <w:rPr>
                <w:rFonts w:ascii="Cambria Math" w:eastAsia="宋体" w:hAnsi="Cambria Math" w:cs="Times New Roman"/>
                <w:szCs w:val="21"/>
              </w:rPr>
              <m:t>i</m:t>
            </m:r>
          </m:sub>
        </m:sSub>
      </m:oMath>
      <w:r w:rsidR="008C05CD" w:rsidRPr="00C613BE">
        <w:rPr>
          <w:rFonts w:ascii="Times New Roman" w:eastAsia="宋体" w:hAnsi="Times New Roman" w:cs="Times New Roman"/>
          <w:szCs w:val="21"/>
        </w:rPr>
        <w:t xml:space="preserve"> is the configuration capacity of device </w:t>
      </w:r>
      <m:oMath>
        <m:r>
          <w:rPr>
            <w:rFonts w:ascii="Cambria Math" w:eastAsia="宋体" w:hAnsi="Cambria Math" w:cs="Times New Roman"/>
            <w:szCs w:val="21"/>
          </w:rPr>
          <m:t>i</m:t>
        </m:r>
      </m:oMath>
      <w:r w:rsidR="008C05CD" w:rsidRPr="00C613BE">
        <w:rPr>
          <w:rFonts w:ascii="Times New Roman" w:eastAsia="宋体" w:hAnsi="Times New Roman" w:cs="Times New Roman"/>
          <w:szCs w:val="21"/>
        </w:rPr>
        <w:t xml:space="preserve">; </w:t>
      </w:r>
      <m:oMath>
        <m:sSub>
          <m:sSubPr>
            <m:ctrlPr>
              <w:rPr>
                <w:rFonts w:ascii="Cambria Math" w:eastAsia="宋体" w:hAnsi="Cambria Math" w:cs="Times New Roman"/>
                <w:szCs w:val="21"/>
              </w:rPr>
            </m:ctrlPr>
          </m:sSubPr>
          <m:e>
            <m:r>
              <w:rPr>
                <w:rFonts w:ascii="Cambria Math" w:eastAsia="宋体" w:hAnsi="Cambria Math" w:cs="Times New Roman"/>
                <w:szCs w:val="21"/>
              </w:rPr>
              <m:t>c</m:t>
            </m:r>
          </m:e>
          <m:sub>
            <m:r>
              <w:rPr>
                <w:rFonts w:ascii="Cambria Math" w:eastAsia="宋体" w:hAnsi="Cambria Math" w:cs="Times New Roman"/>
                <w:szCs w:val="21"/>
              </w:rPr>
              <m:t>i</m:t>
            </m:r>
          </m:sub>
        </m:sSub>
      </m:oMath>
      <w:r w:rsidR="005E795D" w:rsidRPr="00C613BE">
        <w:rPr>
          <w:rFonts w:ascii="Times New Roman" w:eastAsia="宋体" w:hAnsi="Times New Roman" w:cs="Times New Roman"/>
          <w:szCs w:val="21"/>
        </w:rPr>
        <w:t xml:space="preserve"> </w:t>
      </w:r>
      <w:r w:rsidR="006851F1" w:rsidRPr="00C613BE">
        <w:rPr>
          <w:rFonts w:ascii="Times New Roman" w:eastAsia="宋体" w:hAnsi="Times New Roman" w:cs="Times New Roman"/>
          <w:szCs w:val="21"/>
        </w:rPr>
        <w:t>is the unit installation price of device </w:t>
      </w:r>
      <m:oMath>
        <m:r>
          <w:rPr>
            <w:rFonts w:ascii="Cambria Math" w:eastAsia="宋体" w:hAnsi="Cambria Math" w:cs="Times New Roman"/>
            <w:szCs w:val="21"/>
          </w:rPr>
          <m:t>i</m:t>
        </m:r>
      </m:oMath>
      <w:r w:rsidR="006851F1" w:rsidRPr="00C613BE">
        <w:rPr>
          <w:rFonts w:ascii="Times New Roman" w:eastAsia="宋体" w:hAnsi="Times New Roman" w:cs="Times New Roman"/>
          <w:szCs w:val="21"/>
        </w:rPr>
        <w:t>; </w:t>
      </w:r>
      <m:oMath>
        <m:r>
          <w:rPr>
            <w:rFonts w:ascii="Cambria Math" w:eastAsia="宋体" w:hAnsi="Cambria Math" w:cs="Times New Roman"/>
            <w:szCs w:val="21"/>
          </w:rPr>
          <m:t>r</m:t>
        </m:r>
      </m:oMath>
      <w:r w:rsidR="006851F1" w:rsidRPr="00C613BE">
        <w:rPr>
          <w:rFonts w:ascii="Times New Roman" w:eastAsia="宋体" w:hAnsi="Times New Roman" w:cs="Times New Roman"/>
          <w:szCs w:val="21"/>
        </w:rPr>
        <w:t xml:space="preserve"> is the annual discount rate; </w:t>
      </w:r>
      <m:oMath>
        <m:r>
          <w:rPr>
            <w:rFonts w:ascii="Cambria Math" w:eastAsia="宋体" w:hAnsi="Cambria Math" w:cs="Times New Roman"/>
            <w:szCs w:val="21"/>
          </w:rPr>
          <m:t>y</m:t>
        </m:r>
      </m:oMath>
      <w:r w:rsidR="006851F1" w:rsidRPr="00C613BE">
        <w:rPr>
          <w:rFonts w:ascii="Times New Roman" w:eastAsia="宋体" w:hAnsi="Times New Roman" w:cs="Times New Roman"/>
          <w:szCs w:val="21"/>
        </w:rPr>
        <w:t xml:space="preserve"> is the equipment lifespan.</w:t>
      </w:r>
      <w:r w:rsidR="0011682B" w:rsidRPr="00C613BE">
        <w:rPr>
          <w:rFonts w:ascii="Times New Roman" w:eastAsia="宋体" w:hAnsi="Times New Roman" w:cs="Times New Roman"/>
          <w:szCs w:val="21"/>
        </w:rPr>
        <w:t xml:space="preserve"> The annual operational cost is defined in the lower-level model.</w:t>
      </w:r>
    </w:p>
    <w:p w14:paraId="470CD5FF" w14:textId="60BC18A7" w:rsidR="005E795D" w:rsidRPr="00C613BE" w:rsidRDefault="0011682B"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The upper-level model must satisfy the load demand constraint:</w:t>
      </w:r>
    </w:p>
    <w:p w14:paraId="2FD1257B" w14:textId="4CACCBCB" w:rsidR="00080BF5" w:rsidRPr="00C613BE" w:rsidRDefault="00000000" w:rsidP="00C14660">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func>
                <m:funcPr>
                  <m:ctrlPr>
                    <w:rPr>
                      <w:rFonts w:ascii="Cambria Math" w:eastAsia="宋体" w:hAnsi="Cambria Math" w:cs="Times New Roman"/>
                      <w:szCs w:val="21"/>
                    </w:rPr>
                  </m:ctrlPr>
                </m:funcPr>
                <m:fName>
                  <m:r>
                    <m:rPr>
                      <m:sty m:val="p"/>
                    </m:rPr>
                    <w:rPr>
                      <w:rFonts w:ascii="Cambria Math" w:eastAsia="宋体" w:hAnsi="Cambria Math" w:cs="Times New Roman"/>
                      <w:szCs w:val="21"/>
                    </w:rPr>
                    <m:t>max</m:t>
                  </m:r>
                </m:fName>
                <m:e>
                  <m:d>
                    <m:dPr>
                      <m:ctrlPr>
                        <w:rPr>
                          <w:rFonts w:ascii="Cambria Math" w:eastAsia="宋体" w:hAnsi="Cambria Math" w:cs="Times New Roman"/>
                          <w:i/>
                          <w:szCs w:val="21"/>
                        </w:rPr>
                      </m:ctrlPr>
                    </m:dPr>
                    <m:e>
                      <m:nary>
                        <m:naryPr>
                          <m:chr m:val="∑"/>
                          <m:limLoc m:val="undOvr"/>
                          <m:supHide m:val="1"/>
                          <m:ctrlPr>
                            <w:rPr>
                              <w:rFonts w:ascii="Cambria Math" w:eastAsia="宋体" w:hAnsi="Cambria Math" w:cs="Times New Roman"/>
                              <w:i/>
                              <w:szCs w:val="21"/>
                            </w:rPr>
                          </m:ctrlPr>
                        </m:naryPr>
                        <m:sub>
                          <m:r>
                            <w:rPr>
                              <w:rFonts w:ascii="Cambria Math" w:eastAsia="宋体" w:hAnsi="Cambria Math" w:cs="Times New Roman"/>
                              <w:szCs w:val="21"/>
                            </w:rPr>
                            <m:t>m</m:t>
                          </m:r>
                        </m:sub>
                        <m:sup/>
                        <m:e>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m,load</m:t>
                              </m:r>
                            </m:sub>
                          </m:sSub>
                        </m:e>
                      </m:nary>
                    </m:e>
                  </m:d>
                </m:e>
              </m:func>
              <m:r>
                <w:rPr>
                  <w:rFonts w:ascii="Cambria Math" w:eastAsia="宋体" w:hAnsi="Cambria Math" w:cs="Times New Roman"/>
                  <w:szCs w:val="21"/>
                </w:rPr>
                <m:t xml:space="preserve">≤ </m:t>
              </m:r>
              <m:nary>
                <m:naryPr>
                  <m:chr m:val="∑"/>
                  <m:limLoc m:val="undOvr"/>
                  <m:supHide m:val="1"/>
                  <m:ctrlPr>
                    <w:rPr>
                      <w:rFonts w:ascii="Cambria Math" w:eastAsia="宋体" w:hAnsi="Cambria Math" w:cs="Times New Roman"/>
                      <w:i/>
                      <w:szCs w:val="21"/>
                    </w:rPr>
                  </m:ctrlPr>
                </m:naryPr>
                <m:sub>
                  <m:r>
                    <w:rPr>
                      <w:rFonts w:ascii="Cambria Math" w:eastAsia="宋体" w:hAnsi="Cambria Math" w:cs="Times New Roman"/>
                      <w:szCs w:val="21"/>
                    </w:rPr>
                    <m:t>m</m:t>
                  </m:r>
                </m:sub>
                <m:sup/>
                <m:e>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m,power</m:t>
                      </m:r>
                    </m:sub>
                  </m:sSub>
                </m:e>
              </m:nary>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2</m:t>
                  </m:r>
                </m:e>
              </m:d>
            </m:e>
          </m:eqArr>
        </m:oMath>
      </m:oMathPara>
    </w:p>
    <w:p w14:paraId="25DA9D00" w14:textId="5D36A667" w:rsidR="00080BF5" w:rsidRPr="00C613BE" w:rsidRDefault="00420029"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 xml:space="preserve">where </w:t>
      </w:r>
      <m:oMath>
        <m:r>
          <w:rPr>
            <w:rFonts w:ascii="Cambria Math" w:eastAsia="宋体" w:hAnsi="Cambria Math" w:cs="Times New Roman"/>
            <w:szCs w:val="21"/>
          </w:rPr>
          <m:t>m</m:t>
        </m:r>
      </m:oMath>
      <w:r w:rsidRPr="00C613BE">
        <w:rPr>
          <w:rFonts w:ascii="Times New Roman" w:eastAsia="宋体" w:hAnsi="Times New Roman" w:cs="Times New Roman"/>
          <w:szCs w:val="21"/>
        </w:rPr>
        <w:t xml:space="preserve"> represents electricity, heating, and cooling systems;</w:t>
      </w:r>
      <m:oMath>
        <m:nary>
          <m:naryPr>
            <m:chr m:val="∑"/>
            <m:limLoc m:val="undOvr"/>
            <m:supHide m:val="1"/>
            <m:ctrlPr>
              <w:rPr>
                <w:rFonts w:ascii="Cambria Math" w:eastAsia="宋体" w:hAnsi="Cambria Math" w:cs="Times New Roman"/>
                <w:i/>
                <w:szCs w:val="21"/>
              </w:rPr>
            </m:ctrlPr>
          </m:naryPr>
          <m:sub>
            <m:r>
              <w:rPr>
                <w:rFonts w:ascii="Cambria Math" w:eastAsia="宋体" w:hAnsi="Cambria Math" w:cs="Times New Roman"/>
                <w:szCs w:val="21"/>
              </w:rPr>
              <m:t>m</m:t>
            </m:r>
          </m:sub>
          <m:sup/>
          <m:e>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m,load</m:t>
                </m:r>
              </m:sub>
            </m:sSub>
          </m:e>
        </m:nary>
      </m:oMath>
      <w:r w:rsidRPr="00C613BE">
        <w:rPr>
          <w:rFonts w:ascii="Times New Roman" w:eastAsia="宋体" w:hAnsi="Times New Roman" w:cs="Times New Roman"/>
          <w:szCs w:val="21"/>
        </w:rPr>
        <w:t xml:space="preserve"> is the total load demand; </w:t>
      </w:r>
      <m:oMath>
        <m:nary>
          <m:naryPr>
            <m:chr m:val="∑"/>
            <m:limLoc m:val="undOvr"/>
            <m:supHide m:val="1"/>
            <m:ctrlPr>
              <w:rPr>
                <w:rFonts w:ascii="Cambria Math" w:eastAsia="宋体" w:hAnsi="Cambria Math" w:cs="Times New Roman"/>
                <w:i/>
                <w:szCs w:val="21"/>
              </w:rPr>
            </m:ctrlPr>
          </m:naryPr>
          <m:sub>
            <m:r>
              <w:rPr>
                <w:rFonts w:ascii="Cambria Math" w:eastAsia="宋体" w:hAnsi="Cambria Math" w:cs="Times New Roman"/>
                <w:szCs w:val="21"/>
              </w:rPr>
              <m:t>m</m:t>
            </m:r>
          </m:sub>
          <m:sup/>
          <m:e>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m,power</m:t>
                </m:r>
              </m:sub>
            </m:sSub>
          </m:e>
        </m:nary>
      </m:oMath>
      <w:r w:rsidRPr="00C613BE">
        <w:rPr>
          <w:rFonts w:ascii="Times New Roman" w:hAnsi="Times New Roman" w:cs="Times New Roman"/>
        </w:rPr>
        <w:t xml:space="preserve"> </w:t>
      </w:r>
      <w:r w:rsidRPr="00C613BE">
        <w:rPr>
          <w:rFonts w:ascii="Times New Roman" w:eastAsia="宋体" w:hAnsi="Times New Roman" w:cs="Times New Roman"/>
          <w:szCs w:val="21"/>
        </w:rPr>
        <w:t>is the total configured capacity.</w:t>
      </w:r>
    </w:p>
    <w:p w14:paraId="76B88AE9" w14:textId="77777777" w:rsidR="00420029" w:rsidRPr="00C613BE" w:rsidRDefault="00420029"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The objective of lower-level model is to minimize the total annual operational cost of the energy system. Decision variables are the real-time output of system components. Annual operational cost includes LNG purchase cost, equipment maintenance cost, renewable curtailment penalty, and load shedding penalty:</w:t>
      </w:r>
    </w:p>
    <w:p w14:paraId="0F592371" w14:textId="74BFA20C" w:rsidR="00A3677E" w:rsidRPr="00C613BE" w:rsidRDefault="00000000" w:rsidP="00C14660">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func>
                <m:funcPr>
                  <m:ctrlPr>
                    <w:rPr>
                      <w:rFonts w:ascii="Cambria Math" w:eastAsia="宋体" w:hAnsi="Cambria Math" w:cs="Times New Roman"/>
                      <w:szCs w:val="21"/>
                    </w:rPr>
                  </m:ctrlPr>
                </m:funcPr>
                <m:fName>
                  <m:r>
                    <m:rPr>
                      <m:sty m:val="p"/>
                    </m:rPr>
                    <w:rPr>
                      <w:rFonts w:ascii="Cambria Math" w:eastAsia="宋体" w:hAnsi="Cambria Math" w:cs="Times New Roman"/>
                      <w:szCs w:val="21"/>
                    </w:rPr>
                    <m:t>min</m:t>
                  </m:r>
                  <m:ctrlPr>
                    <w:rPr>
                      <w:rFonts w:ascii="Cambria Math" w:eastAsia="宋体" w:hAnsi="Cambria Math" w:cs="Times New Roman"/>
                      <w:i/>
                      <w:szCs w:val="21"/>
                    </w:rPr>
                  </m:ctrlPr>
                </m:fName>
                <m:e>
                  <m:sSub>
                    <m:sSubPr>
                      <m:ctrlPr>
                        <w:rPr>
                          <w:rFonts w:ascii="Cambria Math" w:eastAsia="宋体" w:hAnsi="Cambria Math" w:cs="Times New Roman"/>
                          <w:i/>
                          <w:szCs w:val="21"/>
                        </w:rPr>
                      </m:ctrlPr>
                    </m:sSubPr>
                    <m:e>
                      <m:r>
                        <w:rPr>
                          <w:rFonts w:ascii="Cambria Math" w:eastAsia="宋体" w:hAnsi="Cambria Math" w:cs="Times New Roman"/>
                          <w:szCs w:val="21"/>
                        </w:rPr>
                        <m:t>C</m:t>
                      </m:r>
                      <m:ctrlPr>
                        <w:rPr>
                          <w:rFonts w:ascii="Cambria Math" w:eastAsia="宋体" w:hAnsi="Cambria Math" w:cs="Times New Roman"/>
                          <w:szCs w:val="21"/>
                        </w:rPr>
                      </m:ctrlPr>
                    </m:e>
                    <m:sub>
                      <m:r>
                        <w:rPr>
                          <w:rFonts w:ascii="Cambria Math" w:eastAsia="宋体" w:hAnsi="Cambria Math" w:cs="Times New Roman"/>
                          <w:szCs w:val="21"/>
                        </w:rPr>
                        <m:t>Y</m:t>
                      </m:r>
                    </m:sub>
                  </m:sSub>
                </m:e>
              </m:func>
              <m:r>
                <w:rPr>
                  <w:rFonts w:ascii="Cambria Math" w:eastAsia="宋体" w:hAnsi="Cambria Math" w:cs="Times New Roman"/>
                  <w:szCs w:val="21"/>
                </w:rPr>
                <m:t>=</m:t>
              </m:r>
              <m:func>
                <m:funcPr>
                  <m:ctrlPr>
                    <w:rPr>
                      <w:rFonts w:ascii="Cambria Math" w:eastAsia="宋体" w:hAnsi="Cambria Math" w:cs="Times New Roman"/>
                      <w:szCs w:val="21"/>
                    </w:rPr>
                  </m:ctrlPr>
                </m:funcPr>
                <m:fName>
                  <m:r>
                    <m:rPr>
                      <m:sty m:val="p"/>
                    </m:rPr>
                    <w:rPr>
                      <w:rFonts w:ascii="Cambria Math" w:eastAsia="宋体" w:hAnsi="Cambria Math" w:cs="Times New Roman"/>
                      <w:szCs w:val="21"/>
                    </w:rPr>
                    <m:t>min</m:t>
                  </m:r>
                  <m:ctrlPr>
                    <w:rPr>
                      <w:rFonts w:ascii="Cambria Math" w:eastAsia="宋体" w:hAnsi="Cambria Math" w:cs="Times New Roman"/>
                      <w:i/>
                      <w:szCs w:val="21"/>
                    </w:rPr>
                  </m:ctrlPr>
                </m:fName>
                <m:e>
                  <m:d>
                    <m:dPr>
                      <m:ctrlPr>
                        <w:rPr>
                          <w:rFonts w:ascii="Cambria Math" w:eastAsia="宋体" w:hAnsi="Cambria Math" w:cs="Times New Roman"/>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Eq</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Pun</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Dload</m:t>
                          </m:r>
                        </m:sub>
                      </m:sSub>
                      <m:ctrlPr>
                        <w:rPr>
                          <w:rFonts w:ascii="Cambria Math" w:eastAsia="宋体" w:hAnsi="Cambria Math" w:cs="Times New Roman"/>
                          <w:i/>
                          <w:szCs w:val="21"/>
                        </w:rPr>
                      </m:ctrlPr>
                    </m:e>
                  </m:d>
                  <m:r>
                    <w:rPr>
                      <w:rFonts w:ascii="Cambria Math" w:eastAsia="宋体" w:hAnsi="Cambria Math" w:cs="Times New Roman"/>
                      <w:szCs w:val="21"/>
                    </w:rPr>
                    <m:t xml:space="preserve"> </m:t>
                  </m:r>
                </m:e>
              </m:func>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3</m:t>
                  </m:r>
                </m:e>
              </m:d>
            </m:e>
          </m:eqArr>
        </m:oMath>
      </m:oMathPara>
    </w:p>
    <w:p w14:paraId="51D5415C" w14:textId="5EE4E494" w:rsidR="00486730" w:rsidRPr="00C613BE" w:rsidRDefault="00000000" w:rsidP="00C14660">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m:t>
                  </m:r>
                </m:sub>
              </m:sSub>
              <m:r>
                <w:rPr>
                  <w:rFonts w:ascii="Cambria Math" w:eastAsia="宋体" w:hAnsi="Cambria Math" w:cs="Times New Roman"/>
                  <w:szCs w:val="21"/>
                </w:rPr>
                <m:t>=</m:t>
              </m:r>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t=1</m:t>
                  </m:r>
                </m:sub>
                <m:sup>
                  <m:r>
                    <w:rPr>
                      <w:rFonts w:ascii="Cambria Math" w:eastAsia="宋体" w:hAnsi="Cambria Math" w:cs="Times New Roman"/>
                      <w:szCs w:val="21"/>
                    </w:rPr>
                    <m:t>h</m:t>
                  </m:r>
                </m:sup>
                <m:e>
                  <m:sSub>
                    <m:sSubPr>
                      <m:ctrlPr>
                        <w:rPr>
                          <w:rFonts w:ascii="Cambria Math" w:eastAsia="宋体" w:hAnsi="Cambria Math" w:cs="Times New Roman"/>
                          <w:i/>
                          <w:szCs w:val="21"/>
                        </w:rPr>
                      </m:ctrlPr>
                    </m:sSubPr>
                    <m:e>
                      <m:r>
                        <w:rPr>
                          <w:rFonts w:ascii="Cambria Math" w:eastAsia="宋体" w:hAnsi="Cambria Math" w:cs="Times New Roman"/>
                          <w:szCs w:val="21"/>
                        </w:rPr>
                        <m:t>Q</m:t>
                      </m:r>
                    </m:e>
                    <m:sub>
                      <m:r>
                        <w:rPr>
                          <w:rFonts w:ascii="Cambria Math" w:eastAsia="宋体" w:hAnsi="Cambria Math" w:cs="Times New Roman"/>
                          <w:szCs w:val="21"/>
                        </w:rPr>
                        <m:t>LNG</m:t>
                      </m:r>
                    </m:sub>
                  </m:sSub>
                  <m:d>
                    <m:dPr>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m:t>
                          </m:r>
                          <m:sSup>
                            <m:sSupPr>
                              <m:ctrlPr>
                                <w:rPr>
                                  <w:rFonts w:ascii="Cambria Math" w:eastAsia="宋体" w:hAnsi="Cambria Math" w:cs="Times New Roman"/>
                                  <w:i/>
                                  <w:szCs w:val="21"/>
                                </w:rPr>
                              </m:ctrlPr>
                            </m:sSupPr>
                            <m:e>
                              <m:r>
                                <w:rPr>
                                  <w:rFonts w:ascii="Cambria Math" w:eastAsia="宋体" w:hAnsi="Cambria Math" w:cs="Times New Roman"/>
                                  <w:szCs w:val="21"/>
                                </w:rPr>
                                <m:t>m</m:t>
                              </m:r>
                            </m:e>
                            <m:sup>
                              <m:r>
                                <w:rPr>
                                  <w:rFonts w:ascii="Cambria Math" w:eastAsia="宋体" w:hAnsi="Cambria Math" w:cs="Times New Roman"/>
                                  <w:szCs w:val="21"/>
                                </w:rPr>
                                <m:t>3</m:t>
                              </m:r>
                            </m:sup>
                          </m:sSup>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LNG,km</m:t>
                          </m:r>
                        </m:sub>
                      </m:sSub>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LNG</m:t>
                          </m:r>
                        </m:sub>
                      </m:sSub>
                    </m:e>
                  </m:d>
                </m:e>
              </m:nary>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LNG,fix</m:t>
                  </m:r>
                </m:sub>
              </m:sSub>
              <m:sSub>
                <m:sSubPr>
                  <m:ctrlPr>
                    <w:rPr>
                      <w:rFonts w:ascii="Cambria Math" w:eastAsia="宋体" w:hAnsi="Cambria Math" w:cs="Times New Roman"/>
                      <w:i/>
                      <w:szCs w:val="21"/>
                    </w:rPr>
                  </m:ctrlPr>
                </m:sSubPr>
                <m:e>
                  <m:r>
                    <w:rPr>
                      <w:rFonts w:ascii="Cambria Math" w:eastAsia="宋体" w:hAnsi="Cambria Math" w:cs="Times New Roman"/>
                      <w:szCs w:val="21"/>
                    </w:rPr>
                    <m:t>N</m:t>
                  </m:r>
                </m:e>
                <m:sub>
                  <m:r>
                    <w:rPr>
                      <w:rFonts w:ascii="Cambria Math" w:eastAsia="宋体" w:hAnsi="Cambria Math" w:cs="Times New Roman"/>
                      <w:szCs w:val="21"/>
                    </w:rPr>
                    <m:t>LNG</m:t>
                  </m:r>
                </m:sub>
              </m:sSub>
              <m:r>
                <w:rPr>
                  <w:rFonts w:ascii="Cambria Math" w:eastAsia="宋体" w:hAnsi="Cambria Math" w:cs="Times New Roman"/>
                  <w:szCs w:val="21"/>
                </w:rPr>
                <m:t xml:space="preserve"> #</m:t>
              </m:r>
              <m:d>
                <m:dPr>
                  <m:ctrlPr>
                    <w:rPr>
                      <w:rFonts w:ascii="Cambria Math" w:eastAsia="宋体" w:hAnsi="Cambria Math" w:cs="Times New Roman"/>
                      <w:i/>
                      <w:szCs w:val="21"/>
                    </w:rPr>
                  </m:ctrlPr>
                </m:dPr>
                <m:e>
                  <m:r>
                    <w:rPr>
                      <w:rFonts w:ascii="Cambria Math" w:eastAsia="宋体" w:hAnsi="Cambria Math" w:cs="Times New Roman"/>
                      <w:szCs w:val="21"/>
                    </w:rPr>
                    <m:t>4</m:t>
                  </m:r>
                </m:e>
              </m:d>
            </m:e>
          </m:eqArr>
        </m:oMath>
      </m:oMathPara>
    </w:p>
    <w:p w14:paraId="73BE7F1D" w14:textId="7EA390DB" w:rsidR="006D165E" w:rsidRPr="00C613BE" w:rsidRDefault="00000000" w:rsidP="00C14660">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Eq</m:t>
                  </m:r>
                </m:sub>
              </m:sSub>
              <m:r>
                <w:rPr>
                  <w:rFonts w:ascii="Cambria Math" w:eastAsia="宋体" w:hAnsi="Cambria Math" w:cs="Times New Roman"/>
                  <w:szCs w:val="21"/>
                </w:rPr>
                <m:t>=</m:t>
              </m:r>
              <m:nary>
                <m:naryPr>
                  <m:chr m:val="∑"/>
                  <m:ctrlPr>
                    <w:rPr>
                      <w:rFonts w:ascii="Cambria Math" w:eastAsia="宋体" w:hAnsi="Cambria Math" w:cs="Times New Roman"/>
                      <w:szCs w:val="21"/>
                    </w:rPr>
                  </m:ctrlPr>
                </m:naryPr>
                <m:sub>
                  <m:r>
                    <w:rPr>
                      <w:rFonts w:ascii="Cambria Math" w:eastAsia="宋体" w:hAnsi="Cambria Math" w:cs="Times New Roman"/>
                      <w:szCs w:val="21"/>
                    </w:rPr>
                    <m:t>m=1</m:t>
                  </m:r>
                  <m:ctrlPr>
                    <w:rPr>
                      <w:rFonts w:ascii="Cambria Math" w:eastAsia="宋体" w:hAnsi="Cambria Math" w:cs="Times New Roman"/>
                      <w:i/>
                      <w:szCs w:val="21"/>
                    </w:rPr>
                  </m:ctrlPr>
                </m:sub>
                <m:sup>
                  <m:r>
                    <w:rPr>
                      <w:rFonts w:ascii="Cambria Math" w:eastAsia="宋体" w:hAnsi="Cambria Math" w:cs="Times New Roman"/>
                      <w:szCs w:val="21"/>
                    </w:rPr>
                    <m:t>l</m:t>
                  </m:r>
                  <m:ctrlPr>
                    <w:rPr>
                      <w:rFonts w:ascii="Cambria Math" w:eastAsia="宋体" w:hAnsi="Cambria Math" w:cs="Times New Roman"/>
                      <w:i/>
                      <w:szCs w:val="21"/>
                    </w:rPr>
                  </m:ctrlPr>
                </m:sup>
                <m:e>
                  <m:sSubSup>
                    <m:sSubSupPr>
                      <m:ctrlPr>
                        <w:rPr>
                          <w:rFonts w:ascii="Cambria Math" w:eastAsia="宋体" w:hAnsi="Cambria Math" w:cs="Times New Roman"/>
                          <w:i/>
                          <w:szCs w:val="21"/>
                        </w:rPr>
                      </m:ctrlPr>
                    </m:sSubSupPr>
                    <m:e>
                      <m:r>
                        <w:rPr>
                          <w:rFonts w:ascii="Cambria Math" w:eastAsia="宋体" w:hAnsi="Cambria Math" w:cs="Times New Roman"/>
                          <w:szCs w:val="21"/>
                        </w:rPr>
                        <m:t>c</m:t>
                      </m:r>
                    </m:e>
                    <m:sub>
                      <m:r>
                        <m:rPr>
                          <m:nor/>
                        </m:rPr>
                        <w:rPr>
                          <w:rFonts w:ascii="Times New Roman" w:eastAsia="宋体" w:hAnsi="Times New Roman" w:cs="Times New Roman"/>
                          <w:szCs w:val="21"/>
                        </w:rPr>
                        <m:t>fix</m:t>
                      </m:r>
                    </m:sub>
                    <m:sup>
                      <m:r>
                        <w:rPr>
                          <w:rFonts w:ascii="Cambria Math" w:eastAsia="宋体" w:hAnsi="Cambria Math" w:cs="Times New Roman"/>
                          <w:szCs w:val="21"/>
                        </w:rPr>
                        <m:t>m</m:t>
                      </m:r>
                    </m:sup>
                  </m:sSubSup>
                  <m:sSubSup>
                    <m:sSubSupPr>
                      <m:ctrlPr>
                        <w:rPr>
                          <w:rFonts w:ascii="Cambria Math" w:eastAsia="宋体" w:hAnsi="Cambria Math" w:cs="Times New Roman"/>
                          <w:i/>
                          <w:szCs w:val="21"/>
                        </w:rPr>
                      </m:ctrlPr>
                    </m:sSubSupPr>
                    <m:e>
                      <m:r>
                        <w:rPr>
                          <w:rFonts w:ascii="Cambria Math" w:eastAsia="宋体" w:hAnsi="Cambria Math" w:cs="Times New Roman"/>
                          <w:szCs w:val="21"/>
                        </w:rPr>
                        <m:t>P</m:t>
                      </m:r>
                    </m:e>
                    <m:sub>
                      <m:r>
                        <m:rPr>
                          <m:nor/>
                        </m:rPr>
                        <w:rPr>
                          <w:rFonts w:ascii="Times New Roman" w:eastAsia="宋体" w:hAnsi="Times New Roman" w:cs="Times New Roman"/>
                          <w:szCs w:val="21"/>
                        </w:rPr>
                        <m:t>fix</m:t>
                      </m:r>
                    </m:sub>
                    <m:sup>
                      <m:r>
                        <w:rPr>
                          <w:rFonts w:ascii="Cambria Math" w:eastAsia="宋体" w:hAnsi="Cambria Math" w:cs="Times New Roman"/>
                          <w:szCs w:val="21"/>
                        </w:rPr>
                        <m:t>m</m:t>
                      </m:r>
                    </m:sup>
                  </m:sSubSup>
                  <m:ctrlPr>
                    <w:rPr>
                      <w:rFonts w:ascii="Cambria Math" w:eastAsia="宋体" w:hAnsi="Cambria Math" w:cs="Times New Roman"/>
                      <w:i/>
                      <w:szCs w:val="21"/>
                    </w:rPr>
                  </m:ctrlPr>
                </m:e>
              </m:nary>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5</m:t>
                  </m:r>
                </m:e>
              </m:d>
            </m:e>
          </m:eqArr>
        </m:oMath>
      </m:oMathPara>
    </w:p>
    <w:p w14:paraId="2ED17A12" w14:textId="296A76F3" w:rsidR="000629ED" w:rsidRPr="00C613BE" w:rsidRDefault="00000000" w:rsidP="00C14660">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Pun</m:t>
                  </m:r>
                </m:sub>
              </m:sSub>
              <m:r>
                <w:rPr>
                  <w:rFonts w:ascii="Cambria Math" w:eastAsia="宋体" w:hAnsi="Cambria Math" w:cs="Times New Roman"/>
                  <w:szCs w:val="21"/>
                </w:rPr>
                <m:t>=</m:t>
              </m:r>
              <m:nary>
                <m:naryPr>
                  <m:chr m:val="∑"/>
                  <m:ctrlPr>
                    <w:rPr>
                      <w:rFonts w:ascii="Cambria Math" w:eastAsia="宋体" w:hAnsi="Cambria Math" w:cs="Times New Roman"/>
                      <w:szCs w:val="21"/>
                    </w:rPr>
                  </m:ctrlPr>
                </m:naryPr>
                <m:sub>
                  <m:r>
                    <m:rPr>
                      <m:nor/>
                    </m:rPr>
                    <w:rPr>
                      <w:rFonts w:ascii="Times New Roman" w:eastAsia="宋体" w:hAnsi="Times New Roman" w:cs="Times New Roman"/>
                      <w:szCs w:val="21"/>
                    </w:rPr>
                    <m:t>Ele</m:t>
                  </m:r>
                  <m:ctrlPr>
                    <w:rPr>
                      <w:rFonts w:ascii="Cambria Math" w:eastAsia="宋体" w:hAnsi="Cambria Math" w:cs="Times New Roman"/>
                      <w:i/>
                      <w:szCs w:val="21"/>
                    </w:rPr>
                  </m:ctrlPr>
                </m:sub>
                <m:sup>
                  <m:r>
                    <w:rPr>
                      <w:rFonts w:ascii="Cambria Math" w:eastAsia="宋体" w:hAnsi="Cambria Math" w:cs="Times New Roman"/>
                      <w:szCs w:val="21"/>
                    </w:rPr>
                    <m:t>h</m:t>
                  </m:r>
                  <m:ctrlPr>
                    <w:rPr>
                      <w:rFonts w:ascii="Cambria Math" w:eastAsia="宋体" w:hAnsi="Cambria Math" w:cs="Times New Roman"/>
                      <w:i/>
                      <w:szCs w:val="21"/>
                    </w:rPr>
                  </m:ctrlPr>
                </m:sup>
                <m:e>
                  <m:sSub>
                    <m:sSubPr>
                      <m:ctrlPr>
                        <w:rPr>
                          <w:rFonts w:ascii="Cambria Math" w:eastAsia="宋体" w:hAnsi="Cambria Math" w:cs="Times New Roman"/>
                          <w:i/>
                          <w:szCs w:val="21"/>
                        </w:rPr>
                      </m:ctrlPr>
                    </m:sSubPr>
                    <m:e>
                      <m:r>
                        <m:rPr>
                          <m:sty m:val="p"/>
                        </m:rPr>
                        <w:rPr>
                          <w:rFonts w:ascii="Cambria Math" w:eastAsia="宋体" w:hAnsi="Cambria Math" w:cs="Times New Roman"/>
                          <w:szCs w:val="21"/>
                        </w:rPr>
                        <m:t>λ</m:t>
                      </m:r>
                    </m:e>
                    <m:sub>
                      <m:r>
                        <m:rPr>
                          <m:sty m:val="p"/>
                        </m:rPr>
                        <w:rPr>
                          <w:rFonts w:ascii="Cambria Math" w:eastAsia="宋体" w:hAnsi="Cambria Math" w:cs="Times New Roman"/>
                          <w:szCs w:val="21"/>
                        </w:rPr>
                        <m:t>Renew</m:t>
                      </m:r>
                    </m:sub>
                  </m:sSub>
                  <m:sSub>
                    <m:sSubPr>
                      <m:ctrlPr>
                        <w:rPr>
                          <w:rFonts w:ascii="Cambria Math" w:eastAsia="宋体" w:hAnsi="Cambria Math" w:cs="Times New Roman"/>
                          <w:i/>
                          <w:szCs w:val="21"/>
                        </w:rPr>
                      </m:ctrlPr>
                    </m:sSubPr>
                    <m:e>
                      <m:r>
                        <w:rPr>
                          <w:rFonts w:ascii="Cambria Math" w:eastAsia="宋体" w:hAnsi="Cambria Math" w:cs="Times New Roman"/>
                          <w:szCs w:val="21"/>
                        </w:rPr>
                        <m:t>P</m:t>
                      </m:r>
                    </m:e>
                    <m:sub>
                      <m:r>
                        <m:rPr>
                          <m:sty m:val="p"/>
                        </m:rPr>
                        <w:rPr>
                          <w:rFonts w:ascii="Cambria Math" w:eastAsia="宋体" w:hAnsi="Cambria Math" w:cs="Times New Roman"/>
                          <w:szCs w:val="21"/>
                        </w:rPr>
                        <m:t>Renew</m:t>
                      </m:r>
                      <m:r>
                        <m:rPr>
                          <m:nor/>
                        </m:rPr>
                        <w:rPr>
                          <w:rFonts w:ascii="Times New Roman" w:eastAsia="宋体" w:hAnsi="Times New Roman" w:cs="Times New Roman"/>
                          <w:szCs w:val="21"/>
                        </w:rPr>
                        <m:t>,dis</m:t>
                      </m:r>
                    </m:sub>
                  </m:sSub>
                  <m:ctrlPr>
                    <w:rPr>
                      <w:rFonts w:ascii="Cambria Math" w:eastAsia="宋体" w:hAnsi="Cambria Math" w:cs="Times New Roman"/>
                      <w:i/>
                      <w:szCs w:val="21"/>
                    </w:rPr>
                  </m:ctrlPr>
                </m:e>
              </m:nary>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6</m:t>
                  </m:r>
                </m:e>
              </m:d>
            </m:e>
          </m:eqArr>
        </m:oMath>
      </m:oMathPara>
    </w:p>
    <w:p w14:paraId="3200A3A1" w14:textId="168DAD23" w:rsidR="000629ED" w:rsidRPr="00C613BE" w:rsidRDefault="00000000" w:rsidP="00C14660">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Dload</m:t>
                  </m:r>
                </m:sub>
              </m:sSub>
              <m:r>
                <w:rPr>
                  <w:rFonts w:ascii="Cambria Math" w:eastAsia="宋体" w:hAnsi="Cambria Math" w:cs="Times New Roman"/>
                  <w:szCs w:val="21"/>
                </w:rPr>
                <m:t>=</m:t>
              </m:r>
              <m:nary>
                <m:naryPr>
                  <m:chr m:val="∑"/>
                  <m:ctrlPr>
                    <w:rPr>
                      <w:rFonts w:ascii="Cambria Math" w:eastAsia="宋体" w:hAnsi="Cambria Math" w:cs="Times New Roman"/>
                      <w:szCs w:val="21"/>
                    </w:rPr>
                  </m:ctrlPr>
                </m:naryPr>
                <m:sub>
                  <m:r>
                    <m:rPr>
                      <m:nor/>
                    </m:rPr>
                    <w:rPr>
                      <w:rFonts w:ascii="Times New Roman" w:eastAsia="宋体" w:hAnsi="Times New Roman" w:cs="Times New Roman"/>
                      <w:szCs w:val="21"/>
                    </w:rPr>
                    <m:t>load</m:t>
                  </m:r>
                  <m:ctrlPr>
                    <w:rPr>
                      <w:rFonts w:ascii="Cambria Math" w:eastAsia="宋体" w:hAnsi="Cambria Math" w:cs="Times New Roman"/>
                      <w:i/>
                      <w:szCs w:val="21"/>
                    </w:rPr>
                  </m:ctrlPr>
                </m:sub>
                <m:sup>
                  <m:r>
                    <w:rPr>
                      <w:rFonts w:ascii="Cambria Math" w:eastAsia="宋体" w:hAnsi="Cambria Math" w:cs="Times New Roman"/>
                      <w:szCs w:val="21"/>
                    </w:rPr>
                    <m:t>h</m:t>
                  </m:r>
                  <m:ctrlPr>
                    <w:rPr>
                      <w:rFonts w:ascii="Cambria Math" w:eastAsia="宋体" w:hAnsi="Cambria Math" w:cs="Times New Roman"/>
                      <w:i/>
                      <w:szCs w:val="21"/>
                    </w:rPr>
                  </m:ctrlPr>
                </m:sup>
                <m:e>
                  <m:sSub>
                    <m:sSubPr>
                      <m:ctrlPr>
                        <w:rPr>
                          <w:rFonts w:ascii="Cambria Math" w:eastAsia="宋体" w:hAnsi="Cambria Math" w:cs="Times New Roman"/>
                          <w:i/>
                          <w:szCs w:val="21"/>
                        </w:rPr>
                      </m:ctrlPr>
                    </m:sSubPr>
                    <m:e>
                      <m:r>
                        <m:rPr>
                          <m:sty m:val="p"/>
                        </m:rPr>
                        <w:rPr>
                          <w:rFonts w:ascii="Cambria Math" w:eastAsia="宋体" w:hAnsi="Cambria Math" w:cs="Times New Roman"/>
                          <w:szCs w:val="21"/>
                        </w:rPr>
                        <m:t>α</m:t>
                      </m:r>
                    </m:e>
                    <m:sub>
                      <m:r>
                        <m:rPr>
                          <m:nor/>
                        </m:rPr>
                        <w:rPr>
                          <w:rFonts w:ascii="Times New Roman" w:eastAsia="宋体" w:hAnsi="Times New Roman" w:cs="Times New Roman"/>
                          <w:szCs w:val="21"/>
                        </w:rPr>
                        <m:t>load</m:t>
                      </m:r>
                    </m:sub>
                  </m:sSub>
                  <m:sSub>
                    <m:sSubPr>
                      <m:ctrlPr>
                        <w:rPr>
                          <w:rFonts w:ascii="Cambria Math" w:eastAsia="宋体" w:hAnsi="Cambria Math" w:cs="Times New Roman"/>
                          <w:i/>
                          <w:szCs w:val="21"/>
                        </w:rPr>
                      </m:ctrlPr>
                    </m:sSubPr>
                    <m:e>
                      <m:r>
                        <w:rPr>
                          <w:rFonts w:ascii="Cambria Math" w:eastAsia="宋体" w:hAnsi="Cambria Math" w:cs="Times New Roman"/>
                          <w:szCs w:val="21"/>
                        </w:rPr>
                        <m:t>P</m:t>
                      </m:r>
                    </m:e>
                    <m:sub>
                      <m:r>
                        <m:rPr>
                          <m:nor/>
                        </m:rPr>
                        <w:rPr>
                          <w:rFonts w:ascii="Times New Roman" w:eastAsia="宋体" w:hAnsi="Times New Roman" w:cs="Times New Roman"/>
                          <w:szCs w:val="21"/>
                        </w:rPr>
                        <m:t>load</m:t>
                      </m:r>
                    </m:sub>
                  </m:sSub>
                  <m:ctrlPr>
                    <w:rPr>
                      <w:rFonts w:ascii="Cambria Math" w:eastAsia="宋体" w:hAnsi="Cambria Math" w:cs="Times New Roman"/>
                      <w:i/>
                      <w:szCs w:val="21"/>
                    </w:rPr>
                  </m:ctrlPr>
                </m:e>
              </m:nary>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7</m:t>
                  </m:r>
                </m:e>
              </m:d>
            </m:e>
          </m:eqArr>
        </m:oMath>
      </m:oMathPara>
    </w:p>
    <w:p w14:paraId="053FD64A" w14:textId="127B797A" w:rsidR="006D165E" w:rsidRPr="00C613BE" w:rsidRDefault="00B80A33"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Where</w:t>
      </w:r>
      <w:r w:rsidR="00525432" w:rsidRPr="00C613BE">
        <w:rPr>
          <w:rFonts w:ascii="Times New Roman" w:eastAsia="宋体" w:hAnsi="Times New Roman" w:cs="Times New Roman"/>
          <w:szCs w:val="21"/>
        </w:rPr>
        <w:t xml:space="preserve"> </w:t>
      </w:r>
      <m:oMath>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Y</m:t>
            </m:r>
          </m:sub>
        </m:sSub>
      </m:oMath>
      <w:r w:rsidR="003B42C4" w:rsidRPr="00C613BE">
        <w:rPr>
          <w:rFonts w:ascii="Times New Roman" w:eastAsia="宋体" w:hAnsi="Times New Roman" w:cs="Times New Roman"/>
          <w:szCs w:val="21"/>
        </w:rPr>
        <w:t xml:space="preserve"> is the annual total operating cost, </w:t>
      </w:r>
      <m:oMath>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m:t>
            </m:r>
          </m:sub>
        </m:sSub>
      </m:oMath>
      <w:r w:rsidR="003B42C4" w:rsidRPr="00C613BE">
        <w:rPr>
          <w:rFonts w:ascii="Times New Roman" w:eastAsia="宋体" w:hAnsi="Times New Roman" w:cs="Times New Roman"/>
          <w:szCs w:val="21"/>
        </w:rPr>
        <w:t xml:space="preserve"> is the LNG procurement cost, </w:t>
      </w:r>
      <m:oMath>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Eq</m:t>
            </m:r>
          </m:sub>
        </m:sSub>
      </m:oMath>
      <w:r w:rsidR="009F0C4F" w:rsidRPr="00C613BE">
        <w:rPr>
          <w:rFonts w:ascii="Times New Roman" w:eastAsia="宋体" w:hAnsi="Times New Roman" w:cs="Times New Roman"/>
          <w:szCs w:val="21"/>
        </w:rPr>
        <w:t xml:space="preserve"> </w:t>
      </w:r>
      <w:r w:rsidR="003B42C4" w:rsidRPr="00C613BE">
        <w:rPr>
          <w:rFonts w:ascii="Times New Roman" w:eastAsia="宋体" w:hAnsi="Times New Roman" w:cs="Times New Roman"/>
          <w:szCs w:val="21"/>
        </w:rPr>
        <w:t xml:space="preserve">is the </w:t>
      </w:r>
      <w:r w:rsidR="009F0C4F" w:rsidRPr="00C613BE">
        <w:rPr>
          <w:rFonts w:ascii="Times New Roman" w:eastAsia="宋体" w:hAnsi="Times New Roman" w:cs="Times New Roman"/>
          <w:szCs w:val="21"/>
        </w:rPr>
        <w:t>equipment</w:t>
      </w:r>
      <w:r w:rsidR="003B42C4" w:rsidRPr="00C613BE">
        <w:rPr>
          <w:rFonts w:ascii="Times New Roman" w:eastAsia="宋体" w:hAnsi="Times New Roman" w:cs="Times New Roman"/>
          <w:szCs w:val="21"/>
        </w:rPr>
        <w:t xml:space="preserve"> operation and maintenance cost, </w:t>
      </w:r>
      <m:oMath>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Pun</m:t>
            </m:r>
          </m:sub>
        </m:sSub>
      </m:oMath>
      <w:r w:rsidR="003B42C4" w:rsidRPr="00C613BE">
        <w:rPr>
          <w:rFonts w:ascii="Times New Roman" w:eastAsia="宋体" w:hAnsi="Times New Roman" w:cs="Times New Roman"/>
          <w:szCs w:val="21"/>
        </w:rPr>
        <w:t xml:space="preserve"> is the renewable energy curtailment penalty cost</w:t>
      </w:r>
      <w:r w:rsidR="006D165E" w:rsidRPr="00C613BE">
        <w:rPr>
          <w:rFonts w:ascii="Times New Roman" w:eastAsia="宋体" w:hAnsi="Times New Roman" w:cs="Times New Roman"/>
          <w:szCs w:val="21"/>
        </w:rPr>
        <w:t>，</w:t>
      </w:r>
      <m:oMath>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Dload</m:t>
            </m:r>
          </m:sub>
        </m:sSub>
      </m:oMath>
      <w:r w:rsidR="003F1900" w:rsidRPr="00C613BE">
        <w:rPr>
          <w:rFonts w:ascii="Times New Roman" w:eastAsia="宋体" w:hAnsi="Times New Roman" w:cs="Times New Roman"/>
          <w:szCs w:val="21"/>
        </w:rPr>
        <w:t xml:space="preserve"> is the load curtailment penalty cost;</w:t>
      </w:r>
      <w:r w:rsidR="000C43A7" w:rsidRPr="00C613BE">
        <w:rPr>
          <w:rFonts w:ascii="Times New Roman" w:hAnsi="Times New Roman" w:cs="Times New Roman"/>
          <w:i/>
          <w:iCs/>
          <w:color w:val="000000"/>
          <w:szCs w:val="21"/>
        </w:rPr>
        <w:t xml:space="preserve"> </w:t>
      </w:r>
      <w:r w:rsidR="000C43A7" w:rsidRPr="00C613BE">
        <w:rPr>
          <w:rFonts w:ascii="Times New Roman" w:eastAsia="宋体" w:hAnsi="Times New Roman" w:cs="Times New Roman"/>
          <w:i/>
          <w:iCs/>
          <w:szCs w:val="21"/>
        </w:rPr>
        <w:t>h</w:t>
      </w:r>
      <w:r w:rsidR="003F1900" w:rsidRPr="00C613BE">
        <w:rPr>
          <w:rFonts w:ascii="Times New Roman" w:eastAsia="宋体" w:hAnsi="Times New Roman" w:cs="Times New Roman"/>
          <w:i/>
          <w:iCs/>
          <w:szCs w:val="21"/>
        </w:rPr>
        <w:t xml:space="preserve"> </w:t>
      </w:r>
      <w:r w:rsidR="003F1900" w:rsidRPr="00C613BE">
        <w:rPr>
          <w:rFonts w:ascii="Times New Roman" w:eastAsia="宋体" w:hAnsi="Times New Roman" w:cs="Times New Roman"/>
          <w:szCs w:val="21"/>
        </w:rPr>
        <w:t xml:space="preserve">is the total simulation time steps, </w:t>
      </w:r>
      <m:oMath>
        <m:sSub>
          <m:sSubPr>
            <m:ctrlPr>
              <w:rPr>
                <w:rFonts w:ascii="Cambria Math" w:eastAsia="宋体" w:hAnsi="Cambria Math" w:cs="Times New Roman"/>
                <w:i/>
                <w:szCs w:val="21"/>
              </w:rPr>
            </m:ctrlPr>
          </m:sSubPr>
          <m:e>
            <m:r>
              <w:rPr>
                <w:rFonts w:ascii="Cambria Math" w:eastAsia="宋体" w:hAnsi="Cambria Math" w:cs="Times New Roman"/>
                <w:szCs w:val="21"/>
              </w:rPr>
              <m:t>Q</m:t>
            </m:r>
          </m:e>
          <m:sub>
            <m:r>
              <w:rPr>
                <w:rFonts w:ascii="Cambria Math" w:eastAsia="宋体" w:hAnsi="Cambria Math" w:cs="Times New Roman"/>
                <w:szCs w:val="21"/>
              </w:rPr>
              <m:t>LNG</m:t>
            </m:r>
          </m:sub>
        </m:sSub>
      </m:oMath>
      <w:r w:rsidR="003F1900" w:rsidRPr="00C613BE">
        <w:rPr>
          <w:rFonts w:ascii="Times New Roman" w:eastAsia="宋体" w:hAnsi="Times New Roman" w:cs="Times New Roman"/>
          <w:szCs w:val="21"/>
        </w:rPr>
        <w:t xml:space="preserve"> is the LNG </w:t>
      </w:r>
      <w:r w:rsidR="003F1900" w:rsidRPr="00C613BE">
        <w:rPr>
          <w:rFonts w:ascii="Times New Roman" w:eastAsia="宋体" w:hAnsi="Times New Roman" w:cs="Times New Roman"/>
          <w:szCs w:val="21"/>
        </w:rPr>
        <w:lastRenderedPageBreak/>
        <w:t>procurement quantity (m</w:t>
      </w:r>
      <w:r w:rsidR="003F1900" w:rsidRPr="00C613BE">
        <w:rPr>
          <w:rFonts w:ascii="Times New Roman" w:eastAsia="宋体" w:hAnsi="Times New Roman" w:cs="Times New Roman"/>
          <w:szCs w:val="21"/>
          <w:vertAlign w:val="superscript"/>
        </w:rPr>
        <w:t>3</w:t>
      </w:r>
      <w:r w:rsidR="003F1900" w:rsidRPr="00C613BE">
        <w:rPr>
          <w:rFonts w:ascii="Times New Roman" w:eastAsia="宋体" w:hAnsi="Times New Roman" w:cs="Times New Roman"/>
          <w:szCs w:val="21"/>
        </w:rPr>
        <w:t>)</w:t>
      </w:r>
      <w:r w:rsidR="00DB4705" w:rsidRPr="00C613BE">
        <w:rPr>
          <w:rFonts w:ascii="Times New Roman" w:eastAsia="宋体" w:hAnsi="Times New Roman" w:cs="Times New Roman"/>
          <w:szCs w:val="21"/>
        </w:rPr>
        <w:t xml:space="preserve">, </w:t>
      </w:r>
      <m:oMath>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m:t>
            </m:r>
            <m:sSup>
              <m:sSupPr>
                <m:ctrlPr>
                  <w:rPr>
                    <w:rFonts w:ascii="Cambria Math" w:eastAsia="宋体" w:hAnsi="Cambria Math" w:cs="Times New Roman"/>
                    <w:i/>
                    <w:szCs w:val="21"/>
                  </w:rPr>
                </m:ctrlPr>
              </m:sSupPr>
              <m:e>
                <m:r>
                  <w:rPr>
                    <w:rFonts w:ascii="Cambria Math" w:eastAsia="宋体" w:hAnsi="Cambria Math" w:cs="Times New Roman"/>
                    <w:szCs w:val="21"/>
                  </w:rPr>
                  <m:t>m</m:t>
                </m:r>
              </m:e>
              <m:sup>
                <m:r>
                  <w:rPr>
                    <w:rFonts w:ascii="Cambria Math" w:eastAsia="宋体" w:hAnsi="Cambria Math" w:cs="Times New Roman"/>
                    <w:szCs w:val="21"/>
                  </w:rPr>
                  <m:t>3</m:t>
                </m:r>
              </m:sup>
            </m:sSup>
          </m:sub>
        </m:sSub>
      </m:oMath>
      <w:r w:rsidR="00DB4705" w:rsidRPr="00C613BE">
        <w:rPr>
          <w:rFonts w:ascii="Times New Roman" w:eastAsia="宋体" w:hAnsi="Times New Roman" w:cs="Times New Roman"/>
          <w:szCs w:val="21"/>
        </w:rPr>
        <w:t xml:space="preserve"> is the LNG purchase price per </w:t>
      </w:r>
      <w:r w:rsidR="00213576" w:rsidRPr="00C613BE">
        <w:rPr>
          <w:rFonts w:ascii="Times New Roman" w:eastAsia="宋体" w:hAnsi="Times New Roman" w:cs="Times New Roman"/>
          <w:szCs w:val="21"/>
        </w:rPr>
        <w:t>cubic meter</w:t>
      </w:r>
      <w:r w:rsidR="00DB4705" w:rsidRPr="00C613BE">
        <w:rPr>
          <w:rFonts w:ascii="Times New Roman" w:eastAsia="宋体" w:hAnsi="Times New Roman" w:cs="Times New Roman"/>
          <w:szCs w:val="21"/>
        </w:rPr>
        <w:t xml:space="preserve">, </w:t>
      </w:r>
      <m:oMath>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LNG,km</m:t>
            </m:r>
          </m:sub>
        </m:sSub>
      </m:oMath>
      <w:r w:rsidR="00213576" w:rsidRPr="00C613BE">
        <w:rPr>
          <w:rFonts w:ascii="Times New Roman" w:eastAsia="宋体" w:hAnsi="Times New Roman" w:cs="Times New Roman"/>
          <w:szCs w:val="21"/>
        </w:rPr>
        <w:t xml:space="preserve"> is the transportation cost per m</w:t>
      </w:r>
      <w:r w:rsidR="00213576" w:rsidRPr="00C613BE">
        <w:rPr>
          <w:rFonts w:ascii="Times New Roman" w:eastAsia="宋体" w:hAnsi="Times New Roman" w:cs="Times New Roman"/>
          <w:szCs w:val="21"/>
          <w:vertAlign w:val="superscript"/>
        </w:rPr>
        <w:t>3</w:t>
      </w:r>
      <w:r w:rsidR="00213576" w:rsidRPr="00C613BE">
        <w:rPr>
          <w:rFonts w:ascii="Times New Roman" w:eastAsia="宋体" w:hAnsi="Times New Roman" w:cs="Times New Roman"/>
          <w:szCs w:val="21"/>
        </w:rPr>
        <w:t xml:space="preserve">-km of LNG, </w:t>
      </w:r>
      <m:oMath>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LNG</m:t>
            </m:r>
          </m:sub>
        </m:sSub>
      </m:oMath>
      <w:r w:rsidR="00213576" w:rsidRPr="00C613BE">
        <w:rPr>
          <w:rFonts w:ascii="Times New Roman" w:eastAsia="宋体" w:hAnsi="Times New Roman" w:cs="Times New Roman"/>
          <w:szCs w:val="21"/>
        </w:rPr>
        <w:t xml:space="preserve"> is the LNG transportation distance (assumed as 1.2×straight-line distance</w:t>
      </w:r>
      <w:r w:rsidR="00213576" w:rsidRPr="00C613BE">
        <w:rPr>
          <w:rFonts w:ascii="Times New Roman" w:eastAsia="宋体" w:hAnsi="Times New Roman" w:cs="Times New Roman"/>
          <w:szCs w:val="21"/>
        </w:rPr>
        <w:t>【】</w:t>
      </w:r>
      <w:r w:rsidR="00213576" w:rsidRPr="00C613BE">
        <w:rPr>
          <w:rFonts w:ascii="Times New Roman" w:eastAsia="宋体" w:hAnsi="Times New Roman" w:cs="Times New Roman"/>
          <w:szCs w:val="21"/>
        </w:rPr>
        <w:t xml:space="preserve">), </w:t>
      </w:r>
      <m:oMath>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LNG,fix</m:t>
            </m:r>
          </m:sub>
        </m:sSub>
      </m:oMath>
      <w:r w:rsidR="00213576" w:rsidRPr="00C613BE">
        <w:rPr>
          <w:rFonts w:ascii="Times New Roman" w:eastAsia="宋体" w:hAnsi="Times New Roman" w:cs="Times New Roman"/>
          <w:szCs w:val="21"/>
        </w:rPr>
        <w:t xml:space="preserve"> is the Fixed cost per procurement order, </w:t>
      </w:r>
      <m:oMath>
        <m:sSub>
          <m:sSubPr>
            <m:ctrlPr>
              <w:rPr>
                <w:rFonts w:ascii="Cambria Math" w:eastAsia="宋体" w:hAnsi="Cambria Math" w:cs="Times New Roman"/>
                <w:i/>
                <w:szCs w:val="21"/>
              </w:rPr>
            </m:ctrlPr>
          </m:sSubPr>
          <m:e>
            <m:r>
              <w:rPr>
                <w:rFonts w:ascii="Cambria Math" w:eastAsia="宋体" w:hAnsi="Cambria Math" w:cs="Times New Roman"/>
                <w:szCs w:val="21"/>
              </w:rPr>
              <m:t>N</m:t>
            </m:r>
          </m:e>
          <m:sub>
            <m:r>
              <w:rPr>
                <w:rFonts w:ascii="Cambria Math" w:eastAsia="宋体" w:hAnsi="Cambria Math" w:cs="Times New Roman"/>
                <w:szCs w:val="21"/>
              </w:rPr>
              <m:t>LNG</m:t>
            </m:r>
          </m:sub>
        </m:sSub>
      </m:oMath>
      <w:r w:rsidR="00213576" w:rsidRPr="00C613BE">
        <w:rPr>
          <w:rFonts w:ascii="Times New Roman" w:eastAsia="宋体" w:hAnsi="Times New Roman" w:cs="Times New Roman"/>
          <w:szCs w:val="21"/>
        </w:rPr>
        <w:t xml:space="preserve"> is the number of procurement orders; </w:t>
      </w:r>
      <w:r w:rsidR="00F01A35" w:rsidRPr="00C613BE">
        <w:rPr>
          <w:rFonts w:ascii="Times New Roman" w:eastAsia="宋体" w:hAnsi="Times New Roman" w:cs="Times New Roman"/>
          <w:i/>
          <w:iCs/>
          <w:szCs w:val="21"/>
        </w:rPr>
        <w:t>l</w:t>
      </w:r>
      <w:r w:rsidR="00213576" w:rsidRPr="00C613BE">
        <w:rPr>
          <w:rFonts w:ascii="Times New Roman" w:eastAsia="宋体" w:hAnsi="Times New Roman" w:cs="Times New Roman"/>
          <w:i/>
          <w:iCs/>
          <w:szCs w:val="21"/>
        </w:rPr>
        <w:t xml:space="preserve"> </w:t>
      </w:r>
      <w:r w:rsidR="00213576" w:rsidRPr="00C613BE">
        <w:rPr>
          <w:rFonts w:ascii="Times New Roman" w:eastAsia="宋体" w:hAnsi="Times New Roman" w:cs="Times New Roman"/>
          <w:szCs w:val="21"/>
        </w:rPr>
        <w:t xml:space="preserve">is the total number of equipment types, </w:t>
      </w:r>
      <m:oMath>
        <m:sSubSup>
          <m:sSubSupPr>
            <m:ctrlPr>
              <w:rPr>
                <w:rFonts w:ascii="Cambria Math" w:eastAsia="宋体" w:hAnsi="Cambria Math" w:cs="Times New Roman"/>
                <w:i/>
                <w:szCs w:val="21"/>
              </w:rPr>
            </m:ctrlPr>
          </m:sSubSupPr>
          <m:e>
            <m:r>
              <w:rPr>
                <w:rFonts w:ascii="Cambria Math" w:eastAsia="宋体" w:hAnsi="Cambria Math" w:cs="Times New Roman"/>
                <w:szCs w:val="21"/>
              </w:rPr>
              <m:t>c</m:t>
            </m:r>
          </m:e>
          <m:sub>
            <m:r>
              <m:rPr>
                <m:nor/>
              </m:rPr>
              <w:rPr>
                <w:rFonts w:ascii="Times New Roman" w:eastAsia="宋体" w:hAnsi="Times New Roman" w:cs="Times New Roman"/>
                <w:szCs w:val="21"/>
              </w:rPr>
              <m:t>fix</m:t>
            </m:r>
          </m:sub>
          <m:sup>
            <m:r>
              <w:rPr>
                <w:rFonts w:ascii="Cambria Math" w:eastAsia="宋体" w:hAnsi="Cambria Math" w:cs="Times New Roman"/>
                <w:szCs w:val="21"/>
              </w:rPr>
              <m:t>m</m:t>
            </m:r>
          </m:sup>
        </m:sSubSup>
      </m:oMath>
      <w:r w:rsidR="00213576" w:rsidRPr="00C613BE">
        <w:rPr>
          <w:rFonts w:ascii="Times New Roman" w:eastAsia="宋体" w:hAnsi="Times New Roman" w:cs="Times New Roman"/>
          <w:szCs w:val="21"/>
        </w:rPr>
        <w:t xml:space="preserve"> is the fixed O&amp;M cost coefficient for equipment </w:t>
      </w:r>
      <m:oMath>
        <m:r>
          <w:rPr>
            <w:rFonts w:ascii="Cambria Math" w:eastAsia="宋体" w:hAnsi="Cambria Math" w:cs="Times New Roman"/>
            <w:szCs w:val="21"/>
          </w:rPr>
          <m:t>m</m:t>
        </m:r>
      </m:oMath>
      <w:r w:rsidR="00213576" w:rsidRPr="00C613BE">
        <w:rPr>
          <w:rFonts w:ascii="Times New Roman" w:eastAsia="宋体" w:hAnsi="Times New Roman" w:cs="Times New Roman"/>
          <w:szCs w:val="21"/>
        </w:rPr>
        <w:t xml:space="preserve">, </w:t>
      </w:r>
      <m:oMath>
        <m:sSubSup>
          <m:sSubSupPr>
            <m:ctrlPr>
              <w:rPr>
                <w:rFonts w:ascii="Cambria Math" w:eastAsia="宋体" w:hAnsi="Cambria Math" w:cs="Times New Roman"/>
                <w:i/>
                <w:szCs w:val="21"/>
              </w:rPr>
            </m:ctrlPr>
          </m:sSubSupPr>
          <m:e>
            <m:r>
              <w:rPr>
                <w:rFonts w:ascii="Cambria Math" w:eastAsia="宋体" w:hAnsi="Cambria Math" w:cs="Times New Roman"/>
                <w:szCs w:val="21"/>
              </w:rPr>
              <m:t>P</m:t>
            </m:r>
          </m:e>
          <m:sub>
            <m:r>
              <m:rPr>
                <m:nor/>
              </m:rPr>
              <w:rPr>
                <w:rFonts w:ascii="Times New Roman" w:eastAsia="宋体" w:hAnsi="Times New Roman" w:cs="Times New Roman"/>
                <w:szCs w:val="21"/>
              </w:rPr>
              <m:t>fix</m:t>
            </m:r>
          </m:sub>
          <m:sup>
            <m:r>
              <w:rPr>
                <w:rFonts w:ascii="Cambria Math" w:eastAsia="宋体" w:hAnsi="Cambria Math" w:cs="Times New Roman"/>
                <w:szCs w:val="21"/>
              </w:rPr>
              <m:t>m</m:t>
            </m:r>
          </m:sup>
        </m:sSubSup>
      </m:oMath>
      <w:r w:rsidR="00213576" w:rsidRPr="00C613BE">
        <w:rPr>
          <w:rFonts w:ascii="Times New Roman" w:eastAsia="宋体" w:hAnsi="Times New Roman" w:cs="Times New Roman"/>
          <w:szCs w:val="21"/>
        </w:rPr>
        <w:t xml:space="preserve"> is the installed capacity of equipment </w:t>
      </w:r>
      <m:oMath>
        <m:r>
          <w:rPr>
            <w:rFonts w:ascii="Cambria Math" w:eastAsia="宋体" w:hAnsi="Cambria Math" w:cs="Times New Roman"/>
            <w:szCs w:val="21"/>
          </w:rPr>
          <m:t>m</m:t>
        </m:r>
      </m:oMath>
      <w:r w:rsidR="00213576" w:rsidRPr="00C613BE">
        <w:rPr>
          <w:rFonts w:ascii="Times New Roman" w:eastAsia="宋体" w:hAnsi="Times New Roman" w:cs="Times New Roman"/>
          <w:szCs w:val="21"/>
        </w:rPr>
        <w:t xml:space="preserve">; </w:t>
      </w:r>
      <m:oMath>
        <m:r>
          <w:rPr>
            <w:rFonts w:ascii="Cambria Math" w:eastAsia="宋体" w:hAnsi="Cambria Math" w:cs="Times New Roman"/>
            <w:szCs w:val="21"/>
          </w:rPr>
          <m:t xml:space="preserve"> </m:t>
        </m:r>
        <m:sSub>
          <m:sSubPr>
            <m:ctrlPr>
              <w:rPr>
                <w:rFonts w:ascii="Cambria Math" w:eastAsia="宋体" w:hAnsi="Cambria Math" w:cs="Times New Roman"/>
                <w:i/>
                <w:szCs w:val="21"/>
              </w:rPr>
            </m:ctrlPr>
          </m:sSubPr>
          <m:e>
            <m:r>
              <m:rPr>
                <m:sty m:val="p"/>
              </m:rPr>
              <w:rPr>
                <w:rFonts w:ascii="Cambria Math" w:eastAsia="宋体" w:hAnsi="Cambria Math" w:cs="Times New Roman"/>
                <w:szCs w:val="21"/>
              </w:rPr>
              <m:t>λ</m:t>
            </m:r>
          </m:e>
          <m:sub>
            <m:r>
              <m:rPr>
                <m:sty m:val="p"/>
              </m:rPr>
              <w:rPr>
                <w:rFonts w:ascii="Cambria Math" w:eastAsia="宋体" w:hAnsi="Cambria Math" w:cs="Times New Roman"/>
                <w:szCs w:val="21"/>
              </w:rPr>
              <m:t>Renew</m:t>
            </m:r>
          </m:sub>
        </m:sSub>
      </m:oMath>
      <w:r w:rsidR="009F0C4F" w:rsidRPr="00C613BE">
        <w:rPr>
          <w:rFonts w:ascii="Times New Roman" w:eastAsia="宋体" w:hAnsi="Times New Roman" w:cs="Times New Roman"/>
          <w:szCs w:val="21"/>
        </w:rPr>
        <w:t xml:space="preserve"> is the Penalty coefficient for renewable curtailment, </w:t>
      </w:r>
      <m:oMath>
        <m:sSub>
          <m:sSubPr>
            <m:ctrlPr>
              <w:rPr>
                <w:rFonts w:ascii="Cambria Math" w:eastAsia="宋体" w:hAnsi="Cambria Math" w:cs="Times New Roman"/>
                <w:i/>
                <w:szCs w:val="21"/>
              </w:rPr>
            </m:ctrlPr>
          </m:sSubPr>
          <m:e>
            <m:r>
              <w:rPr>
                <w:rFonts w:ascii="Cambria Math" w:eastAsia="宋体" w:hAnsi="Cambria Math" w:cs="Times New Roman"/>
                <w:szCs w:val="21"/>
              </w:rPr>
              <m:t>P</m:t>
            </m:r>
          </m:e>
          <m:sub>
            <m:r>
              <m:rPr>
                <m:sty m:val="p"/>
              </m:rPr>
              <w:rPr>
                <w:rFonts w:ascii="Cambria Math" w:eastAsia="宋体" w:hAnsi="Cambria Math" w:cs="Times New Roman"/>
                <w:szCs w:val="21"/>
              </w:rPr>
              <m:t>Renew</m:t>
            </m:r>
            <m:r>
              <m:rPr>
                <m:nor/>
              </m:rPr>
              <w:rPr>
                <w:rFonts w:ascii="Times New Roman" w:eastAsia="宋体" w:hAnsi="Times New Roman" w:cs="Times New Roman"/>
                <w:szCs w:val="21"/>
              </w:rPr>
              <m:t>,dis</m:t>
            </m:r>
          </m:sub>
        </m:sSub>
      </m:oMath>
      <w:r w:rsidR="009F0C4F" w:rsidRPr="00C613BE">
        <w:rPr>
          <w:rFonts w:ascii="Times New Roman" w:eastAsia="宋体" w:hAnsi="Times New Roman" w:cs="Times New Roman"/>
          <w:szCs w:val="21"/>
        </w:rPr>
        <w:t xml:space="preserve"> is the curtailed renewable power; </w:t>
      </w:r>
      <m:oMath>
        <m:sSub>
          <m:sSubPr>
            <m:ctrlPr>
              <w:rPr>
                <w:rFonts w:ascii="Cambria Math" w:eastAsia="宋体" w:hAnsi="Cambria Math" w:cs="Times New Roman"/>
                <w:i/>
                <w:szCs w:val="21"/>
              </w:rPr>
            </m:ctrlPr>
          </m:sSubPr>
          <m:e>
            <m:r>
              <w:rPr>
                <w:rFonts w:ascii="Cambria Math" w:eastAsia="宋体" w:hAnsi="Cambria Math" w:cs="Times New Roman"/>
                <w:szCs w:val="21"/>
              </w:rPr>
              <m:t>α</m:t>
            </m:r>
          </m:e>
          <m:sub>
            <m:r>
              <m:rPr>
                <m:nor/>
              </m:rPr>
              <w:rPr>
                <w:rFonts w:ascii="Times New Roman" w:eastAsia="宋体" w:hAnsi="Times New Roman" w:cs="Times New Roman"/>
                <w:szCs w:val="21"/>
              </w:rPr>
              <m:t>load</m:t>
            </m:r>
          </m:sub>
        </m:sSub>
      </m:oMath>
      <w:r w:rsidR="009F0C4F" w:rsidRPr="00C613BE">
        <w:rPr>
          <w:rFonts w:ascii="Times New Roman" w:eastAsia="宋体" w:hAnsi="Times New Roman" w:cs="Times New Roman"/>
          <w:szCs w:val="21"/>
        </w:rPr>
        <w:t xml:space="preserve"> is the penalty coefficient for load curtailment, </w:t>
      </w:r>
      <m:oMath>
        <m:sSub>
          <m:sSubPr>
            <m:ctrlPr>
              <w:rPr>
                <w:rFonts w:ascii="Cambria Math" w:eastAsia="宋体" w:hAnsi="Cambria Math" w:cs="Times New Roman"/>
                <w:i/>
                <w:szCs w:val="21"/>
              </w:rPr>
            </m:ctrlPr>
          </m:sSubPr>
          <m:e>
            <m:r>
              <w:rPr>
                <w:rFonts w:ascii="Cambria Math" w:eastAsia="宋体" w:hAnsi="Cambria Math" w:cs="Times New Roman"/>
                <w:szCs w:val="21"/>
              </w:rPr>
              <m:t>P</m:t>
            </m:r>
          </m:e>
          <m:sub>
            <m:r>
              <m:rPr>
                <m:nor/>
              </m:rPr>
              <w:rPr>
                <w:rFonts w:ascii="Times New Roman" w:eastAsia="宋体" w:hAnsi="Times New Roman" w:cs="Times New Roman"/>
                <w:szCs w:val="21"/>
              </w:rPr>
              <m:t>load</m:t>
            </m:r>
          </m:sub>
        </m:sSub>
      </m:oMath>
      <w:r w:rsidR="009F0C4F" w:rsidRPr="00C613BE">
        <w:rPr>
          <w:rFonts w:ascii="Times New Roman" w:eastAsia="宋体" w:hAnsi="Times New Roman" w:cs="Times New Roman"/>
          <w:szCs w:val="21"/>
        </w:rPr>
        <w:t xml:space="preserve"> is the curtailed load amount.</w:t>
      </w:r>
    </w:p>
    <w:p w14:paraId="1BD4B243" w14:textId="77777777" w:rsidR="00525432" w:rsidRPr="00C613BE" w:rsidRDefault="00525432"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To evaluate system reliability under climate change, renewable equipment failure dynamics are incorporated. Component failure probabilities are determined by combining climate model wind data with vulnerability curves. Monte Carlo simulation generates component failure states. For computational tractability, failure states are clustered using the elbow method to identify representative states for optimization. This captures climate-induced failures and system impacts.</w:t>
      </w:r>
    </w:p>
    <w:p w14:paraId="7C37BA7A" w14:textId="3F7243F3" w:rsidR="00401998" w:rsidRPr="00C613BE" w:rsidRDefault="00525432"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Vulnerability curves </w:t>
      </w:r>
      <w:r w:rsidR="0081486D"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{"citationID":"UC3kzldX","properties":{"formattedCitation":"\\super 7,26\\uc0\\u8211{}33\\nosupersub{}","plainCitation":"7,26–33","noteIndex":0},"citationItems":[{"id":346,"uris":["http://zotero.org/users/16842078/items/FCSNYNI9"],"itemData":{"id":346,"type":"article-journal","abstract":"Energy system optimization models often incorporate climate change impacts to examine different energy futures and draw insights that inform policy. However, increased risk of extreme weather events from climate change has proven more difficult to model. Here, we present an energy system optimization model that incorporates hurricane risks by combining storm probabilities with infrastructure fragility curves, and demonstrate its utility in the context of Puerto Rico, an island territory of the United States that had its energy system severely damaged by Hurricane Maria in 2017. The model assesses the potential to change grid architecture, fuel mix and grid hardening measures considering hurricane impacts as well as climate mitigation policies. When hurricane trends are included, 2040 electricity cost projections increase by 32% based on historical hurricane frequencies and by 82% for increased hurricane frequencies. Transitioning to renewables and natural gas reduces costs and emissions independent of climate mitigation policies.","container-title":"Nature Energy","DOI":"10.1038/s41560-020-00758-6","ISSN":"2058-7546","issue":"3","journalAbbreviation":"Nat Energy","language":"en","license":"2021 The Author(s), under exclusive licence to Springer Nature Limited","note":"publisher: Nature Publishing Group","page":"240-249","source":"www.nature.com","title":"Extending energy system modelling to include extreme weather risks and application to hurricane events in Puerto Rico","volume":"6","author":[{"family":"Bennett","given":"Jeffrey A."},{"family":"Trevisan","given":"Claire N."},{"family":"DeCarolis","given":"Joseph F."},{"family":"Ortiz-García","given":"Cecilio"},{"family":"Pérez-Lugo","given":"Marla"},{"family":"Etienne","given":"Bevin T."},{"family":"Clarens","given":"Andres F."}],"issued":{"date-parts":[["2021",3]]}},"label":"page"},{"id":383,"uris":["http://zotero.org/users/16842078/items/CTNWKM4D"],"itemData":{"id":383,"type":"article-journal","abstract":"To more effectively extract the vast wind energy in marine areas, offshore wind turbines have been constructed with slender tower and large rotor. External vibration sources such as aerodynamic, sea wave and seismic loadings can threaten the safety of these energy infrastructures. It is important to evaluate the reliability of offshore wind turbines subjected to external vibration sources. Previous research works on the wind turbine fragility analyses only considered the fragility of the tower by assuming the wind turbine was in the parked condition with the blade mass lumped at the top of the tower. The study of the fragility of the blade which is one of the most important components of a wind turbine has not been reported. In the present study, a detailed three-dimensional (3D) ﬁnite element (FE) model of the NREL 5 MW wind turbine is developed in ABAQUS, and the tower and blades are explicitly modelled to realistically estimate the aerodynamic loads and structural behaviours of the wind turbine. The uncertainties of the structural mass, stiffness and damping are taken into account to develop the probabilistic wind-induced demand models for the tower and blades. The dynamic behaviours of the wind turbine subjected to the simultaneous aerodynamic and sea wave loadings are investigated in a probabilistic frame and the fragility curves for both the tower and blades under the parked and operating conditions are derived and discussed.","container-title":"Renewable Energy","DOI":"10.1016/j.renene.2020.07.066","ISSN":"09601481","journalAbbreviation":"Renewable Energy","language":"en","page":"1269-1282","source":"DOI.org (Crossref)","title":"Fragility analyses of offshore wind turbines subjected to aerodynamic and sea wave loadings","volume":"160","author":[{"family":"Zuo","given":"Haoran"},{"family":"Bi","given":"Kaiming"},{"family":"Hao","given":"Hong"},{"family":"Xin","given":"Yu"},{"family":"Li","given":"Jun"},{"family":"Li","given":"Chao"}],"issued":{"date-parts":[["2020",11]]}}},{"id":385,"uris":["http://zotero.org/users/16842078/items/ZY5C6QBK"],"itemData":{"id":385,"type":"article-journal","abstract":"Wind technology is an effective solution for the carbon neutral over the world. Offshore wind turbines (OWTs) have therefore seen unprecedented development over the decades. Fragility and vulnerability of OWTs are vital in structural performance evaluation and risk assessment of infrastructural systems under natural hazards. Previous research mainly focused on the fragility of OWTs with monopile substructure in the normal operating or parked conditions. In the present study, a realistic situation with respect to the emergency shutdown mode is considered for the OWTs with monopile, tripod, and jacket substructures. A procedure to establish fragility and vulnerability models is developed. Numerical models using a combination of FE software are implemented and validated for dynamic analyses and pushover analyses. Then, the fragility and vulnerability models of the main structural subsystems including rotor, nacelle, tower, and substructure are separately established according to the developed procedure, so as to the fragility and vulnerability models of the whole wind turbine. Besides, impact of operational condition and characteristics of substructure on fragility and vulnerability is comprehensively compared and discussed.","container-title":"Engineering Structures","DOI":"10.1016/j.engstruct.2023.116625","ISSN":"01410296","journalAbbreviation":"Engineering Structures","language":"en","page":"116625","source":"DOI.org (Crossref)","title":"Fragility and vulnerability development of offshore wind turbines under aero-hydro loadings","volume":"293","author":[{"family":"Cheng","given":"Yusong"},{"family":"Luo","given":"Yuxiao"},{"family":"Wang","given":"Jianze"},{"family":"Dai","given":"Kaoshan"},{"family":"Wang","given":"Wenze"},{"family":"El Damatty","given":"Ashraf"}],"issued":{"date-parts":[["2023",10]]}}},{"id":391,"uris":["http://zotero.org/users/16842078/items/IA82S8GM"],"itemData":{"id":391,"type":"article-journal","abstract":"This paper develops models for hurricane exposure, fragility curve-based damage to electrical transmission grid components and power generating stations using Monte-Carlo simulation, and restoration cost to predict resiliency factors including power generation capacity lost and the restoration cost for electrical transmission grid and power generation system damages. Synthetic grid data are used to model the Energy Reliability Council of Texas (ERCOT) electrical grid. A case study is developed based on Hurricane Harvey. This work is extended to evaluate the changes to resiliency as the percentage of renewable sources is increased from 2017 levels to levels corresponding to the NREL Futures Study 2050 Texas scenarios for 50% and 80% renewable energy.","container-title":"IEEE Transactions on Power Systems","DOI":"10.1109/TPWRS.2019.2942279","ISSN":"0885-8950, 1558-0679","issue":"2","journalAbbreviation":"IEEE Trans. Power Syst.","language":"en","license":"https://ieeexplore.ieee.org/Xplorehelp/downloads/license-information/IEEE.html","page":"929-937","source":"DOI.org (Crossref)","title":"Modeling Electrical Grid Resilience Under Hurricane Wind Conditions With Increased Solar and Wind Power Generation","volume":"35","author":[{"family":"Watson","given":"Eileen B."},{"family":"Etemadi","given":"Amir Hossein"}],"issued":{"date-parts":[["2020",3]]}}},{"id":387,"uris":["http://zotero.org/users/16842078/items/2GDNQLKE"],"itemData":{"id":387,"type":"article-journal","abstract":"The scenario of growing demand for construction of wind turbine structures in Mexico poses the need of analyzing the hazards that aﬀect this kind of structures in that country. Current Mexican standards include wind turbine support structures in their earthquake design chapter, but no information is included regarding the wind design. This work focuses on the analysis of an onshore 5 MW wind turbine structure, similar to those currently installed in Mexico, under the simultaneous action of wind and earthquake for diﬀerent intensities. The analyses performed consider the rotor in both: parked and in operation conditions. Wind speed records are obtained from simulations based on an Auto Regressive and Moving Average model and the Veers’ method, while the ground motion records are simulated to be consistent with design spectra for a zone in the Southwest of Mexico, near the coast of the Paciﬁc Ocean, which happens to be the region with the greatest installed wind capacity in Mexico and also a region of strong seismic hazard. The numerical results obtained are employed in a multi-hazard fragility analysis, which shows that the critical action for the structure depends on the operational state of the turbine.","container-title":"Engineering Structures","DOI":"10.1016/j.engstruct.2019.109929","ISSN":"01410296","journalAbbreviation":"Engineering Structures","language":"en","page":"109929","source":"DOI.org (Crossref)","title":"Multi-hazard fragility analysis for a wind turbine support structure: An application to the Southwest of Mexico","title-short":"Multi-hazard fragility analysis for a wind turbine support structure","volume":"209","author":[{"family":"Martín Del Campo","given":"J.O."},{"family":"Pozos-Estrada","given":"A."}],"issued":{"date-parts":[["2020",4]]}}},{"id":379,"uris":["http://zotero.org/users/16842078/items/7E6QGTC7"],"itemData":{"id":379,"type":"article-journal","abstract":"This paper deals with a surrogate modeling-based fragility estimate of monopile offshore wind turbine (OWT) towers subjected to wind and wave loadings. The monopile 5-MW OWT specified by the National Renewable Energy Laboratory (NREL), United States was used as the base model for this study. Aero- and hydrodynamic simulations of the OWT were first performed via Fatigue, Aerodynamics, Structures, and Turbulence (FAST) developed by the NREL to determine its critical wave-and-wind responses, to determine peak tower top deflections, flexural moments, and shear forces. Through least squares regression with the simulation data, two surrogate models, Response Surface Metamodel (RSM) and Stepwise Multiple Linear Regression (SMLR) were developed to predict the critical OWT responses caused by both wind and wave loads and to develop its fragility curves at a low computational cost. Responses and fragility curves resulting from each of the surrogate models were compared to those from the FAST simulation, demonstrating the effectiveness of the RSM in terms of accuracy to replicate the FAST results. As a result of the comparison, the RSM was adopted as the final model to estimate the multi-wind-and-wave vulnerability of the OWT in terms of fragility surfaces considering uncertainties in a broad spectrum of its loads and capacities. Major findings indicated that the wind speed was observed to be the most critical load parameter for peak tower top deflections with response observed in the range of 2.2 5 m at a wind speed of 5 m/s to 5.5 m at 70 m/s, while the wave height appeared to be the major contributor to the vulnerability on flexural moments with the observed peak value of 1.75 × 108 Nm at a wave height of 1 m increased to 5.75 × 108 Nm at 20 m. It was also found that structural characteristics parameters related to the OWT’s capacities, including hub height, rotor diameter, and monopile thickness have a significant impact on the overall vulnerability with one-quarter exceeding probability for mudline flexure was noted at 83.26 m, 151 m, and 0.133 m, respectively.","container-title":"Renewable and Sustainable Energy Reviews","DOI":"10.1016/j.rser.2022.112552","ISSN":"13640321","journalAbbreviation":"Renewable and Sustainable Energy Reviews","language":"en","page":"112552","source":"DOI.org (Crossref)","title":"Multi-Hazard Fragility Analysis of Offshore Wind Turbine Portfolios using Surrogate Models","volume":"165","author":[{"family":"Seo","given":"Junwon"},{"family":"Pokhrel","given":"Jharna"},{"family":"Hu","given":"Jong Wan"}],"issued":{"date-parts":[["2022",9]]}}},{"id":389,"uris":["http://zotero.org/users/16842078/item</w:instrText>
      </w:r>
      <w:r w:rsidR="000A7AE0">
        <w:rPr>
          <w:rFonts w:ascii="Times New Roman" w:eastAsia="宋体" w:hAnsi="Times New Roman" w:cs="Times New Roman" w:hint="eastAsia"/>
          <w:szCs w:val="21"/>
        </w:rPr>
        <w:instrText>s/NARH8M56"],"itemData":{"id":389,"type":"article-journal","abstract":"A probabilistic risk assessment to estimate the economic impact on wind turbine towers subjected to cyclone</w:instrText>
      </w:r>
      <w:r w:rsidR="000A7AE0">
        <w:rPr>
          <w:rFonts w:ascii="Times New Roman" w:eastAsia="宋体" w:hAnsi="Times New Roman" w:cs="Times New Roman" w:hint="eastAsia"/>
          <w:szCs w:val="21"/>
        </w:rPr>
        <w:instrText>‐</w:instrText>
      </w:r>
      <w:r w:rsidR="000A7AE0">
        <w:rPr>
          <w:rFonts w:ascii="Times New Roman" w:eastAsia="宋体" w:hAnsi="Times New Roman" w:cs="Times New Roman" w:hint="eastAsia"/>
          <w:szCs w:val="21"/>
        </w:rPr>
        <w:instrText>induced wind loads is applied. An event</w:instrText>
      </w:r>
      <w:r w:rsidR="000A7AE0">
        <w:rPr>
          <w:rFonts w:ascii="Times New Roman" w:eastAsia="宋体" w:hAnsi="Times New Roman" w:cs="Times New Roman" w:hint="eastAsia"/>
          <w:szCs w:val="21"/>
        </w:rPr>
        <w:instrText>‐</w:instrText>
      </w:r>
      <w:r w:rsidR="000A7AE0">
        <w:rPr>
          <w:rFonts w:ascii="Times New Roman" w:eastAsia="宋体" w:hAnsi="Times New Roman" w:cs="Times New Roman" w:hint="eastAsia"/>
          <w:szCs w:val="21"/>
        </w:rPr>
        <w:instrText>based probabilistic framework is use</w:instrText>
      </w:r>
      <w:r w:rsidR="000A7AE0">
        <w:rPr>
          <w:rFonts w:ascii="Times New Roman" w:eastAsia="宋体" w:hAnsi="Times New Roman" w:cs="Times New Roman"/>
          <w:szCs w:val="21"/>
        </w:rPr>
        <w:instrText>d to assess the risk parameters for selected hazard events. The results are integrated considering all uncertainties related to each part of the process in a probabilistic formal way. The hazard is defined by a set of nonoverlapping stochastic events that exhaust the considered sample space, including the spatial distribution, the annual frequency, and the randomness of the hazard intensity. The vulnerability is defined in terms of the first and second statistical moments: the expected damage and its corresponding variance (or standard deviation) for a certain type of wind turbine towers. The vulnerability component of the model is an important contribution of the study; it uses a realistic modeling of the wind field, and instead of one (as in other studi</w:instrText>
      </w:r>
      <w:r w:rsidR="000A7AE0">
        <w:rPr>
          <w:rFonts w:ascii="Times New Roman" w:eastAsia="宋体" w:hAnsi="Times New Roman" w:cs="Times New Roman" w:hint="eastAsia"/>
          <w:szCs w:val="21"/>
        </w:rPr>
        <w:instrText>es), three failure modes are considered to characterize the vulnerability. The risk is expressed in economic terms, namely, the single</w:instrText>
      </w:r>
      <w:r w:rsidR="000A7AE0">
        <w:rPr>
          <w:rFonts w:ascii="Times New Roman" w:eastAsia="宋体" w:hAnsi="Times New Roman" w:cs="Times New Roman" w:hint="eastAsia"/>
          <w:szCs w:val="21"/>
        </w:rPr>
        <w:instrText>‐</w:instrText>
      </w:r>
      <w:r w:rsidR="000A7AE0">
        <w:rPr>
          <w:rFonts w:ascii="Times New Roman" w:eastAsia="宋体" w:hAnsi="Times New Roman" w:cs="Times New Roman" w:hint="eastAsia"/>
          <w:szCs w:val="21"/>
        </w:rPr>
        <w:instrText>event expected loss, the average annual loss, the pure premium, and the loss exceedance curve. The approach is applied t</w:instrText>
      </w:r>
      <w:r w:rsidR="000A7AE0">
        <w:rPr>
          <w:rFonts w:ascii="Times New Roman" w:eastAsia="宋体" w:hAnsi="Times New Roman" w:cs="Times New Roman"/>
          <w:szCs w:val="21"/>
        </w:rPr>
        <w:instrText>o a probabilistic tropical cyclone wind risk assessment on 3001 wind turbine towers from 65 wind farms in Mexico. It is concluded that the selected metrics are of especial importance for risk retention (financing), particularly if schemes or risk transfer instruments are to be defined, and therefore, they will be a very valuable contribution to further studies in defining strategies for financial protection of national infrastructure against wind disasters induced by cyclones.","container-title":"Wind Ene</w:instrText>
      </w:r>
      <w:r w:rsidR="000A7AE0">
        <w:rPr>
          <w:rFonts w:ascii="Times New Roman" w:eastAsia="宋体" w:hAnsi="Times New Roman" w:cs="Times New Roman" w:hint="eastAsia"/>
          <w:szCs w:val="21"/>
        </w:rPr>
        <w:instrText>rgy","DOI":"10.1002/we.2436","ISSN":"1095-4244, 1099-1824","issue":"3","journalAbbreviation":"Wind Energy","language":"en","page":"528-546","source":"DOI.org (Crossref)","title":"Probabilistic risk assessment on wind turbine towers subjected to cyclone</w:instrText>
      </w:r>
      <w:r w:rsidR="000A7AE0">
        <w:rPr>
          <w:rFonts w:ascii="Times New Roman" w:eastAsia="宋体" w:hAnsi="Times New Roman" w:cs="Times New Roman" w:hint="eastAsia"/>
          <w:szCs w:val="21"/>
        </w:rPr>
        <w:instrText>‐</w:instrText>
      </w:r>
      <w:r w:rsidR="000A7AE0">
        <w:rPr>
          <w:rFonts w:ascii="Times New Roman" w:eastAsia="宋体" w:hAnsi="Times New Roman" w:cs="Times New Roman" w:hint="eastAsia"/>
          <w:szCs w:val="21"/>
        </w:rPr>
        <w:instrText>induced wind loads","volume":"23","author":[{"family":"Jaimes","given":"Miguel A."},{"family":"Garc</w:instrText>
      </w:r>
      <w:r w:rsidR="000A7AE0">
        <w:rPr>
          <w:rFonts w:ascii="Times New Roman" w:eastAsia="宋体" w:hAnsi="Times New Roman" w:cs="Times New Roman" w:hint="eastAsia"/>
          <w:szCs w:val="21"/>
        </w:rPr>
        <w:instrText>í</w:instrText>
      </w:r>
      <w:r w:rsidR="000A7AE0">
        <w:rPr>
          <w:rFonts w:ascii="Times New Roman" w:eastAsia="宋体" w:hAnsi="Times New Roman" w:cs="Times New Roman" w:hint="eastAsia"/>
          <w:szCs w:val="21"/>
        </w:rPr>
        <w:instrText>a</w:instrText>
      </w:r>
      <w:r w:rsidR="000A7AE0">
        <w:rPr>
          <w:rFonts w:ascii="Times New Roman" w:eastAsia="宋体" w:hAnsi="Times New Roman" w:cs="Times New Roman" w:hint="eastAsia"/>
          <w:szCs w:val="21"/>
        </w:rPr>
        <w:instrText>‐</w:instrText>
      </w:r>
      <w:r w:rsidR="000A7AE0">
        <w:rPr>
          <w:rFonts w:ascii="Times New Roman" w:eastAsia="宋体" w:hAnsi="Times New Roman" w:cs="Times New Roman" w:hint="eastAsia"/>
          <w:szCs w:val="21"/>
        </w:rPr>
        <w:instrText>Soto","given":"A. David"},{"family":"Mart</w:instrText>
      </w:r>
      <w:r w:rsidR="000A7AE0">
        <w:rPr>
          <w:rFonts w:ascii="Times New Roman" w:eastAsia="宋体" w:hAnsi="Times New Roman" w:cs="Times New Roman" w:hint="eastAsia"/>
          <w:szCs w:val="21"/>
        </w:rPr>
        <w:instrText>í</w:instrText>
      </w:r>
      <w:r w:rsidR="000A7AE0">
        <w:rPr>
          <w:rFonts w:ascii="Times New Roman" w:eastAsia="宋体" w:hAnsi="Times New Roman" w:cs="Times New Roman" w:hint="eastAsia"/>
          <w:szCs w:val="21"/>
        </w:rPr>
        <w:instrText>n Del Campo","given":"J. Osvaldo"},{"family":"Pozos</w:instrText>
      </w:r>
      <w:r w:rsidR="000A7AE0">
        <w:rPr>
          <w:rFonts w:ascii="Times New Roman" w:eastAsia="宋体" w:hAnsi="Times New Roman" w:cs="Times New Roman" w:hint="eastAsia"/>
          <w:szCs w:val="21"/>
        </w:rPr>
        <w:instrText>‐</w:instrText>
      </w:r>
      <w:r w:rsidR="000A7AE0">
        <w:rPr>
          <w:rFonts w:ascii="Times New Roman" w:eastAsia="宋体" w:hAnsi="Times New Roman" w:cs="Times New Roman" w:hint="eastAsia"/>
          <w:szCs w:val="21"/>
        </w:rPr>
        <w:instrText>Estrada","given":"Adri</w:instrText>
      </w:r>
      <w:r w:rsidR="000A7AE0">
        <w:rPr>
          <w:rFonts w:ascii="Times New Roman" w:eastAsia="宋体" w:hAnsi="Times New Roman" w:cs="Times New Roman" w:hint="eastAsia"/>
          <w:szCs w:val="21"/>
        </w:rPr>
        <w:instrText>á</w:instrText>
      </w:r>
      <w:r w:rsidR="000A7AE0">
        <w:rPr>
          <w:rFonts w:ascii="Times New Roman" w:eastAsia="宋体" w:hAnsi="Times New Roman" w:cs="Times New Roman" w:hint="eastAsia"/>
          <w:szCs w:val="21"/>
        </w:rPr>
        <w:instrText>n"}],"issued":{"date-parts":[["2020",3</w:instrText>
      </w:r>
      <w:r w:rsidR="000A7AE0">
        <w:rPr>
          <w:rFonts w:ascii="Times New Roman" w:eastAsia="宋体" w:hAnsi="Times New Roman" w:cs="Times New Roman"/>
          <w:szCs w:val="21"/>
        </w:rPr>
        <w:instrText xml:space="preserve">]]}}},{"id":393,"uris":["http://zotero.org/users/16842078/items/WSL2YFZE"],"itemData":{"id":393,"type":"article-journal","abstract":"Emerging offshore renewable energy technologies are expected to become an important part of the future energy system, and reliability for these new technologies in different metocean scenarios must be guaranteed. This poses a challenge in extreme weather scenarios like storms, in particular for less mature technologies such as wave energy. Not only the offshore survivability must be controlled; the restoration after disruptive events and failures should be addressed and optimized. Offshore operations are costly and cannot be carried out if the weather is too harsh, and the resulting downtime after failures may be financially devastating for projects. In this paper, the resilience of large wave energy systems is studied with respect to wave conditions, metocean dependent failure rates, and weather windows available for offshore repair operations. A metoceanand time-dependent failure rate is derived based on a Weibull distribution, which is a novelty of the paper. The performance of the farm is assessed using the varying failure rates and metocean data at different offshore sites. Critical metocean thresholds for different offshore vessels are considered, and the resilience is quantified using relevant measures such as unavailability and expected energy not supplied. The resilience analysis is coupled to an economic assessment of the wave farm and different repair strategies. Our results show that the commonly used assumption of constant failure rates is seen to overestimate the annual energy production than when a more realistic varying failure rate is used. Two offshore sites are compared, and the availability is found to be higher at the calmer site. Most of the evaluated repair strategies cannot be considered to be economically justified, when compared to the cost of the energy not supplied.","container-title":"Ocean Engineering","DOI":"10.1016/j.oceaneng.2023.114678","ISSN":"00298018","journalAbbreviation":"Ocean Engineering","language":"en","page":"114678","source":"DOI.org (Crossref)","title":"Resilience of wave energy farms using metocean dependent failure rates and repair operations","volume":"280","author":[{"family":"Göteman","given":"Malin"},{"family":"Shahroozi","given":"Zahra"},{"family":"Stavropoulou","given":"Charitini"},{"family":"Katsidoniotaki","given":"Eirini"},{"family":"Engström","given":"Jens"}],"issued":{"date-parts":[["2023",7]]}}},{"id":381,"uris":["http://zotero.org/users/16842078/items/9MJHSR6E"],"itemData":{"id":381,"type":"article-journal","abstract":"This paper aims to develop statistical regression-based models to estimate responses of monopile foundation 5 MW Offshore Wind Turbines (OWTs) subjected to multi-wind-and-wave loads and to assess its fragilities. Establishing the regression models began with the use of the Latin Hypercube Sampling (LHS) method incorporating 5 MW OWT input parameters related to structural and loading conditions along with material properties. With the LHS-based input parameters, 120 OWT computational models were created through Fatigue, Aerodynamic, Structures, and Turbulence (FAST) tools developed by the National Renewable Energy Laboratory (NREL). Critical responses, such as tower-top deﬂection, corresponding to each of the models were determined by performing its FAST aero-hydro dynamic simulations. The regression models involved a series of developed explanatory functions based on a matrix of the FAST responses and LHS parameters under a Stepwise Multiple Linear Regression (SMLR) approach. Multi-wind-and-wave fragilities were estimated for each of the critical responses of the 120 OWT models. Key ﬁndings showed that the wind-sensitive blade tip deﬂection resulted in the fragility of 99% at a critical wind speed of 75 m/s and a wave height of 20m, while the mudline ﬂexural moment resulting from the same wind speed and wave height caused the fragility up to 98%.","container-title":"Renewable Energy","DOI":"10.1016/j.renene.2020.10.015","ISSN":"09601481","journalAbbreviation":"Renewable Energy","language":"en","page":"1495-1507","source":"DOI.org (Crossref)","title":"Statistical model for fragility estimates of offshore wind turbines subjected to aero-hydro dynamic loads","volume":"163","author":[{"family":"Pokhrel","given":"Jharna"},{"family":"Seo","given":"Junwon"}],"issued":{"date-parts":[["2021",1]]}},"label":"page"}],"schema":"https://github.com/citation-style-language/schema/raw/master/csl-citation.json"} </w:instrText>
      </w:r>
      <w:r w:rsidR="0081486D"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7,26–33</w:t>
      </w:r>
      <w:r w:rsidR="0081486D" w:rsidRPr="00C613BE">
        <w:rPr>
          <w:rFonts w:ascii="Times New Roman" w:eastAsia="宋体" w:hAnsi="Times New Roman" w:cs="Times New Roman"/>
          <w:szCs w:val="21"/>
        </w:rPr>
        <w:fldChar w:fldCharType="end"/>
      </w:r>
      <w:r w:rsidR="0081486D" w:rsidRPr="00C613BE">
        <w:rPr>
          <w:rFonts w:ascii="Times New Roman" w:eastAsia="宋体" w:hAnsi="Times New Roman" w:cs="Times New Roman"/>
          <w:szCs w:val="21"/>
        </w:rPr>
        <w:t xml:space="preserve"> </w:t>
      </w:r>
      <w:r w:rsidRPr="00C613BE">
        <w:rPr>
          <w:rFonts w:ascii="Times New Roman" w:eastAsia="宋体" w:hAnsi="Times New Roman" w:cs="Times New Roman"/>
          <w:szCs w:val="21"/>
        </w:rPr>
        <w:t>define failure probability (</w:t>
      </w:r>
      <m:oMath>
        <m:sSub>
          <m:sSubPr>
            <m:ctrlPr>
              <w:rPr>
                <w:rFonts w:ascii="Cambria Math" w:eastAsia="宋体" w:hAnsi="Cambria Math" w:cs="Times New Roman"/>
                <w:szCs w:val="21"/>
              </w:rPr>
            </m:ctrlPr>
          </m:sSubPr>
          <m:e>
            <m:r>
              <w:rPr>
                <w:rFonts w:ascii="Cambria Math" w:eastAsia="宋体" w:hAnsi="Cambria Math" w:cs="Times New Roman"/>
                <w:szCs w:val="21"/>
              </w:rPr>
              <m:t>P</m:t>
            </m:r>
          </m:e>
          <m:sub>
            <m:r>
              <w:rPr>
                <w:rFonts w:ascii="Cambria Math" w:eastAsia="宋体" w:hAnsi="Cambria Math" w:cs="Times New Roman"/>
                <w:szCs w:val="21"/>
              </w:rPr>
              <m:t>fail</m:t>
            </m:r>
            <m:r>
              <m:rPr>
                <m:sty m:val="p"/>
              </m:rPr>
              <w:rPr>
                <w:rFonts w:ascii="Cambria Math" w:eastAsia="宋体" w:hAnsi="Cambria Math" w:cs="Times New Roman"/>
                <w:szCs w:val="21"/>
              </w:rPr>
              <m:t>,</m:t>
            </m:r>
            <m:r>
              <w:rPr>
                <w:rFonts w:ascii="Cambria Math" w:eastAsia="宋体" w:hAnsi="Cambria Math" w:cs="Times New Roman"/>
                <w:szCs w:val="21"/>
              </w:rPr>
              <m:t>i</m:t>
            </m:r>
          </m:sub>
        </m:sSub>
      </m:oMath>
      <w:r w:rsidRPr="00C613BE">
        <w:rPr>
          <w:rFonts w:ascii="Times New Roman" w:eastAsia="宋体" w:hAnsi="Times New Roman" w:cs="Times New Roman"/>
          <w:szCs w:val="21"/>
        </w:rPr>
        <w:t>) as functions of wind speed (</w:t>
      </w:r>
      <m:oMath>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oMath>
      <w:r w:rsidRPr="00C613BE">
        <w:rPr>
          <w:rFonts w:ascii="Times New Roman" w:eastAsia="宋体" w:hAnsi="Times New Roman" w:cs="Times New Roman"/>
          <w:szCs w:val="21"/>
        </w:rPr>
        <w:t>) or wave height (</w:t>
      </w:r>
      <m:oMath>
        <m:sSub>
          <m:sSubPr>
            <m:ctrlPr>
              <w:rPr>
                <w:rFonts w:ascii="Cambria Math" w:eastAsia="宋体" w:hAnsi="Cambria Math" w:cs="Times New Roman"/>
                <w:szCs w:val="21"/>
              </w:rPr>
            </m:ctrlPr>
          </m:sSubPr>
          <m:e>
            <m:r>
              <w:rPr>
                <w:rFonts w:ascii="Cambria Math" w:eastAsia="宋体" w:hAnsi="Cambria Math" w:cs="Times New Roman"/>
                <w:szCs w:val="21"/>
              </w:rPr>
              <m:t>H</m:t>
            </m:r>
          </m:e>
          <m:sub>
            <m:r>
              <w:rPr>
                <w:rFonts w:ascii="Cambria Math" w:eastAsia="宋体" w:hAnsi="Cambria Math" w:cs="Times New Roman"/>
                <w:szCs w:val="21"/>
              </w:rPr>
              <m:t>t</m:t>
            </m:r>
          </m:sub>
        </m:sSub>
      </m:oMath>
      <w:r w:rsidRPr="00C613BE">
        <w:rPr>
          <w:rFonts w:ascii="Times New Roman" w:eastAsia="宋体" w:hAnsi="Times New Roman" w:cs="Times New Roman"/>
          <w:szCs w:val="21"/>
        </w:rPr>
        <w:t>):</w:t>
      </w:r>
      <w:r w:rsidR="00401998" w:rsidRPr="00C613BE">
        <w:rPr>
          <w:rFonts w:ascii="Times New Roman" w:eastAsia="宋体" w:hAnsi="Times New Roman" w:cs="Times New Roman"/>
          <w:szCs w:val="21"/>
        </w:rPr>
        <w:t xml:space="preserve"> </w:t>
      </w:r>
    </w:p>
    <w:p w14:paraId="00F9CC71" w14:textId="654D5206" w:rsidR="00401998" w:rsidRPr="00C613BE" w:rsidRDefault="00000000" w:rsidP="00C14660">
      <w:pPr>
        <w:ind w:firstLineChars="200" w:firstLine="420"/>
        <w:rPr>
          <w:rFonts w:ascii="Times New Roman" w:eastAsia="宋体" w:hAnsi="Times New Roman" w:cs="Times New Roman"/>
          <w:szCs w:val="21"/>
        </w:rPr>
      </w:pPr>
      <m:oMathPara>
        <m:oMath>
          <m:eqArr>
            <m:eqArrPr>
              <m:maxDist m:val="1"/>
              <m:ctrlPr>
                <w:rPr>
                  <w:rFonts w:ascii="Cambria Math" w:eastAsia="宋体" w:hAnsi="Cambria Math" w:cs="Times New Roman"/>
                  <w:szCs w:val="21"/>
                </w:rPr>
              </m:ctrlPr>
            </m:eqArrPr>
            <m:e>
              <m:sSub>
                <m:sSubPr>
                  <m:ctrlPr>
                    <w:rPr>
                      <w:rFonts w:ascii="Cambria Math" w:eastAsia="宋体" w:hAnsi="Cambria Math" w:cs="Times New Roman"/>
                      <w:szCs w:val="21"/>
                    </w:rPr>
                  </m:ctrlPr>
                </m:sSubPr>
                <m:e>
                  <m:r>
                    <w:rPr>
                      <w:rFonts w:ascii="Cambria Math" w:eastAsia="宋体" w:hAnsi="Cambria Math" w:cs="Times New Roman"/>
                      <w:szCs w:val="21"/>
                    </w:rPr>
                    <m:t>P</m:t>
                  </m:r>
                </m:e>
                <m:sub>
                  <m:r>
                    <w:rPr>
                      <w:rFonts w:ascii="Cambria Math" w:eastAsia="宋体" w:hAnsi="Cambria Math" w:cs="Times New Roman"/>
                      <w:szCs w:val="21"/>
                    </w:rPr>
                    <m:t>fail</m:t>
                  </m:r>
                  <m:r>
                    <m:rPr>
                      <m:sty m:val="p"/>
                    </m:rPr>
                    <w:rPr>
                      <w:rFonts w:ascii="Cambria Math" w:eastAsia="宋体" w:hAnsi="Cambria Math" w:cs="Times New Roman"/>
                      <w:szCs w:val="21"/>
                    </w:rPr>
                    <m:t>,</m:t>
                  </m:r>
                  <m:r>
                    <w:rPr>
                      <w:rFonts w:ascii="Cambria Math" w:eastAsia="宋体" w:hAnsi="Cambria Math" w:cs="Times New Roman"/>
                      <w:szCs w:val="21"/>
                    </w:rPr>
                    <m:t>i</m:t>
                  </m:r>
                </m:sub>
              </m:sSub>
              <m:r>
                <m:rPr>
                  <m:sty m:val="p"/>
                </m:rPr>
                <w:rPr>
                  <w:rFonts w:ascii="Cambria Math" w:eastAsia="宋体" w:hAnsi="Cambria Math" w:cs="Times New Roman"/>
                  <w:szCs w:val="21"/>
                </w:rPr>
                <m:t>=</m:t>
              </m:r>
              <m:r>
                <w:rPr>
                  <w:rFonts w:ascii="Cambria Math" w:eastAsia="宋体" w:hAnsi="Cambria Math" w:cs="Times New Roman"/>
                  <w:szCs w:val="21"/>
                </w:rPr>
                <m:t>F</m:t>
              </m:r>
              <m:d>
                <m:dPr>
                  <m:ctrlPr>
                    <w:rPr>
                      <w:rFonts w:ascii="Cambria Math" w:eastAsia="宋体" w:hAnsi="Cambria Math" w:cs="Times New Roman"/>
                      <w:szCs w:val="21"/>
                    </w:rPr>
                  </m:ctrlPr>
                </m:dPr>
                <m:e>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e>
              </m:d>
              <m:r>
                <m:rPr>
                  <m:sty m:val="p"/>
                </m:rPr>
                <w:rPr>
                  <w:rFonts w:ascii="Cambria Math" w:eastAsia="宋体" w:hAnsi="Cambria Math" w:cs="Times New Roman"/>
                  <w:szCs w:val="21"/>
                </w:rPr>
                <m:t>#</m:t>
              </m:r>
              <m:d>
                <m:dPr>
                  <m:ctrlPr>
                    <w:rPr>
                      <w:rFonts w:ascii="Cambria Math" w:eastAsia="宋体" w:hAnsi="Cambria Math" w:cs="Times New Roman"/>
                      <w:szCs w:val="21"/>
                    </w:rPr>
                  </m:ctrlPr>
                </m:dPr>
                <m:e>
                  <m:r>
                    <m:rPr>
                      <m:sty m:val="p"/>
                    </m:rPr>
                    <w:rPr>
                      <w:rFonts w:ascii="Cambria Math" w:eastAsia="宋体" w:hAnsi="Cambria Math" w:cs="Times New Roman"/>
                      <w:szCs w:val="21"/>
                    </w:rPr>
                    <m:t>8</m:t>
                  </m:r>
                </m:e>
              </m:d>
            </m:e>
          </m:eqArr>
        </m:oMath>
      </m:oMathPara>
    </w:p>
    <w:p w14:paraId="0A24B0BE" w14:textId="4B88BCEA" w:rsidR="00401998" w:rsidRPr="00C613BE" w:rsidRDefault="00000000" w:rsidP="00C14660">
      <w:pPr>
        <w:ind w:firstLineChars="200" w:firstLine="420"/>
        <w:rPr>
          <w:rFonts w:ascii="Times New Roman" w:eastAsia="宋体" w:hAnsi="Times New Roman" w:cs="Times New Roman"/>
          <w:szCs w:val="21"/>
        </w:rPr>
      </w:pPr>
      <m:oMathPara>
        <m:oMath>
          <m:eqArr>
            <m:eqArrPr>
              <m:maxDist m:val="1"/>
              <m:ctrlPr>
                <w:rPr>
                  <w:rFonts w:ascii="Cambria Math" w:eastAsia="宋体" w:hAnsi="Cambria Math" w:cs="Times New Roman"/>
                  <w:szCs w:val="21"/>
                </w:rPr>
              </m:ctrlPr>
            </m:eqArrPr>
            <m:e>
              <m:sSub>
                <m:sSubPr>
                  <m:ctrlPr>
                    <w:rPr>
                      <w:rFonts w:ascii="Cambria Math" w:eastAsia="宋体" w:hAnsi="Cambria Math" w:cs="Times New Roman"/>
                      <w:szCs w:val="21"/>
                    </w:rPr>
                  </m:ctrlPr>
                </m:sSubPr>
                <m:e>
                  <m:r>
                    <w:rPr>
                      <w:rFonts w:ascii="Cambria Math" w:eastAsia="宋体" w:hAnsi="Cambria Math" w:cs="Times New Roman"/>
                      <w:szCs w:val="21"/>
                    </w:rPr>
                    <m:t>F</m:t>
                  </m:r>
                </m:e>
                <m:sub>
                  <m:r>
                    <w:rPr>
                      <w:rFonts w:ascii="Cambria Math" w:eastAsia="宋体" w:hAnsi="Cambria Math" w:cs="Times New Roman"/>
                      <w:szCs w:val="21"/>
                    </w:rPr>
                    <m:t>WT</m:t>
                  </m:r>
                </m:sub>
              </m:sSub>
              <m:d>
                <m:dPr>
                  <m:ctrlPr>
                    <w:rPr>
                      <w:rFonts w:ascii="Cambria Math" w:eastAsia="宋体" w:hAnsi="Cambria Math" w:cs="Times New Roman"/>
                      <w:szCs w:val="21"/>
                    </w:rPr>
                  </m:ctrlPr>
                </m:dPr>
                <m:e>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e>
              </m:d>
              <m:r>
                <m:rPr>
                  <m:sty m:val="p"/>
                </m:rPr>
                <w:rPr>
                  <w:rFonts w:ascii="Cambria Math" w:eastAsia="宋体" w:hAnsi="Cambria Math" w:cs="Times New Roman"/>
                  <w:szCs w:val="21"/>
                </w:rPr>
                <m:t>=</m:t>
              </m:r>
              <m:d>
                <m:dPr>
                  <m:begChr m:val="{"/>
                  <m:endChr m:val=""/>
                  <m:ctrlPr>
                    <w:rPr>
                      <w:rFonts w:ascii="Cambria Math" w:eastAsia="宋体" w:hAnsi="Cambria Math" w:cs="Times New Roman"/>
                      <w:szCs w:val="21"/>
                    </w:rPr>
                  </m:ctrlPr>
                </m:dPr>
                <m:e>
                  <m:eqArr>
                    <m:eqArrPr>
                      <m:ctrlPr>
                        <w:rPr>
                          <w:rFonts w:ascii="Cambria Math" w:eastAsia="宋体" w:hAnsi="Cambria Math" w:cs="Times New Roman"/>
                          <w:szCs w:val="21"/>
                        </w:rPr>
                      </m:ctrlPr>
                    </m:eqArrPr>
                    <m:e>
                      <m:r>
                        <m:rPr>
                          <m:sty m:val="p"/>
                        </m:rPr>
                        <w:rPr>
                          <w:rFonts w:ascii="Cambria Math" w:eastAsia="宋体" w:hAnsi="Cambria Math" w:cs="Times New Roman"/>
                          <w:szCs w:val="21"/>
                        </w:rPr>
                        <m:t xml:space="preserve">0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r>
                        <m:rPr>
                          <m:sty m:val="p"/>
                        </m:rPr>
                        <w:rPr>
                          <w:rFonts w:ascii="Cambria Math" w:eastAsia="宋体" w:hAnsi="Cambria Math" w:cs="Times New Roman"/>
                          <w:szCs w:val="21"/>
                        </w:rPr>
                        <m:t>≤30</m:t>
                      </m:r>
                    </m:e>
                    <m:e>
                      <m:f>
                        <m:fPr>
                          <m:ctrlPr>
                            <w:rPr>
                              <w:rFonts w:ascii="Cambria Math" w:eastAsia="宋体" w:hAnsi="Cambria Math" w:cs="Times New Roman"/>
                              <w:szCs w:val="21"/>
                            </w:rPr>
                          </m:ctrlPr>
                        </m:fPr>
                        <m:num>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r>
                            <m:rPr>
                              <m:sty m:val="p"/>
                            </m:rPr>
                            <w:rPr>
                              <w:rFonts w:ascii="Cambria Math" w:eastAsia="宋体" w:hAnsi="Cambria Math" w:cs="Times New Roman"/>
                              <w:szCs w:val="21"/>
                            </w:rPr>
                            <m:t>-30</m:t>
                          </m:r>
                        </m:num>
                        <m:den>
                          <m:r>
                            <m:rPr>
                              <m:sty m:val="p"/>
                            </m:rPr>
                            <w:rPr>
                              <w:rFonts w:ascii="Cambria Math" w:eastAsia="宋体" w:hAnsi="Cambria Math" w:cs="Times New Roman"/>
                              <w:szCs w:val="21"/>
                            </w:rPr>
                            <m:t>60-30</m:t>
                          </m:r>
                        </m:den>
                      </m:f>
                      <m:r>
                        <m:rPr>
                          <m:sty m:val="p"/>
                        </m:rPr>
                        <w:rPr>
                          <w:rFonts w:ascii="Cambria Math" w:eastAsia="宋体" w:hAnsi="Cambria Math" w:cs="Times New Roman"/>
                          <w:szCs w:val="21"/>
                        </w:rPr>
                        <m:t xml:space="preserve">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30&lt;</m:t>
                          </m:r>
                          <m:r>
                            <w:rPr>
                              <w:rFonts w:ascii="Cambria Math" w:eastAsia="宋体" w:hAnsi="Cambria Math" w:cs="Times New Roman"/>
                              <w:szCs w:val="21"/>
                            </w:rPr>
                            <m:t>V</m:t>
                          </m:r>
                        </m:e>
                        <m:sub>
                          <m:r>
                            <w:rPr>
                              <w:rFonts w:ascii="Cambria Math" w:eastAsia="宋体" w:hAnsi="Cambria Math" w:cs="Times New Roman"/>
                              <w:szCs w:val="21"/>
                            </w:rPr>
                            <m:t>t</m:t>
                          </m:r>
                        </m:sub>
                      </m:sSub>
                      <m:r>
                        <m:rPr>
                          <m:sty m:val="p"/>
                        </m:rPr>
                        <w:rPr>
                          <w:rFonts w:ascii="Cambria Math" w:eastAsia="宋体" w:hAnsi="Cambria Math" w:cs="Times New Roman"/>
                          <w:szCs w:val="21"/>
                        </w:rPr>
                        <m:t xml:space="preserve">≤60 </m:t>
                      </m:r>
                    </m:e>
                    <m:e>
                      <m:r>
                        <m:rPr>
                          <m:sty m:val="p"/>
                        </m:rPr>
                        <w:rPr>
                          <w:rFonts w:ascii="Cambria Math" w:eastAsia="宋体" w:hAnsi="Cambria Math" w:cs="Times New Roman"/>
                          <w:szCs w:val="21"/>
                        </w:rPr>
                        <m:t xml:space="preserve">1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r>
                        <m:rPr>
                          <m:sty m:val="p"/>
                        </m:rPr>
                        <w:rPr>
                          <w:rFonts w:ascii="Cambria Math" w:eastAsia="宋体" w:hAnsi="Cambria Math" w:cs="Times New Roman"/>
                          <w:szCs w:val="21"/>
                        </w:rPr>
                        <m:t>&gt;60</m:t>
                      </m:r>
                    </m:e>
                  </m:eqArr>
                </m:e>
              </m:d>
              <m:r>
                <m:rPr>
                  <m:sty m:val="p"/>
                </m:rPr>
                <w:rPr>
                  <w:rFonts w:ascii="Cambria Math" w:eastAsia="宋体" w:hAnsi="Cambria Math" w:cs="Times New Roman"/>
                  <w:szCs w:val="21"/>
                </w:rPr>
                <m:t>#</m:t>
              </m:r>
              <m:d>
                <m:dPr>
                  <m:ctrlPr>
                    <w:rPr>
                      <w:rFonts w:ascii="Cambria Math" w:eastAsia="宋体" w:hAnsi="Cambria Math" w:cs="Times New Roman"/>
                      <w:szCs w:val="21"/>
                    </w:rPr>
                  </m:ctrlPr>
                </m:dPr>
                <m:e>
                  <m:r>
                    <m:rPr>
                      <m:sty m:val="p"/>
                    </m:rPr>
                    <w:rPr>
                      <w:rFonts w:ascii="Cambria Math" w:eastAsia="宋体" w:hAnsi="Cambria Math" w:cs="Times New Roman"/>
                      <w:szCs w:val="21"/>
                    </w:rPr>
                    <m:t>9</m:t>
                  </m:r>
                </m:e>
              </m:d>
            </m:e>
          </m:eqArr>
        </m:oMath>
      </m:oMathPara>
    </w:p>
    <w:p w14:paraId="3C9D2A83" w14:textId="73E0057E" w:rsidR="00401998" w:rsidRPr="00C613BE" w:rsidRDefault="00000000" w:rsidP="00C14660">
      <w:pPr>
        <w:ind w:firstLineChars="200" w:firstLine="420"/>
        <w:rPr>
          <w:rFonts w:ascii="Times New Roman" w:eastAsia="宋体" w:hAnsi="Times New Roman" w:cs="Times New Roman"/>
          <w:szCs w:val="21"/>
        </w:rPr>
      </w:pPr>
      <m:oMathPara>
        <m:oMath>
          <m:eqArr>
            <m:eqArrPr>
              <m:maxDist m:val="1"/>
              <m:ctrlPr>
                <w:rPr>
                  <w:rFonts w:ascii="Cambria Math" w:eastAsia="宋体" w:hAnsi="Cambria Math" w:cs="Times New Roman"/>
                  <w:szCs w:val="21"/>
                </w:rPr>
              </m:ctrlPr>
            </m:eqArrPr>
            <m:e>
              <m:sSub>
                <m:sSubPr>
                  <m:ctrlPr>
                    <w:rPr>
                      <w:rFonts w:ascii="Cambria Math" w:eastAsia="宋体" w:hAnsi="Cambria Math" w:cs="Times New Roman"/>
                      <w:szCs w:val="21"/>
                    </w:rPr>
                  </m:ctrlPr>
                </m:sSubPr>
                <m:e>
                  <m:r>
                    <w:rPr>
                      <w:rFonts w:ascii="Cambria Math" w:eastAsia="宋体" w:hAnsi="Cambria Math" w:cs="Times New Roman"/>
                      <w:szCs w:val="21"/>
                    </w:rPr>
                    <m:t>F</m:t>
                  </m:r>
                </m:e>
                <m:sub>
                  <m:r>
                    <w:rPr>
                      <w:rFonts w:ascii="Cambria Math" w:eastAsia="宋体" w:hAnsi="Cambria Math" w:cs="Times New Roman"/>
                      <w:szCs w:val="21"/>
                    </w:rPr>
                    <m:t>PV</m:t>
                  </m:r>
                </m:sub>
              </m:sSub>
              <m:d>
                <m:dPr>
                  <m:ctrlPr>
                    <w:rPr>
                      <w:rFonts w:ascii="Cambria Math" w:eastAsia="宋体" w:hAnsi="Cambria Math" w:cs="Times New Roman"/>
                      <w:szCs w:val="21"/>
                    </w:rPr>
                  </m:ctrlPr>
                </m:dPr>
                <m:e>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e>
              </m:d>
              <m:r>
                <m:rPr>
                  <m:sty m:val="p"/>
                </m:rPr>
                <w:rPr>
                  <w:rFonts w:ascii="Cambria Math" w:eastAsia="宋体" w:hAnsi="Cambria Math" w:cs="Times New Roman"/>
                  <w:szCs w:val="21"/>
                </w:rPr>
                <m:t>=</m:t>
              </m:r>
              <m:d>
                <m:dPr>
                  <m:begChr m:val="{"/>
                  <m:endChr m:val=""/>
                  <m:ctrlPr>
                    <w:rPr>
                      <w:rFonts w:ascii="Cambria Math" w:eastAsia="宋体" w:hAnsi="Cambria Math" w:cs="Times New Roman"/>
                      <w:szCs w:val="21"/>
                    </w:rPr>
                  </m:ctrlPr>
                </m:dPr>
                <m:e>
                  <m:eqArr>
                    <m:eqArrPr>
                      <m:ctrlPr>
                        <w:rPr>
                          <w:rFonts w:ascii="Cambria Math" w:eastAsia="宋体" w:hAnsi="Cambria Math" w:cs="Times New Roman"/>
                          <w:szCs w:val="21"/>
                        </w:rPr>
                      </m:ctrlPr>
                    </m:eqArrPr>
                    <m:e>
                      <m:r>
                        <m:rPr>
                          <m:sty m:val="p"/>
                        </m:rPr>
                        <w:rPr>
                          <w:rFonts w:ascii="Cambria Math" w:eastAsia="宋体" w:hAnsi="Cambria Math" w:cs="Times New Roman"/>
                          <w:szCs w:val="21"/>
                        </w:rPr>
                        <m:t xml:space="preserve">0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r>
                        <m:rPr>
                          <m:sty m:val="p"/>
                        </m:rPr>
                        <w:rPr>
                          <w:rFonts w:ascii="Cambria Math" w:eastAsia="宋体" w:hAnsi="Cambria Math" w:cs="Times New Roman"/>
                          <w:szCs w:val="21"/>
                        </w:rPr>
                        <m:t>≤40</m:t>
                      </m:r>
                    </m:e>
                    <m:e>
                      <m:f>
                        <m:fPr>
                          <m:ctrlPr>
                            <w:rPr>
                              <w:rFonts w:ascii="Cambria Math" w:eastAsia="宋体" w:hAnsi="Cambria Math" w:cs="Times New Roman"/>
                              <w:szCs w:val="21"/>
                            </w:rPr>
                          </m:ctrlPr>
                        </m:fPr>
                        <m:num>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r>
                            <m:rPr>
                              <m:sty m:val="p"/>
                            </m:rPr>
                            <w:rPr>
                              <w:rFonts w:ascii="Cambria Math" w:eastAsia="宋体" w:hAnsi="Cambria Math" w:cs="Times New Roman"/>
                              <w:szCs w:val="21"/>
                            </w:rPr>
                            <m:t>-40</m:t>
                          </m:r>
                        </m:num>
                        <m:den>
                          <m:r>
                            <m:rPr>
                              <m:sty m:val="p"/>
                            </m:rPr>
                            <w:rPr>
                              <w:rFonts w:ascii="Cambria Math" w:eastAsia="宋体" w:hAnsi="Cambria Math" w:cs="Times New Roman"/>
                              <w:szCs w:val="21"/>
                            </w:rPr>
                            <m:t>80-40</m:t>
                          </m:r>
                        </m:den>
                      </m:f>
                      <m:r>
                        <m:rPr>
                          <m:sty m:val="p"/>
                        </m:rPr>
                        <w:rPr>
                          <w:rFonts w:ascii="Cambria Math" w:eastAsia="宋体" w:hAnsi="Cambria Math" w:cs="Times New Roman"/>
                          <w:szCs w:val="21"/>
                        </w:rPr>
                        <m:t xml:space="preserve">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40&lt;</m:t>
                          </m:r>
                          <m:r>
                            <w:rPr>
                              <w:rFonts w:ascii="Cambria Math" w:eastAsia="宋体" w:hAnsi="Cambria Math" w:cs="Times New Roman"/>
                              <w:szCs w:val="21"/>
                            </w:rPr>
                            <m:t>V</m:t>
                          </m:r>
                        </m:e>
                        <m:sub>
                          <m:r>
                            <w:rPr>
                              <w:rFonts w:ascii="Cambria Math" w:eastAsia="宋体" w:hAnsi="Cambria Math" w:cs="Times New Roman"/>
                              <w:szCs w:val="21"/>
                            </w:rPr>
                            <m:t>t</m:t>
                          </m:r>
                        </m:sub>
                      </m:sSub>
                      <m:r>
                        <m:rPr>
                          <m:sty m:val="p"/>
                        </m:rPr>
                        <w:rPr>
                          <w:rFonts w:ascii="Cambria Math" w:eastAsia="宋体" w:hAnsi="Cambria Math" w:cs="Times New Roman"/>
                          <w:szCs w:val="21"/>
                        </w:rPr>
                        <m:t xml:space="preserve">≤80 </m:t>
                      </m:r>
                    </m:e>
                    <m:e>
                      <m:r>
                        <m:rPr>
                          <m:sty m:val="p"/>
                        </m:rPr>
                        <w:rPr>
                          <w:rFonts w:ascii="Cambria Math" w:eastAsia="宋体" w:hAnsi="Cambria Math" w:cs="Times New Roman"/>
                          <w:szCs w:val="21"/>
                        </w:rPr>
                        <m:t xml:space="preserve">1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r>
                        <m:rPr>
                          <m:sty m:val="p"/>
                        </m:rPr>
                        <w:rPr>
                          <w:rFonts w:ascii="Cambria Math" w:eastAsia="宋体" w:hAnsi="Cambria Math" w:cs="Times New Roman"/>
                          <w:szCs w:val="21"/>
                        </w:rPr>
                        <m:t>&gt;80</m:t>
                      </m:r>
                    </m:e>
                  </m:eqArr>
                </m:e>
              </m:d>
              <m:r>
                <m:rPr>
                  <m:sty m:val="p"/>
                </m:rPr>
                <w:rPr>
                  <w:rFonts w:ascii="Cambria Math" w:eastAsia="宋体" w:hAnsi="Cambria Math" w:cs="Times New Roman"/>
                  <w:szCs w:val="21"/>
                </w:rPr>
                <m:t>#</m:t>
              </m:r>
              <m:d>
                <m:dPr>
                  <m:ctrlPr>
                    <w:rPr>
                      <w:rFonts w:ascii="Cambria Math" w:eastAsia="宋体" w:hAnsi="Cambria Math" w:cs="Times New Roman"/>
                      <w:szCs w:val="21"/>
                    </w:rPr>
                  </m:ctrlPr>
                </m:dPr>
                <m:e>
                  <m:r>
                    <m:rPr>
                      <m:sty m:val="p"/>
                    </m:rPr>
                    <w:rPr>
                      <w:rFonts w:ascii="Cambria Math" w:eastAsia="宋体" w:hAnsi="Cambria Math" w:cs="Times New Roman"/>
                      <w:szCs w:val="21"/>
                    </w:rPr>
                    <m:t>10</m:t>
                  </m:r>
                </m:e>
              </m:d>
            </m:e>
          </m:eqArr>
        </m:oMath>
      </m:oMathPara>
    </w:p>
    <w:p w14:paraId="3DE3031D" w14:textId="416157C8" w:rsidR="00401998" w:rsidRPr="00C613BE" w:rsidRDefault="00000000" w:rsidP="00C14660">
      <w:pPr>
        <w:ind w:firstLineChars="200" w:firstLine="420"/>
        <w:rPr>
          <w:rFonts w:ascii="Times New Roman" w:eastAsia="宋体" w:hAnsi="Times New Roman" w:cs="Times New Roman"/>
          <w:szCs w:val="21"/>
        </w:rPr>
      </w:pPr>
      <m:oMathPara>
        <m:oMath>
          <m:eqArr>
            <m:eqArrPr>
              <m:maxDist m:val="1"/>
              <m:ctrlPr>
                <w:rPr>
                  <w:rFonts w:ascii="Cambria Math" w:eastAsia="宋体" w:hAnsi="Cambria Math" w:cs="Times New Roman"/>
                  <w:szCs w:val="21"/>
                </w:rPr>
              </m:ctrlPr>
            </m:eqArrPr>
            <m:e>
              <m:sSub>
                <m:sSubPr>
                  <m:ctrlPr>
                    <w:rPr>
                      <w:rFonts w:ascii="Cambria Math" w:eastAsia="宋体" w:hAnsi="Cambria Math" w:cs="Times New Roman"/>
                      <w:szCs w:val="21"/>
                    </w:rPr>
                  </m:ctrlPr>
                </m:sSubPr>
                <m:e>
                  <m:r>
                    <w:rPr>
                      <w:rFonts w:ascii="Cambria Math" w:eastAsia="宋体" w:hAnsi="Cambria Math" w:cs="Times New Roman"/>
                      <w:szCs w:val="21"/>
                    </w:rPr>
                    <m:t>F</m:t>
                  </m:r>
                </m:e>
                <m:sub>
                  <m:r>
                    <w:rPr>
                      <w:rFonts w:ascii="Cambria Math" w:eastAsia="宋体" w:hAnsi="Cambria Math" w:cs="Times New Roman"/>
                      <w:szCs w:val="21"/>
                    </w:rPr>
                    <m:t>WAVE</m:t>
                  </m:r>
                </m:sub>
              </m:sSub>
              <m:d>
                <m:dPr>
                  <m:ctrlPr>
                    <w:rPr>
                      <w:rFonts w:ascii="Cambria Math" w:eastAsia="宋体" w:hAnsi="Cambria Math" w:cs="Times New Roman"/>
                      <w:szCs w:val="21"/>
                    </w:rPr>
                  </m:ctrlPr>
                </m:dPr>
                <m:e>
                  <m:sSub>
                    <m:sSubPr>
                      <m:ctrlPr>
                        <w:rPr>
                          <w:rFonts w:ascii="Cambria Math" w:eastAsia="宋体" w:hAnsi="Cambria Math" w:cs="Times New Roman"/>
                          <w:szCs w:val="21"/>
                        </w:rPr>
                      </m:ctrlPr>
                    </m:sSubPr>
                    <m:e>
                      <m:r>
                        <w:rPr>
                          <w:rFonts w:ascii="Cambria Math" w:eastAsia="宋体" w:hAnsi="Cambria Math" w:cs="Times New Roman"/>
                          <w:szCs w:val="21"/>
                        </w:rPr>
                        <m:t>H</m:t>
                      </m:r>
                    </m:e>
                    <m:sub>
                      <m:r>
                        <w:rPr>
                          <w:rFonts w:ascii="Cambria Math" w:eastAsia="宋体" w:hAnsi="Cambria Math" w:cs="Times New Roman"/>
                          <w:szCs w:val="21"/>
                        </w:rPr>
                        <m:t>t</m:t>
                      </m:r>
                    </m:sub>
                  </m:sSub>
                </m:e>
              </m:d>
              <m:r>
                <m:rPr>
                  <m:sty m:val="p"/>
                </m:rPr>
                <w:rPr>
                  <w:rFonts w:ascii="Cambria Math" w:eastAsia="宋体" w:hAnsi="Cambria Math" w:cs="Times New Roman"/>
                  <w:szCs w:val="21"/>
                </w:rPr>
                <m:t>=</m:t>
              </m:r>
              <m:d>
                <m:dPr>
                  <m:begChr m:val="{"/>
                  <m:endChr m:val=""/>
                  <m:ctrlPr>
                    <w:rPr>
                      <w:rFonts w:ascii="Cambria Math" w:eastAsia="宋体" w:hAnsi="Cambria Math" w:cs="Times New Roman"/>
                      <w:szCs w:val="21"/>
                    </w:rPr>
                  </m:ctrlPr>
                </m:dPr>
                <m:e>
                  <m:eqArr>
                    <m:eqArrPr>
                      <m:ctrlPr>
                        <w:rPr>
                          <w:rFonts w:ascii="Cambria Math" w:eastAsia="宋体" w:hAnsi="Cambria Math" w:cs="Times New Roman"/>
                          <w:szCs w:val="21"/>
                        </w:rPr>
                      </m:ctrlPr>
                    </m:eqArrPr>
                    <m:e>
                      <m:r>
                        <m:rPr>
                          <m:sty m:val="p"/>
                        </m:rPr>
                        <w:rPr>
                          <w:rFonts w:ascii="Cambria Math" w:eastAsia="宋体" w:hAnsi="Cambria Math" w:cs="Times New Roman"/>
                          <w:szCs w:val="21"/>
                        </w:rPr>
                        <m:t xml:space="preserve">0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w:rPr>
                              <w:rFonts w:ascii="Cambria Math" w:eastAsia="宋体" w:hAnsi="Cambria Math" w:cs="Times New Roman"/>
                              <w:szCs w:val="21"/>
                            </w:rPr>
                            <m:t>H</m:t>
                          </m:r>
                        </m:e>
                        <m:sub>
                          <m:r>
                            <w:rPr>
                              <w:rFonts w:ascii="Cambria Math" w:eastAsia="宋体" w:hAnsi="Cambria Math" w:cs="Times New Roman"/>
                              <w:szCs w:val="21"/>
                            </w:rPr>
                            <m:t>t</m:t>
                          </m:r>
                        </m:sub>
                      </m:sSub>
                      <m:r>
                        <m:rPr>
                          <m:sty m:val="p"/>
                        </m:rPr>
                        <w:rPr>
                          <w:rFonts w:ascii="Cambria Math" w:eastAsia="宋体" w:hAnsi="Cambria Math" w:cs="Times New Roman"/>
                          <w:szCs w:val="21"/>
                        </w:rPr>
                        <m:t>≤5</m:t>
                      </m:r>
                    </m:e>
                    <m:e>
                      <m:f>
                        <m:fPr>
                          <m:ctrlPr>
                            <w:rPr>
                              <w:rFonts w:ascii="Cambria Math" w:eastAsia="宋体" w:hAnsi="Cambria Math" w:cs="Times New Roman"/>
                              <w:szCs w:val="21"/>
                            </w:rPr>
                          </m:ctrlPr>
                        </m:fPr>
                        <m:num>
                          <m:sSub>
                            <m:sSubPr>
                              <m:ctrlPr>
                                <w:rPr>
                                  <w:rFonts w:ascii="Cambria Math" w:eastAsia="宋体" w:hAnsi="Cambria Math" w:cs="Times New Roman"/>
                                  <w:szCs w:val="21"/>
                                </w:rPr>
                              </m:ctrlPr>
                            </m:sSubPr>
                            <m:e>
                              <m:r>
                                <w:rPr>
                                  <w:rFonts w:ascii="Cambria Math" w:eastAsia="宋体" w:hAnsi="Cambria Math" w:cs="Times New Roman"/>
                                  <w:szCs w:val="21"/>
                                </w:rPr>
                                <m:t>H</m:t>
                              </m:r>
                            </m:e>
                            <m:sub>
                              <m:r>
                                <w:rPr>
                                  <w:rFonts w:ascii="Cambria Math" w:eastAsia="宋体" w:hAnsi="Cambria Math" w:cs="Times New Roman"/>
                                  <w:szCs w:val="21"/>
                                </w:rPr>
                                <m:t>t</m:t>
                              </m:r>
                            </m:sub>
                          </m:sSub>
                          <m:r>
                            <m:rPr>
                              <m:sty m:val="p"/>
                            </m:rPr>
                            <w:rPr>
                              <w:rFonts w:ascii="Cambria Math" w:eastAsia="宋体" w:hAnsi="Cambria Math" w:cs="Times New Roman"/>
                              <w:szCs w:val="21"/>
                            </w:rPr>
                            <m:t>-5</m:t>
                          </m:r>
                        </m:num>
                        <m:den>
                          <m:r>
                            <m:rPr>
                              <m:sty m:val="p"/>
                            </m:rPr>
                            <w:rPr>
                              <w:rFonts w:ascii="Cambria Math" w:eastAsia="宋体" w:hAnsi="Cambria Math" w:cs="Times New Roman"/>
                              <w:szCs w:val="21"/>
                            </w:rPr>
                            <m:t>20-5</m:t>
                          </m:r>
                        </m:den>
                      </m:f>
                      <m:r>
                        <m:rPr>
                          <m:sty m:val="p"/>
                        </m:rPr>
                        <w:rPr>
                          <w:rFonts w:ascii="Cambria Math" w:eastAsia="宋体" w:hAnsi="Cambria Math" w:cs="Times New Roman"/>
                          <w:szCs w:val="21"/>
                        </w:rPr>
                        <m:t xml:space="preserve">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5&lt;</m:t>
                          </m:r>
                          <m:r>
                            <w:rPr>
                              <w:rFonts w:ascii="Cambria Math" w:eastAsia="宋体" w:hAnsi="Cambria Math" w:cs="Times New Roman"/>
                              <w:szCs w:val="21"/>
                            </w:rPr>
                            <m:t>H</m:t>
                          </m:r>
                        </m:e>
                        <m:sub>
                          <m:r>
                            <w:rPr>
                              <w:rFonts w:ascii="Cambria Math" w:eastAsia="宋体" w:hAnsi="Cambria Math" w:cs="Times New Roman"/>
                              <w:szCs w:val="21"/>
                            </w:rPr>
                            <m:t>t</m:t>
                          </m:r>
                        </m:sub>
                      </m:sSub>
                      <m:r>
                        <m:rPr>
                          <m:sty m:val="p"/>
                        </m:rPr>
                        <w:rPr>
                          <w:rFonts w:ascii="Cambria Math" w:eastAsia="宋体" w:hAnsi="Cambria Math" w:cs="Times New Roman"/>
                          <w:szCs w:val="21"/>
                        </w:rPr>
                        <m:t xml:space="preserve">≤20 </m:t>
                      </m:r>
                    </m:e>
                    <m:e>
                      <m:r>
                        <m:rPr>
                          <m:sty m:val="p"/>
                        </m:rPr>
                        <w:rPr>
                          <w:rFonts w:ascii="Cambria Math" w:eastAsia="宋体" w:hAnsi="Cambria Math" w:cs="Times New Roman"/>
                          <w:szCs w:val="21"/>
                        </w:rPr>
                        <m:t xml:space="preserve">1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w:rPr>
                              <w:rFonts w:ascii="Cambria Math" w:eastAsia="宋体" w:hAnsi="Cambria Math" w:cs="Times New Roman"/>
                              <w:szCs w:val="21"/>
                            </w:rPr>
                            <m:t>H</m:t>
                          </m:r>
                        </m:e>
                        <m:sub>
                          <m:r>
                            <w:rPr>
                              <w:rFonts w:ascii="Cambria Math" w:eastAsia="宋体" w:hAnsi="Cambria Math" w:cs="Times New Roman"/>
                              <w:szCs w:val="21"/>
                            </w:rPr>
                            <m:t>t</m:t>
                          </m:r>
                        </m:sub>
                      </m:sSub>
                      <m:r>
                        <m:rPr>
                          <m:sty m:val="p"/>
                        </m:rPr>
                        <w:rPr>
                          <w:rFonts w:ascii="Cambria Math" w:eastAsia="宋体" w:hAnsi="Cambria Math" w:cs="Times New Roman"/>
                          <w:szCs w:val="21"/>
                        </w:rPr>
                        <m:t>&gt;20</m:t>
                      </m:r>
                    </m:e>
                  </m:eqArr>
                </m:e>
              </m:d>
              <m:r>
                <m:rPr>
                  <m:sty m:val="p"/>
                </m:rPr>
                <w:rPr>
                  <w:rFonts w:ascii="Cambria Math" w:eastAsia="宋体" w:hAnsi="Cambria Math" w:cs="Times New Roman"/>
                  <w:szCs w:val="21"/>
                </w:rPr>
                <m:t>#</m:t>
              </m:r>
              <m:d>
                <m:dPr>
                  <m:ctrlPr>
                    <w:rPr>
                      <w:rFonts w:ascii="Cambria Math" w:eastAsia="宋体" w:hAnsi="Cambria Math" w:cs="Times New Roman"/>
                      <w:szCs w:val="21"/>
                    </w:rPr>
                  </m:ctrlPr>
                </m:dPr>
                <m:e>
                  <m:r>
                    <m:rPr>
                      <m:sty m:val="p"/>
                    </m:rPr>
                    <w:rPr>
                      <w:rFonts w:ascii="Cambria Math" w:eastAsia="宋体" w:hAnsi="Cambria Math" w:cs="Times New Roman"/>
                      <w:szCs w:val="21"/>
                    </w:rPr>
                    <m:t>11</m:t>
                  </m:r>
                </m:e>
              </m:d>
            </m:e>
          </m:eqArr>
        </m:oMath>
      </m:oMathPara>
    </w:p>
    <w:p w14:paraId="6BF2B145" w14:textId="70B914E1" w:rsidR="00401998" w:rsidRPr="00C613BE" w:rsidRDefault="00B41114"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To simulate component failure events, at each time step </w:t>
      </w:r>
      <m:oMath>
        <m:r>
          <w:rPr>
            <w:rFonts w:ascii="Cambria Math" w:eastAsia="宋体" w:hAnsi="Cambria Math" w:cs="Times New Roman"/>
            <w:szCs w:val="21"/>
          </w:rPr>
          <m:t>t</m:t>
        </m:r>
      </m:oMath>
      <w:r w:rsidRPr="00C613BE">
        <w:rPr>
          <w:rFonts w:ascii="Times New Roman" w:eastAsia="宋体" w:hAnsi="Times New Roman" w:cs="Times New Roman"/>
          <w:szCs w:val="21"/>
        </w:rPr>
        <w:t>, a random number </w:t>
      </w:r>
      <m:oMath>
        <m:r>
          <w:rPr>
            <w:rFonts w:ascii="Cambria Math" w:eastAsia="宋体" w:hAnsi="Cambria Math" w:cs="Times New Roman"/>
            <w:szCs w:val="21"/>
          </w:rPr>
          <m:t>r</m:t>
        </m:r>
      </m:oMath>
      <w:r w:rsidRPr="00C613BE">
        <w:rPr>
          <w:rFonts w:ascii="Times New Roman" w:eastAsia="宋体" w:hAnsi="Times New Roman" w:cs="Times New Roman"/>
          <w:szCs w:val="21"/>
        </w:rPr>
        <w:t xml:space="preserve"> </w:t>
      </w:r>
      <w:r w:rsidR="00401998" w:rsidRPr="00C613BE">
        <w:rPr>
          <w:rFonts w:ascii="Cambria Math" w:eastAsia="宋体" w:hAnsi="Cambria Math" w:cs="Cambria Math"/>
          <w:szCs w:val="21"/>
        </w:rPr>
        <w:t>∈</w:t>
      </w:r>
      <w:r w:rsidRPr="00C613BE">
        <w:rPr>
          <w:rFonts w:ascii="Times New Roman" w:eastAsia="宋体" w:hAnsi="Times New Roman" w:cs="Times New Roman"/>
          <w:szCs w:val="21"/>
        </w:rPr>
        <w:t xml:space="preserve"> </w:t>
      </w:r>
      <w:r w:rsidR="00401998" w:rsidRPr="00C613BE">
        <w:rPr>
          <w:rFonts w:ascii="Times New Roman" w:eastAsia="宋体" w:hAnsi="Times New Roman" w:cs="Times New Roman"/>
          <w:szCs w:val="21"/>
        </w:rPr>
        <w:t>[0,1]</w:t>
      </w:r>
      <w:r w:rsidRPr="00C613BE">
        <w:rPr>
          <w:rFonts w:ascii="Times New Roman" w:eastAsia="宋体" w:hAnsi="Times New Roman" w:cs="Times New Roman"/>
          <w:szCs w:val="21"/>
        </w:rPr>
        <w:t xml:space="preserve"> is generated for each component </w:t>
      </w:r>
      <m:oMath>
        <m:r>
          <w:rPr>
            <w:rFonts w:ascii="Cambria Math" w:eastAsia="宋体" w:hAnsi="Cambria Math" w:cs="Times New Roman"/>
            <w:szCs w:val="21"/>
          </w:rPr>
          <m:t>i</m:t>
        </m:r>
      </m:oMath>
      <w:r w:rsidRPr="00C613BE">
        <w:rPr>
          <w:rFonts w:ascii="Times New Roman" w:eastAsia="宋体" w:hAnsi="Times New Roman" w:cs="Times New Roman"/>
          <w:szCs w:val="21"/>
        </w:rPr>
        <w:t xml:space="preserve">. Failure is triggered if </w:t>
      </w:r>
      <m:oMath>
        <m:r>
          <w:rPr>
            <w:rFonts w:ascii="Cambria Math" w:eastAsia="宋体" w:hAnsi="Cambria Math" w:cs="Times New Roman"/>
            <w:szCs w:val="21"/>
          </w:rPr>
          <m:t>r</m:t>
        </m:r>
      </m:oMath>
      <w:r w:rsidR="00401998" w:rsidRPr="00C613BE">
        <w:rPr>
          <w:rFonts w:ascii="Times New Roman" w:eastAsia="宋体" w:hAnsi="Times New Roman" w:cs="Times New Roman"/>
          <w:szCs w:val="21"/>
        </w:rPr>
        <w:t xml:space="preserve"> &lt; </w:t>
      </w:r>
      <m:oMath>
        <m:sSub>
          <m:sSubPr>
            <m:ctrlPr>
              <w:rPr>
                <w:rFonts w:ascii="Cambria Math" w:eastAsia="宋体" w:hAnsi="Cambria Math" w:cs="Times New Roman"/>
                <w:szCs w:val="21"/>
              </w:rPr>
            </m:ctrlPr>
          </m:sSubPr>
          <m:e>
            <m:r>
              <w:rPr>
                <w:rFonts w:ascii="Cambria Math" w:eastAsia="宋体" w:hAnsi="Cambria Math" w:cs="Times New Roman"/>
                <w:szCs w:val="21"/>
              </w:rPr>
              <m:t>P</m:t>
            </m:r>
          </m:e>
          <m:sub>
            <m:r>
              <w:rPr>
                <w:rFonts w:ascii="Cambria Math" w:eastAsia="宋体" w:hAnsi="Cambria Math" w:cs="Times New Roman"/>
                <w:szCs w:val="21"/>
              </w:rPr>
              <m:t>fail</m:t>
            </m:r>
            <m:r>
              <m:rPr>
                <m:sty m:val="p"/>
              </m:rPr>
              <w:rPr>
                <w:rFonts w:ascii="Cambria Math" w:eastAsia="宋体" w:hAnsi="Cambria Math" w:cs="Times New Roman"/>
                <w:szCs w:val="21"/>
              </w:rPr>
              <m:t>,</m:t>
            </m:r>
            <m:r>
              <w:rPr>
                <w:rFonts w:ascii="Cambria Math" w:eastAsia="宋体" w:hAnsi="Cambria Math" w:cs="Times New Roman"/>
                <w:szCs w:val="21"/>
              </w:rPr>
              <m:t>i</m:t>
            </m:r>
          </m:sub>
        </m:sSub>
      </m:oMath>
      <w:r w:rsidRPr="00C613BE">
        <w:rPr>
          <w:rFonts w:ascii="Times New Roman" w:eastAsia="宋体" w:hAnsi="Times New Roman" w:cs="Times New Roman"/>
          <w:szCs w:val="21"/>
        </w:rPr>
        <w:t>.</w:t>
      </w:r>
      <w:r w:rsidR="000649F8" w:rsidRPr="00C613BE">
        <w:rPr>
          <w:rFonts w:ascii="Times New Roman" w:eastAsia="宋体" w:hAnsi="Times New Roman" w:cs="Times New Roman"/>
          <w:szCs w:val="21"/>
        </w:rPr>
        <w:t xml:space="preserve"> </w:t>
      </w:r>
      <w:r w:rsidRPr="00C613BE">
        <w:rPr>
          <w:rFonts w:ascii="Times New Roman" w:eastAsia="宋体" w:hAnsi="Times New Roman" w:cs="Times New Roman"/>
          <w:szCs w:val="21"/>
        </w:rPr>
        <w:t>Affected components remain inoperable until repairs are completed. </w:t>
      </w:r>
      <w:r w:rsidR="00CC3756" w:rsidRPr="00C613BE">
        <w:rPr>
          <w:rFonts w:ascii="Times New Roman" w:eastAsia="宋体" w:hAnsi="Times New Roman" w:cs="Times New Roman"/>
          <w:szCs w:val="21"/>
        </w:rPr>
        <w:t xml:space="preserve">The repair duration </w:t>
      </w:r>
      <m:oMath>
        <m:sSub>
          <m:sSubPr>
            <m:ctrlPr>
              <w:rPr>
                <w:rFonts w:ascii="Cambria Math" w:eastAsia="宋体" w:hAnsi="Cambria Math" w:cs="Times New Roman"/>
                <w:szCs w:val="21"/>
              </w:rPr>
            </m:ctrlPr>
          </m:sSubPr>
          <m:e>
            <m:r>
              <w:rPr>
                <w:rFonts w:ascii="Cambria Math" w:eastAsia="宋体" w:hAnsi="Cambria Math" w:cs="Times New Roman"/>
                <w:szCs w:val="21"/>
              </w:rPr>
              <m:t>T</m:t>
            </m:r>
          </m:e>
          <m:sub>
            <m:r>
              <w:rPr>
                <w:rFonts w:ascii="Cambria Math" w:eastAsia="宋体" w:hAnsi="Cambria Math" w:cs="Times New Roman"/>
                <w:szCs w:val="21"/>
              </w:rPr>
              <m:t>repair</m:t>
            </m:r>
            <m:r>
              <m:rPr>
                <m:sty m:val="p"/>
              </m:rPr>
              <w:rPr>
                <w:rFonts w:ascii="Cambria Math" w:eastAsia="宋体" w:hAnsi="Cambria Math" w:cs="Times New Roman"/>
                <w:szCs w:val="21"/>
              </w:rPr>
              <m:t>,</m:t>
            </m:r>
            <m:r>
              <w:rPr>
                <w:rFonts w:ascii="Cambria Math" w:eastAsia="宋体" w:hAnsi="Cambria Math" w:cs="Times New Roman"/>
                <w:szCs w:val="21"/>
              </w:rPr>
              <m:t>i</m:t>
            </m:r>
          </m:sub>
        </m:sSub>
      </m:oMath>
      <w:r w:rsidR="00CC3756" w:rsidRPr="00C613BE">
        <w:rPr>
          <w:rFonts w:ascii="Times New Roman" w:eastAsia="宋体" w:hAnsi="Times New Roman" w:cs="Times New Roman"/>
          <w:szCs w:val="21"/>
        </w:rPr>
        <w:t>is determined based on assumptions accounting for the island</w:t>
      </w:r>
      <w:r w:rsidR="000649F8" w:rsidRPr="00C613BE">
        <w:rPr>
          <w:rFonts w:ascii="Times New Roman" w:eastAsia="宋体" w:hAnsi="Times New Roman" w:cs="Times New Roman"/>
          <w:szCs w:val="21"/>
        </w:rPr>
        <w:t>’</w:t>
      </w:r>
      <w:r w:rsidR="00CC3756" w:rsidRPr="00C613BE">
        <w:rPr>
          <w:rFonts w:ascii="Times New Roman" w:eastAsia="宋体" w:hAnsi="Times New Roman" w:cs="Times New Roman"/>
          <w:szCs w:val="21"/>
        </w:rPr>
        <w:t>s geographical constraints</w:t>
      </w:r>
      <w:r w:rsidR="00401998"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{"citationID":"aNZ867J3","properties":{"formattedCitation":"\\super 34,35\\nosupersub{}","plainCitation":"34,35","noteIndex":0},"citationItems":[{"id":395,"uris":["http://zotero.org/users/16842078/items/H7L8G6QA"],"itemData":{"id":395,"type":"article-journal","abstract":"Determining and understanding offshore wind turbine failure rates and resource requirement for repair are vital for modelling and reducing O&amp;M costs and in turn reducing the cost of energy. While few offshore failure rates have been published in the past even less details on resource requirement for repair exist in the public domain. Based on ~350 offshore wind turbines throughout Europe this paper provides failure rates for the overall wind turbine and its sub-assemblies. It also provides failure rates by year of operation, cost category and failure modes for the components/sub-assemblies that are the highest contributor to the overall failure rate. Repair times, average repair costs and average number of technicians required for repair are also detailed in this paper. An onshore to offshore failure rate comparison is carried out for generators and converters based on this analysis and an analysis carried out in a past publication. The results of this paper will contribute to offshore wind O&amp;M cost and resource modelling and aid in better decision making for O&amp;M planners and managers. Copyright © 2015 John Wiley &amp; Sons, Ltd.","container-title":"Wind Energy","DOI":"10.1002/we.1887","ISSN":"1095-4244, 1099-1824","issue":"6","journalAbbreviation":"Wind Energy","language":"en","license":"http://onlinelibrary.wiley.com/termsAndConditions#vor","page":"1107-1119","source":"DOI.org (Crossref)","title":"Failure rate, repair time and unscheduled O&amp;M cost analysis of offshore wind turbines","volume":"19","author":[{"family":"Carroll","given":"James"},{"family":"McDonald","given":"Alasdair"},{"family":"McMillan","given":"David"}],"issued":{"date-parts":[["2016",6]]}}},{"id":397,"uris":["http://zotero.org/users/16842078/items/8EDVHZYE"],"itemData":{"id":397,"type":"article-journal","abstract":"The main purpose of this paper is to design a scientiﬁc-based probabilistic model based on Markov chains, to calculate reliability indicators, such as mean time between failure (MTBF) and mean time to failure (MTTF) based on probabilities, to compute failure rates based on statistical data, and to provide an algorithm to calculate the maximum number of interruptions and the maximum duration of one interruption for a photovoltaic power plant (PV-PP) meant to improve the operation and maintenance (O&amp;M) activities and optimize the stocks of the spare parts. Over almost two years, events are recorded at PV-PP Agigea with an installed power of 0.5 MW. The predictive maintenance of future events and stockpile sizing at the PV-PP Agigea are developed taking into account the maintenance activities carried out at the plant’s components since the commissioning of the PV-PP Agigea. Based on the PV-PP data and the intervention reports that consist of the incidents recorded between February 2016 and December 2017, it is intended to determine by statistical methods the following basic reliability indicators: failure rate, usually symbolized by λ, deﬁned as the average number of failures on time unit, and the maximum number of interruptions (Nmax ) eliminated through repairs or replacements during the reference period, determined for a certain level of risk.","container-title":"IEEE Access","DOI":"10.1109/ACCESS.2019.2907098","ISSN":"2169-3536","journalAbbreviation":"IEEE Access","language":"en","license":"https://ieeexplore.ieee.org/Xplorehelp/downloads/license-information/OAPA.html","page":"39142-39157","source":"DOI.org (Crossref)","title":"Photovoltaic Power Plants (PV-PP) Reliability Indicators for Improving Operation and Maintenance Activities. A Case Study of PV-PP Agigea Located in Romania","volume":"7","author":[{"family":"Oprea","given":"Simona-Vasilica"},{"family":"Bara","given":"Adela"},{"family":"Preotescu","given":"Dan"},{"family":"Elefterescu","given":"Luminita"}],"issued":{"date-parts":[["2019"]]}}}],"schema":"https://github.com/citation-style-language/schema/raw/master/csl-citation.json"} </w:instrText>
      </w:r>
      <w:r w:rsidR="00401998"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34,35</w:t>
      </w:r>
      <w:r w:rsidR="00401998" w:rsidRPr="00C613BE">
        <w:rPr>
          <w:rFonts w:ascii="Times New Roman" w:eastAsia="宋体" w:hAnsi="Times New Roman" w:cs="Times New Roman"/>
          <w:szCs w:val="21"/>
        </w:rPr>
        <w:fldChar w:fldCharType="end"/>
      </w:r>
      <w:r w:rsidR="000649F8" w:rsidRPr="00C613BE">
        <w:rPr>
          <w:rFonts w:ascii="Times New Roman" w:eastAsia="宋体" w:hAnsi="Times New Roman" w:cs="Times New Roman"/>
          <w:szCs w:val="21"/>
        </w:rPr>
        <w:t>, with maintenance restricted to periods of wind speeds below 20 m/s due to extreme weather limitations. During repairs, failed components are considered unavailable, reducing system capacity and impacting overall energy supply reliability:</w:t>
      </w:r>
    </w:p>
    <w:p w14:paraId="58878240" w14:textId="4A97AEC2" w:rsidR="00401998" w:rsidRPr="00C613BE" w:rsidRDefault="00000000" w:rsidP="00C14660">
      <w:pPr>
        <w:ind w:firstLineChars="200" w:firstLine="420"/>
        <w:rPr>
          <w:rFonts w:ascii="Times New Roman" w:eastAsia="宋体" w:hAnsi="Times New Roman" w:cs="Times New Roman"/>
          <w:szCs w:val="21"/>
        </w:rPr>
      </w:pPr>
      <m:oMathPara>
        <m:oMath>
          <m:eqArr>
            <m:eqArrPr>
              <m:maxDist m:val="1"/>
              <m:ctrlPr>
                <w:rPr>
                  <w:rFonts w:ascii="Cambria Math" w:eastAsia="宋体" w:hAnsi="Cambria Math" w:cs="Times New Roman"/>
                  <w:szCs w:val="21"/>
                </w:rPr>
              </m:ctrlPr>
            </m:eqArrPr>
            <m:e>
              <m:sSub>
                <m:sSubPr>
                  <m:ctrlPr>
                    <w:rPr>
                      <w:rFonts w:ascii="Cambria Math" w:eastAsia="宋体" w:hAnsi="Cambria Math" w:cs="Times New Roman"/>
                      <w:szCs w:val="21"/>
                    </w:rPr>
                  </m:ctrlPr>
                </m:sSubPr>
                <m:e>
                  <m:r>
                    <w:rPr>
                      <w:rFonts w:ascii="Cambria Math" w:eastAsia="宋体" w:hAnsi="Cambria Math" w:cs="Times New Roman"/>
                      <w:szCs w:val="21"/>
                    </w:rPr>
                    <m:t>P</m:t>
                  </m:r>
                </m:e>
                <m:sub>
                  <m:r>
                    <w:rPr>
                      <w:rFonts w:ascii="Cambria Math" w:eastAsia="宋体" w:hAnsi="Cambria Math" w:cs="Times New Roman"/>
                      <w:szCs w:val="21"/>
                    </w:rPr>
                    <m:t>i</m:t>
                  </m:r>
                </m:sub>
              </m:sSub>
              <m:d>
                <m:dPr>
                  <m:ctrlPr>
                    <w:rPr>
                      <w:rFonts w:ascii="Cambria Math" w:eastAsia="宋体" w:hAnsi="Cambria Math" w:cs="Times New Roman"/>
                      <w:szCs w:val="21"/>
                    </w:rPr>
                  </m:ctrlPr>
                </m:dPr>
                <m:e>
                  <m:r>
                    <w:rPr>
                      <w:rFonts w:ascii="Cambria Math" w:eastAsia="宋体" w:hAnsi="Cambria Math" w:cs="Times New Roman"/>
                      <w:szCs w:val="21"/>
                    </w:rPr>
                    <m:t>t</m:t>
                  </m:r>
                </m:e>
              </m:d>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w:rPr>
                      <w:rFonts w:ascii="Cambria Math" w:eastAsia="宋体" w:hAnsi="Cambria Math" w:cs="Times New Roman"/>
                      <w:szCs w:val="21"/>
                    </w:rPr>
                    <m:t>a</m:t>
                  </m:r>
                </m:e>
                <m:sub>
                  <m:r>
                    <w:rPr>
                      <w:rFonts w:ascii="Cambria Math" w:eastAsia="宋体" w:hAnsi="Cambria Math" w:cs="Times New Roman"/>
                      <w:szCs w:val="21"/>
                    </w:rPr>
                    <m:t>i</m:t>
                  </m:r>
                </m:sub>
              </m:sSub>
              <m:sSub>
                <m:sSubPr>
                  <m:ctrlPr>
                    <w:rPr>
                      <w:rFonts w:ascii="Cambria Math" w:eastAsia="宋体" w:hAnsi="Cambria Math" w:cs="Times New Roman"/>
                      <w:szCs w:val="21"/>
                    </w:rPr>
                  </m:ctrlPr>
                </m:sSubPr>
                <m:e>
                  <m:r>
                    <w:rPr>
                      <w:rFonts w:ascii="Cambria Math" w:eastAsia="宋体" w:hAnsi="Cambria Math" w:cs="Times New Roman"/>
                      <w:szCs w:val="21"/>
                    </w:rPr>
                    <m:t>S</m:t>
                  </m:r>
                </m:e>
                <m:sub>
                  <m:r>
                    <w:rPr>
                      <w:rFonts w:ascii="Cambria Math" w:eastAsia="宋体" w:hAnsi="Cambria Math" w:cs="Times New Roman"/>
                      <w:szCs w:val="21"/>
                    </w:rPr>
                    <m:t>i</m:t>
                  </m:r>
                </m:sub>
              </m:sSub>
              <m:d>
                <m:dPr>
                  <m:ctrlPr>
                    <w:rPr>
                      <w:rFonts w:ascii="Cambria Math" w:eastAsia="宋体" w:hAnsi="Cambria Math" w:cs="Times New Roman"/>
                      <w:szCs w:val="21"/>
                    </w:rPr>
                  </m:ctrlPr>
                </m:dPr>
                <m:e>
                  <m:r>
                    <w:rPr>
                      <w:rFonts w:ascii="Cambria Math" w:eastAsia="宋体" w:hAnsi="Cambria Math" w:cs="Times New Roman"/>
                      <w:szCs w:val="21"/>
                    </w:rPr>
                    <m:t>t</m:t>
                  </m:r>
                </m:e>
              </m:d>
              <m:r>
                <m:rPr>
                  <m:sty m:val="p"/>
                </m:rPr>
                <w:rPr>
                  <w:rFonts w:ascii="Cambria Math" w:eastAsia="宋体" w:hAnsi="Cambria Math" w:cs="Times New Roman"/>
                  <w:szCs w:val="21"/>
                </w:rPr>
                <m:t>#</m:t>
              </m:r>
              <m:d>
                <m:dPr>
                  <m:ctrlPr>
                    <w:rPr>
                      <w:rFonts w:ascii="Cambria Math" w:eastAsia="宋体" w:hAnsi="Cambria Math" w:cs="Times New Roman"/>
                      <w:szCs w:val="21"/>
                    </w:rPr>
                  </m:ctrlPr>
                </m:dPr>
                <m:e>
                  <m:r>
                    <m:rPr>
                      <m:sty m:val="p"/>
                    </m:rPr>
                    <w:rPr>
                      <w:rFonts w:ascii="Cambria Math" w:eastAsia="宋体" w:hAnsi="Cambria Math" w:cs="Times New Roman"/>
                      <w:szCs w:val="21"/>
                    </w:rPr>
                    <m:t>12</m:t>
                  </m:r>
                </m:e>
              </m:d>
            </m:e>
          </m:eqArr>
        </m:oMath>
      </m:oMathPara>
    </w:p>
    <w:p w14:paraId="619CB787" w14:textId="15FC63E0" w:rsidR="00401998" w:rsidRPr="00C613BE" w:rsidRDefault="000649F8"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Where </w:t>
      </w:r>
      <m:oMath>
        <m:sSub>
          <m:sSubPr>
            <m:ctrlPr>
              <w:rPr>
                <w:rFonts w:ascii="Cambria Math" w:eastAsia="宋体" w:hAnsi="Cambria Math" w:cs="Times New Roman"/>
                <w:szCs w:val="21"/>
              </w:rPr>
            </m:ctrlPr>
          </m:sSubPr>
          <m:e>
            <m:r>
              <w:rPr>
                <w:rFonts w:ascii="Cambria Math" w:eastAsia="宋体" w:hAnsi="Cambria Math" w:cs="Times New Roman"/>
                <w:szCs w:val="21"/>
              </w:rPr>
              <m:t>P</m:t>
            </m:r>
          </m:e>
          <m:sub>
            <m:r>
              <w:rPr>
                <w:rFonts w:ascii="Cambria Math" w:eastAsia="宋体" w:hAnsi="Cambria Math" w:cs="Times New Roman"/>
                <w:szCs w:val="21"/>
              </w:rPr>
              <m:t>i</m:t>
            </m:r>
          </m:sub>
        </m:sSub>
        <m:d>
          <m:dPr>
            <m:ctrlPr>
              <w:rPr>
                <w:rFonts w:ascii="Cambria Math" w:eastAsia="宋体" w:hAnsi="Cambria Math" w:cs="Times New Roman"/>
                <w:szCs w:val="21"/>
              </w:rPr>
            </m:ctrlPr>
          </m:dPr>
          <m:e>
            <m:r>
              <w:rPr>
                <w:rFonts w:ascii="Cambria Math" w:eastAsia="宋体" w:hAnsi="Cambria Math" w:cs="Times New Roman"/>
                <w:szCs w:val="21"/>
              </w:rPr>
              <m:t>t</m:t>
            </m:r>
          </m:e>
        </m:d>
      </m:oMath>
      <w:r w:rsidRPr="00C613BE">
        <w:rPr>
          <w:rFonts w:ascii="Times New Roman" w:eastAsia="宋体" w:hAnsi="Times New Roman" w:cs="Times New Roman"/>
          <w:szCs w:val="21"/>
        </w:rPr>
        <w:t xml:space="preserve"> is the actual output of component </w:t>
      </w:r>
      <m:oMath>
        <m:r>
          <w:rPr>
            <w:rFonts w:ascii="Cambria Math" w:eastAsia="宋体" w:hAnsi="Cambria Math" w:cs="Times New Roman"/>
            <w:szCs w:val="21"/>
          </w:rPr>
          <m:t>i</m:t>
        </m:r>
      </m:oMath>
      <w:r w:rsidRPr="00C613BE">
        <w:rPr>
          <w:rFonts w:ascii="Times New Roman" w:eastAsia="宋体" w:hAnsi="Times New Roman" w:cs="Times New Roman"/>
          <w:szCs w:val="21"/>
        </w:rPr>
        <w:t xml:space="preserve"> at time </w:t>
      </w:r>
      <m:oMath>
        <m:r>
          <w:rPr>
            <w:rFonts w:ascii="Cambria Math" w:eastAsia="宋体" w:hAnsi="Cambria Math" w:cs="Times New Roman"/>
            <w:szCs w:val="21"/>
          </w:rPr>
          <m:t>t</m:t>
        </m:r>
      </m:oMath>
      <w:r w:rsidR="00401998" w:rsidRPr="00C613BE">
        <w:rPr>
          <w:rFonts w:ascii="Times New Roman" w:eastAsia="宋体" w:hAnsi="Times New Roman" w:cs="Times New Roman"/>
          <w:szCs w:val="21"/>
        </w:rPr>
        <w:t>，</w:t>
      </w:r>
      <m:oMath>
        <m:sSub>
          <m:sSubPr>
            <m:ctrlPr>
              <w:rPr>
                <w:rFonts w:ascii="Cambria Math" w:eastAsia="宋体" w:hAnsi="Cambria Math" w:cs="Times New Roman"/>
                <w:szCs w:val="21"/>
              </w:rPr>
            </m:ctrlPr>
          </m:sSubPr>
          <m:e>
            <m:r>
              <w:rPr>
                <w:rFonts w:ascii="Cambria Math" w:eastAsia="宋体" w:hAnsi="Cambria Math" w:cs="Times New Roman"/>
                <w:szCs w:val="21"/>
              </w:rPr>
              <m:t>a</m:t>
            </m:r>
          </m:e>
          <m:sub>
            <m:r>
              <w:rPr>
                <w:rFonts w:ascii="Cambria Math" w:eastAsia="宋体" w:hAnsi="Cambria Math" w:cs="Times New Roman"/>
                <w:szCs w:val="21"/>
              </w:rPr>
              <m:t>i</m:t>
            </m:r>
          </m:sub>
        </m:sSub>
      </m:oMath>
      <w:r w:rsidR="00F87E49" w:rsidRPr="00C613BE">
        <w:rPr>
          <w:rFonts w:ascii="Times New Roman" w:eastAsia="宋体" w:hAnsi="Times New Roman" w:cs="Times New Roman"/>
          <w:szCs w:val="21"/>
        </w:rPr>
        <w:t xml:space="preserve"> denotes its rated capacity, and </w:t>
      </w:r>
      <m:oMath>
        <m:sSub>
          <m:sSubPr>
            <m:ctrlPr>
              <w:rPr>
                <w:rFonts w:ascii="Cambria Math" w:eastAsia="宋体" w:hAnsi="Cambria Math" w:cs="Times New Roman"/>
                <w:szCs w:val="21"/>
              </w:rPr>
            </m:ctrlPr>
          </m:sSubPr>
          <m:e>
            <m:r>
              <w:rPr>
                <w:rFonts w:ascii="Cambria Math" w:eastAsia="宋体" w:hAnsi="Cambria Math" w:cs="Times New Roman"/>
                <w:szCs w:val="21"/>
              </w:rPr>
              <m:t>S</m:t>
            </m:r>
          </m:e>
          <m:sub>
            <m:r>
              <w:rPr>
                <w:rFonts w:ascii="Cambria Math" w:eastAsia="宋体" w:hAnsi="Cambria Math" w:cs="Times New Roman"/>
                <w:szCs w:val="21"/>
              </w:rPr>
              <m:t>i</m:t>
            </m:r>
          </m:sub>
        </m:sSub>
        <m:r>
          <m:rPr>
            <m:sty m:val="p"/>
          </m:rPr>
          <w:rPr>
            <w:rFonts w:ascii="Cambria Math" w:eastAsia="宋体" w:hAnsi="Cambria Math" w:cs="Times New Roman"/>
            <w:szCs w:val="21"/>
          </w:rPr>
          <m:t>(</m:t>
        </m:r>
        <m:r>
          <w:rPr>
            <w:rFonts w:ascii="Cambria Math" w:eastAsia="宋体" w:hAnsi="Cambria Math" w:cs="Times New Roman"/>
            <w:szCs w:val="21"/>
          </w:rPr>
          <m:t>t</m:t>
        </m:r>
        <m:r>
          <m:rPr>
            <m:sty m:val="p"/>
          </m:rPr>
          <w:rPr>
            <w:rFonts w:ascii="Cambria Math" w:eastAsia="宋体" w:hAnsi="Cambria Math" w:cs="Times New Roman"/>
            <w:szCs w:val="21"/>
          </w:rPr>
          <m:t>)</m:t>
        </m:r>
      </m:oMath>
      <w:r w:rsidR="00F87E49" w:rsidRPr="00C613BE">
        <w:rPr>
          <w:rFonts w:ascii="Times New Roman" w:eastAsia="宋体" w:hAnsi="Times New Roman" w:cs="Times New Roman"/>
          <w:szCs w:val="21"/>
        </w:rPr>
        <w:t xml:space="preserve"> is a binary state variable</w:t>
      </w:r>
      <w:r w:rsidR="004B3BB4" w:rsidRPr="00C613BE">
        <w:rPr>
          <w:rFonts w:ascii="Times New Roman" w:eastAsia="宋体" w:hAnsi="Times New Roman" w:cs="Times New Roman"/>
          <w:szCs w:val="21"/>
        </w:rPr>
        <w:t xml:space="preserve"> (</w:t>
      </w:r>
      <m:oMath>
        <m:sSub>
          <m:sSubPr>
            <m:ctrlPr>
              <w:rPr>
                <w:rFonts w:ascii="Cambria Math" w:eastAsia="宋体" w:hAnsi="Cambria Math" w:cs="Times New Roman"/>
                <w:szCs w:val="21"/>
              </w:rPr>
            </m:ctrlPr>
          </m:sSubPr>
          <m:e>
            <m:r>
              <w:rPr>
                <w:rFonts w:ascii="Cambria Math" w:eastAsia="宋体" w:hAnsi="Cambria Math" w:cs="Times New Roman"/>
                <w:szCs w:val="21"/>
              </w:rPr>
              <m:t>S</m:t>
            </m:r>
          </m:e>
          <m:sub>
            <m:r>
              <w:rPr>
                <w:rFonts w:ascii="Cambria Math" w:eastAsia="宋体" w:hAnsi="Cambria Math" w:cs="Times New Roman"/>
                <w:szCs w:val="21"/>
              </w:rPr>
              <m:t>i</m:t>
            </m:r>
          </m:sub>
        </m:sSub>
        <m:d>
          <m:dPr>
            <m:ctrlPr>
              <w:rPr>
                <w:rFonts w:ascii="Cambria Math" w:eastAsia="宋体" w:hAnsi="Cambria Math" w:cs="Times New Roman"/>
                <w:szCs w:val="21"/>
              </w:rPr>
            </m:ctrlPr>
          </m:dPr>
          <m:e>
            <m:r>
              <w:rPr>
                <w:rFonts w:ascii="Cambria Math" w:eastAsia="宋体" w:hAnsi="Cambria Math" w:cs="Times New Roman"/>
                <w:szCs w:val="21"/>
              </w:rPr>
              <m:t>t</m:t>
            </m:r>
          </m:e>
        </m:d>
        <m:r>
          <m:rPr>
            <m:sty m:val="p"/>
          </m:rPr>
          <w:rPr>
            <w:rFonts w:ascii="Cambria Math" w:eastAsia="宋体" w:hAnsi="Cambria Math" w:cs="Times New Roman"/>
            <w:szCs w:val="21"/>
          </w:rPr>
          <m:t>=1</m:t>
        </m:r>
      </m:oMath>
      <w:r w:rsidR="004B3BB4" w:rsidRPr="00C613BE">
        <w:rPr>
          <w:rFonts w:ascii="Times New Roman" w:eastAsia="宋体" w:hAnsi="Times New Roman" w:cs="Times New Roman"/>
          <w:szCs w:val="21"/>
        </w:rPr>
        <w:t>: operational</w:t>
      </w:r>
      <w:r w:rsidR="00401998" w:rsidRPr="00C613BE">
        <w:rPr>
          <w:rFonts w:ascii="Times New Roman" w:eastAsia="宋体" w:hAnsi="Times New Roman" w:cs="Times New Roman"/>
          <w:szCs w:val="21"/>
        </w:rPr>
        <w:t>，</w:t>
      </w:r>
      <m:oMath>
        <m:sSub>
          <m:sSubPr>
            <m:ctrlPr>
              <w:rPr>
                <w:rFonts w:ascii="Cambria Math" w:eastAsia="宋体" w:hAnsi="Cambria Math" w:cs="Times New Roman"/>
                <w:szCs w:val="21"/>
              </w:rPr>
            </m:ctrlPr>
          </m:sSubPr>
          <m:e>
            <m:r>
              <w:rPr>
                <w:rFonts w:ascii="Cambria Math" w:eastAsia="宋体" w:hAnsi="Cambria Math" w:cs="Times New Roman"/>
                <w:szCs w:val="21"/>
              </w:rPr>
              <m:t>S</m:t>
            </m:r>
          </m:e>
          <m:sub>
            <m:r>
              <w:rPr>
                <w:rFonts w:ascii="Cambria Math" w:eastAsia="宋体" w:hAnsi="Cambria Math" w:cs="Times New Roman"/>
                <w:szCs w:val="21"/>
              </w:rPr>
              <m:t>i</m:t>
            </m:r>
          </m:sub>
        </m:sSub>
        <m:d>
          <m:dPr>
            <m:ctrlPr>
              <w:rPr>
                <w:rFonts w:ascii="Cambria Math" w:eastAsia="宋体" w:hAnsi="Cambria Math" w:cs="Times New Roman"/>
                <w:szCs w:val="21"/>
              </w:rPr>
            </m:ctrlPr>
          </m:dPr>
          <m:e>
            <m:r>
              <w:rPr>
                <w:rFonts w:ascii="Cambria Math" w:eastAsia="宋体" w:hAnsi="Cambria Math" w:cs="Times New Roman"/>
                <w:szCs w:val="21"/>
              </w:rPr>
              <m:t>t</m:t>
            </m:r>
          </m:e>
        </m:d>
        <m:r>
          <m:rPr>
            <m:sty m:val="p"/>
          </m:rPr>
          <w:rPr>
            <w:rFonts w:ascii="Cambria Math" w:eastAsia="宋体" w:hAnsi="Cambria Math" w:cs="Times New Roman"/>
            <w:szCs w:val="21"/>
          </w:rPr>
          <m:t>=0</m:t>
        </m:r>
      </m:oMath>
      <w:r w:rsidR="004B3BB4" w:rsidRPr="00C613BE">
        <w:rPr>
          <w:rFonts w:ascii="Times New Roman" w:eastAsia="宋体" w:hAnsi="Times New Roman" w:cs="Times New Roman"/>
          <w:szCs w:val="21"/>
        </w:rPr>
        <w:t>: failed).</w:t>
      </w:r>
    </w:p>
    <w:p w14:paraId="08A8BA96" w14:textId="77777777" w:rsidR="00AA36B7" w:rsidRPr="00C613BE" w:rsidRDefault="00AA36B7"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The Average Service Availability Index (</w:t>
      </w:r>
      <w:r w:rsidRPr="00C613BE">
        <w:rPr>
          <w:rFonts w:ascii="Times New Roman" w:eastAsia="宋体" w:hAnsi="Times New Roman" w:cs="Times New Roman"/>
          <w:i/>
          <w:iCs/>
          <w:szCs w:val="21"/>
        </w:rPr>
        <w:t>ASAI</w:t>
      </w:r>
      <w:r w:rsidRPr="00C613BE">
        <w:rPr>
          <w:rFonts w:ascii="Times New Roman" w:eastAsia="宋体" w:hAnsi="Times New Roman" w:cs="Times New Roman"/>
          <w:szCs w:val="21"/>
        </w:rPr>
        <w:t>) quantifies the energy system’s sustained supply capability for each load type:</w:t>
      </w:r>
    </w:p>
    <w:p w14:paraId="3EF886C8" w14:textId="220A854E" w:rsidR="00401998" w:rsidRPr="00C613BE" w:rsidRDefault="00000000" w:rsidP="00C14660">
      <w:pPr>
        <w:ind w:firstLineChars="200" w:firstLine="420"/>
        <w:rPr>
          <w:rFonts w:ascii="Times New Roman" w:eastAsia="宋体" w:hAnsi="Times New Roman" w:cs="Times New Roman"/>
          <w:szCs w:val="21"/>
        </w:rPr>
      </w:pPr>
      <m:oMathPara>
        <m:oMath>
          <m:eqArr>
            <m:eqArrPr>
              <m:maxDist m:val="1"/>
              <m:ctrlPr>
                <w:rPr>
                  <w:rFonts w:ascii="Cambria Math" w:eastAsia="宋体" w:hAnsi="Cambria Math" w:cs="Times New Roman"/>
                  <w:szCs w:val="21"/>
                </w:rPr>
              </m:ctrlPr>
            </m:eqArrPr>
            <m:e>
              <m:sSub>
                <m:sSubPr>
                  <m:ctrlPr>
                    <w:rPr>
                      <w:rFonts w:ascii="Cambria Math" w:eastAsia="宋体" w:hAnsi="Cambria Math" w:cs="Times New Roman"/>
                      <w:szCs w:val="21"/>
                    </w:rPr>
                  </m:ctrlPr>
                </m:sSubPr>
                <m:e>
                  <m:r>
                    <w:rPr>
                      <w:rFonts w:ascii="Cambria Math" w:eastAsia="宋体" w:hAnsi="Cambria Math" w:cs="Times New Roman"/>
                      <w:szCs w:val="21"/>
                    </w:rPr>
                    <m:t>ASAI</m:t>
                  </m:r>
                </m:e>
                <m:sub>
                  <m:r>
                    <w:rPr>
                      <w:rFonts w:ascii="Cambria Math" w:eastAsia="宋体" w:hAnsi="Cambria Math" w:cs="Times New Roman"/>
                      <w:szCs w:val="21"/>
                    </w:rPr>
                    <m:t>m</m:t>
                  </m:r>
                </m:sub>
              </m:sSub>
              <m:r>
                <m:rPr>
                  <m:sty m:val="p"/>
                </m:rPr>
                <w:rPr>
                  <w:rFonts w:ascii="Cambria Math" w:eastAsia="宋体" w:hAnsi="Cambria Math" w:cs="Times New Roman"/>
                  <w:szCs w:val="21"/>
                </w:rPr>
                <m:t>=</m:t>
              </m:r>
              <m:d>
                <m:dPr>
                  <m:ctrlPr>
                    <w:rPr>
                      <w:rFonts w:ascii="Cambria Math" w:eastAsia="宋体" w:hAnsi="Cambria Math" w:cs="Times New Roman"/>
                      <w:szCs w:val="21"/>
                    </w:rPr>
                  </m:ctrlPr>
                </m:dPr>
                <m:e>
                  <m:r>
                    <m:rPr>
                      <m:sty m:val="p"/>
                    </m:rPr>
                    <w:rPr>
                      <w:rFonts w:ascii="Cambria Math" w:eastAsia="宋体" w:hAnsi="Cambria Math" w:cs="Times New Roman"/>
                      <w:szCs w:val="21"/>
                    </w:rPr>
                    <m:t>1-</m:t>
                  </m:r>
                  <m:nary>
                    <m:naryPr>
                      <m:chr m:val="∑"/>
                      <m:limLoc m:val="undOvr"/>
                      <m:ctrlPr>
                        <w:rPr>
                          <w:rFonts w:ascii="Cambria Math" w:eastAsia="宋体" w:hAnsi="Cambria Math" w:cs="Times New Roman"/>
                          <w:szCs w:val="21"/>
                        </w:rPr>
                      </m:ctrlPr>
                    </m:naryPr>
                    <m:sub>
                      <m:r>
                        <w:rPr>
                          <w:rFonts w:ascii="Cambria Math" w:eastAsia="宋体" w:hAnsi="Cambria Math" w:cs="Times New Roman"/>
                          <w:szCs w:val="21"/>
                        </w:rPr>
                        <m:t>t</m:t>
                      </m:r>
                      <m:r>
                        <m:rPr>
                          <m:sty m:val="p"/>
                        </m:rPr>
                        <w:rPr>
                          <w:rFonts w:ascii="Cambria Math" w:eastAsia="宋体" w:hAnsi="Cambria Math" w:cs="Times New Roman"/>
                          <w:szCs w:val="21"/>
                        </w:rPr>
                        <m:t>=1</m:t>
                      </m:r>
                    </m:sub>
                    <m:sup>
                      <m:r>
                        <w:rPr>
                          <w:rFonts w:ascii="Cambria Math" w:eastAsia="宋体" w:hAnsi="Cambria Math" w:cs="Times New Roman"/>
                          <w:szCs w:val="21"/>
                        </w:rPr>
                        <m:t>h</m:t>
                      </m:r>
                    </m:sup>
                    <m:e>
                      <m:f>
                        <m:fPr>
                          <m:ctrlPr>
                            <w:rPr>
                              <w:rFonts w:ascii="Cambria Math" w:eastAsia="宋体" w:hAnsi="Cambria Math" w:cs="Times New Roman"/>
                              <w:szCs w:val="21"/>
                            </w:rPr>
                          </m:ctrlPr>
                        </m:fPr>
                        <m:num>
                          <m:sSub>
                            <m:sSubPr>
                              <m:ctrlPr>
                                <w:rPr>
                                  <w:rFonts w:ascii="Cambria Math" w:eastAsia="宋体" w:hAnsi="Cambria Math" w:cs="Times New Roman"/>
                                  <w:szCs w:val="21"/>
                                </w:rPr>
                              </m:ctrlPr>
                            </m:sSubPr>
                            <m:e>
                              <m:r>
                                <w:rPr>
                                  <w:rFonts w:ascii="Cambria Math" w:eastAsia="宋体" w:hAnsi="Cambria Math" w:cs="Times New Roman"/>
                                  <w:szCs w:val="21"/>
                                </w:rPr>
                                <m:t>T</m:t>
                              </m:r>
                            </m:e>
                            <m:sub>
                              <m:r>
                                <w:rPr>
                                  <w:rFonts w:ascii="Cambria Math" w:eastAsia="宋体" w:hAnsi="Cambria Math" w:cs="Times New Roman"/>
                                  <w:szCs w:val="21"/>
                                </w:rPr>
                                <m:t>m</m:t>
                              </m:r>
                              <m:r>
                                <m:rPr>
                                  <m:sty m:val="p"/>
                                </m:rPr>
                                <w:rPr>
                                  <w:rFonts w:ascii="Cambria Math" w:eastAsia="宋体" w:hAnsi="Cambria Math" w:cs="Times New Roman"/>
                                  <w:szCs w:val="21"/>
                                </w:rPr>
                                <m:t>,</m:t>
                              </m:r>
                              <m:r>
                                <w:rPr>
                                  <w:rFonts w:ascii="Cambria Math" w:eastAsia="宋体" w:hAnsi="Cambria Math" w:cs="Times New Roman"/>
                                  <w:szCs w:val="21"/>
                                </w:rPr>
                                <m:t>cut</m:t>
                              </m:r>
                            </m:sub>
                          </m:sSub>
                          <m:d>
                            <m:dPr>
                              <m:ctrlPr>
                                <w:rPr>
                                  <w:rFonts w:ascii="Cambria Math" w:eastAsia="宋体" w:hAnsi="Cambria Math" w:cs="Times New Roman"/>
                                  <w:szCs w:val="21"/>
                                </w:rPr>
                              </m:ctrlPr>
                            </m:dPr>
                            <m:e>
                              <m:r>
                                <w:rPr>
                                  <w:rFonts w:ascii="Cambria Math" w:eastAsia="宋体" w:hAnsi="Cambria Math" w:cs="Times New Roman"/>
                                  <w:szCs w:val="21"/>
                                </w:rPr>
                                <m:t>t</m:t>
                              </m:r>
                            </m:e>
                          </m:d>
                        </m:num>
                        <m:den>
                          <m:r>
                            <w:rPr>
                              <w:rFonts w:ascii="Cambria Math" w:eastAsia="宋体" w:hAnsi="Cambria Math" w:cs="Times New Roman"/>
                              <w:szCs w:val="21"/>
                            </w:rPr>
                            <m:t>h</m:t>
                          </m:r>
                        </m:den>
                      </m:f>
                    </m:e>
                  </m:nary>
                </m:e>
              </m:d>
              <m:r>
                <m:rPr>
                  <m:sty m:val="p"/>
                </m:rPr>
                <w:rPr>
                  <w:rFonts w:ascii="Cambria Math" w:eastAsia="宋体" w:hAnsi="Cambria Math" w:cs="Times New Roman"/>
                  <w:szCs w:val="21"/>
                </w:rPr>
                <m:t>×100% #</m:t>
              </m:r>
              <m:d>
                <m:dPr>
                  <m:ctrlPr>
                    <w:rPr>
                      <w:rFonts w:ascii="Cambria Math" w:eastAsia="宋体" w:hAnsi="Cambria Math" w:cs="Times New Roman"/>
                      <w:szCs w:val="21"/>
                    </w:rPr>
                  </m:ctrlPr>
                </m:dPr>
                <m:e>
                  <m:r>
                    <m:rPr>
                      <m:sty m:val="p"/>
                    </m:rPr>
                    <w:rPr>
                      <w:rFonts w:ascii="Cambria Math" w:eastAsia="宋体" w:hAnsi="Cambria Math" w:cs="Times New Roman"/>
                      <w:szCs w:val="21"/>
                    </w:rPr>
                    <m:t>13</m:t>
                  </m:r>
                </m:e>
              </m:d>
              <m:ctrlPr>
                <w:rPr>
                  <w:rFonts w:ascii="Cambria Math" w:eastAsia="Cambria Math" w:hAnsi="Cambria Math" w:cs="Times New Roman"/>
                  <w:szCs w:val="21"/>
                </w:rPr>
              </m:ctrlPr>
            </m:e>
            <m:e>
              <m:r>
                <m:rPr>
                  <m:sty m:val="p"/>
                </m:rPr>
                <w:rPr>
                  <w:rFonts w:ascii="Cambria Math" w:eastAsia="宋体" w:hAnsi="Cambria Math" w:cs="Times New Roman"/>
                  <w:szCs w:val="21"/>
                </w:rPr>
                <m:t xml:space="preserve"> </m:t>
              </m:r>
              <m:r>
                <w:rPr>
                  <w:rFonts w:ascii="Cambria Math" w:eastAsia="宋体" w:hAnsi="Cambria Math" w:cs="Times New Roman"/>
                  <w:szCs w:val="21"/>
                </w:rPr>
                <m:t>m</m:t>
              </m:r>
              <m:r>
                <m:rPr>
                  <m:sty m:val="p"/>
                </m:rPr>
                <w:rPr>
                  <w:rFonts w:ascii="Cambria Math" w:eastAsia="宋体" w:hAnsi="Cambria Math" w:cs="Times New Roman"/>
                  <w:szCs w:val="21"/>
                </w:rPr>
                <m:t>∈{</m:t>
              </m:r>
              <m:r>
                <w:rPr>
                  <w:rFonts w:ascii="Cambria Math" w:eastAsia="宋体" w:hAnsi="Cambria Math" w:cs="Times New Roman"/>
                  <w:szCs w:val="21"/>
                </w:rPr>
                <m:t>Elec</m:t>
              </m:r>
              <m:r>
                <m:rPr>
                  <m:sty m:val="p"/>
                </m:rPr>
                <w:rPr>
                  <w:rFonts w:ascii="Cambria Math" w:eastAsia="宋体" w:hAnsi="Cambria Math" w:cs="Times New Roman"/>
                  <w:szCs w:val="21"/>
                </w:rPr>
                <m:t>,</m:t>
              </m:r>
              <m:r>
                <w:rPr>
                  <w:rFonts w:ascii="Cambria Math" w:eastAsia="宋体" w:hAnsi="Cambria Math" w:cs="Times New Roman"/>
                  <w:szCs w:val="21"/>
                </w:rPr>
                <m:t>Heat</m:t>
              </m:r>
              <m:r>
                <m:rPr>
                  <m:sty m:val="p"/>
                </m:rPr>
                <w:rPr>
                  <w:rFonts w:ascii="Cambria Math" w:eastAsia="宋体" w:hAnsi="Cambria Math" w:cs="Times New Roman"/>
                  <w:szCs w:val="21"/>
                </w:rPr>
                <m:t>,</m:t>
              </m:r>
              <m:r>
                <w:rPr>
                  <w:rFonts w:ascii="Cambria Math" w:eastAsia="宋体" w:hAnsi="Cambria Math" w:cs="Times New Roman"/>
                  <w:szCs w:val="21"/>
                </w:rPr>
                <m:t>Cooling</m:t>
              </m:r>
              <m:r>
                <m:rPr>
                  <m:sty m:val="p"/>
                </m:rPr>
                <w:rPr>
                  <w:rFonts w:ascii="Cambria Math" w:eastAsia="宋体" w:hAnsi="Cambria Math" w:cs="Times New Roman"/>
                  <w:szCs w:val="21"/>
                </w:rPr>
                <m:t>}</m:t>
              </m:r>
            </m:e>
          </m:eqArr>
        </m:oMath>
      </m:oMathPara>
    </w:p>
    <w:p w14:paraId="5F578CB5" w14:textId="403C5FB5" w:rsidR="00401998" w:rsidRPr="00C613BE" w:rsidRDefault="00AA36B7"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Where </w:t>
      </w:r>
      <m:oMath>
        <m:sSub>
          <m:sSubPr>
            <m:ctrlPr>
              <w:rPr>
                <w:rFonts w:ascii="Cambria Math" w:eastAsia="宋体" w:hAnsi="Cambria Math" w:cs="Times New Roman"/>
                <w:szCs w:val="21"/>
              </w:rPr>
            </m:ctrlPr>
          </m:sSubPr>
          <m:e>
            <m:r>
              <w:rPr>
                <w:rFonts w:ascii="Cambria Math" w:eastAsia="宋体" w:hAnsi="Cambria Math" w:cs="Times New Roman"/>
                <w:szCs w:val="21"/>
              </w:rPr>
              <m:t>ASAI</m:t>
            </m:r>
          </m:e>
          <m:sub>
            <m:r>
              <w:rPr>
                <w:rFonts w:ascii="Cambria Math" w:eastAsia="宋体" w:hAnsi="Cambria Math" w:cs="Times New Roman"/>
                <w:szCs w:val="21"/>
              </w:rPr>
              <m:t>m</m:t>
            </m:r>
          </m:sub>
        </m:sSub>
      </m:oMath>
      <w:r w:rsidRPr="00C613BE">
        <w:rPr>
          <w:rFonts w:ascii="Times New Roman" w:eastAsia="宋体" w:hAnsi="Times New Roman" w:cs="Times New Roman"/>
          <w:szCs w:val="21"/>
        </w:rPr>
        <w:t xml:space="preserve"> is the average service availability index of system </w:t>
      </w:r>
      <m:oMath>
        <m:r>
          <w:rPr>
            <w:rFonts w:ascii="Cambria Math" w:eastAsia="宋体" w:hAnsi="Cambria Math" w:cs="Times New Roman"/>
            <w:szCs w:val="21"/>
          </w:rPr>
          <m:t>m</m:t>
        </m:r>
      </m:oMath>
      <w:r w:rsidRPr="00C613BE">
        <w:rPr>
          <w:rFonts w:ascii="Times New Roman" w:eastAsia="宋体" w:hAnsi="Times New Roman" w:cs="Times New Roman"/>
          <w:szCs w:val="21"/>
        </w:rPr>
        <w:t xml:space="preserve">, </w:t>
      </w:r>
      <m:oMath>
        <m:r>
          <w:rPr>
            <w:rFonts w:ascii="Cambria Math" w:eastAsia="宋体" w:hAnsi="Cambria Math" w:cs="Times New Roman"/>
            <w:szCs w:val="21"/>
          </w:rPr>
          <m:t>h</m:t>
        </m:r>
      </m:oMath>
      <w:r w:rsidRPr="00C613BE">
        <w:rPr>
          <w:rFonts w:ascii="Times New Roman" w:eastAsia="宋体" w:hAnsi="Times New Roman" w:cs="Times New Roman"/>
          <w:szCs w:val="21"/>
        </w:rPr>
        <w:t xml:space="preserve"> is the total </w:t>
      </w:r>
      <w:r w:rsidRPr="00C613BE">
        <w:rPr>
          <w:rFonts w:ascii="Times New Roman" w:eastAsia="宋体" w:hAnsi="Times New Roman" w:cs="Times New Roman"/>
          <w:szCs w:val="21"/>
        </w:rPr>
        <w:lastRenderedPageBreak/>
        <w:t xml:space="preserve">simulation time steps, </w:t>
      </w:r>
      <m:oMath>
        <m:sSub>
          <m:sSubPr>
            <m:ctrlPr>
              <w:rPr>
                <w:rFonts w:ascii="Cambria Math" w:eastAsia="宋体" w:hAnsi="Cambria Math" w:cs="Times New Roman"/>
                <w:szCs w:val="21"/>
              </w:rPr>
            </m:ctrlPr>
          </m:sSubPr>
          <m:e>
            <m:r>
              <w:rPr>
                <w:rFonts w:ascii="Cambria Math" w:eastAsia="宋体" w:hAnsi="Cambria Math" w:cs="Times New Roman"/>
                <w:szCs w:val="21"/>
              </w:rPr>
              <m:t>T</m:t>
            </m:r>
          </m:e>
          <m:sub>
            <m:r>
              <w:rPr>
                <w:rFonts w:ascii="Cambria Math" w:eastAsia="宋体" w:hAnsi="Cambria Math" w:cs="Times New Roman"/>
                <w:szCs w:val="21"/>
              </w:rPr>
              <m:t>m</m:t>
            </m:r>
            <m:r>
              <m:rPr>
                <m:sty m:val="p"/>
              </m:rPr>
              <w:rPr>
                <w:rFonts w:ascii="Cambria Math" w:eastAsia="宋体" w:hAnsi="Cambria Math" w:cs="Times New Roman"/>
                <w:szCs w:val="21"/>
              </w:rPr>
              <m:t>,</m:t>
            </m:r>
            <m:r>
              <w:rPr>
                <w:rFonts w:ascii="Cambria Math" w:eastAsia="宋体" w:hAnsi="Cambria Math" w:cs="Times New Roman"/>
                <w:szCs w:val="21"/>
              </w:rPr>
              <m:t>cut</m:t>
            </m:r>
          </m:sub>
        </m:sSub>
        <m:r>
          <m:rPr>
            <m:sty m:val="p"/>
          </m:rPr>
          <w:rPr>
            <w:rFonts w:ascii="Cambria Math" w:eastAsia="宋体" w:hAnsi="Cambria Math" w:cs="Times New Roman"/>
            <w:szCs w:val="21"/>
          </w:rPr>
          <m:t>(</m:t>
        </m:r>
        <m:r>
          <w:rPr>
            <w:rFonts w:ascii="Cambria Math" w:eastAsia="宋体" w:hAnsi="Cambria Math" w:cs="Times New Roman"/>
            <w:szCs w:val="21"/>
          </w:rPr>
          <m:t>t</m:t>
        </m:r>
        <m:r>
          <m:rPr>
            <m:sty m:val="p"/>
          </m:rPr>
          <w:rPr>
            <w:rFonts w:ascii="Cambria Math" w:eastAsia="宋体" w:hAnsi="Cambria Math" w:cs="Times New Roman"/>
            <w:szCs w:val="21"/>
          </w:rPr>
          <m:t>)</m:t>
        </m:r>
      </m:oMath>
      <w:r w:rsidR="00471253" w:rsidRPr="00C613BE">
        <w:rPr>
          <w:rFonts w:ascii="Times New Roman" w:eastAsia="宋体" w:hAnsi="Times New Roman" w:cs="Times New Roman"/>
          <w:szCs w:val="21"/>
        </w:rPr>
        <w:t xml:space="preserve"> </w:t>
      </w:r>
      <w:r w:rsidRPr="00C613BE">
        <w:rPr>
          <w:rFonts w:ascii="Times New Roman" w:eastAsia="宋体" w:hAnsi="Times New Roman" w:cs="Times New Roman"/>
          <w:szCs w:val="21"/>
        </w:rPr>
        <w:t xml:space="preserve">denotes the duration of supply deficit for system </w:t>
      </w:r>
      <m:oMath>
        <m:r>
          <w:rPr>
            <w:rFonts w:ascii="Cambria Math" w:eastAsia="宋体" w:hAnsi="Cambria Math" w:cs="Times New Roman"/>
            <w:szCs w:val="21"/>
          </w:rPr>
          <m:t>m</m:t>
        </m:r>
      </m:oMath>
      <w:r w:rsidRPr="00C613BE">
        <w:rPr>
          <w:rFonts w:ascii="Times New Roman" w:eastAsia="宋体" w:hAnsi="Times New Roman" w:cs="Times New Roman"/>
          <w:szCs w:val="21"/>
        </w:rPr>
        <w:t xml:space="preserve"> at time </w:t>
      </w:r>
      <m:oMath>
        <m:r>
          <w:rPr>
            <w:rFonts w:ascii="Cambria Math" w:eastAsia="宋体" w:hAnsi="Cambria Math" w:cs="Times New Roman"/>
            <w:szCs w:val="21"/>
          </w:rPr>
          <m:t>t</m:t>
        </m:r>
      </m:oMath>
      <w:r w:rsidRPr="00C613BE">
        <w:rPr>
          <w:rFonts w:ascii="Times New Roman" w:eastAsia="宋体" w:hAnsi="Times New Roman" w:cs="Times New Roman"/>
          <w:szCs w:val="21"/>
        </w:rPr>
        <w:t>.</w:t>
      </w:r>
    </w:p>
    <w:p w14:paraId="5D879D2E" w14:textId="15E92CA3" w:rsidR="009C7819" w:rsidRPr="00C613BE" w:rsidRDefault="000A09E7"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This reliability constraint (</w:t>
      </w:r>
      <m:oMath>
        <m:sSub>
          <m:sSubPr>
            <m:ctrlPr>
              <w:rPr>
                <w:rFonts w:ascii="Cambria Math" w:eastAsia="宋体" w:hAnsi="Cambria Math" w:cs="Times New Roman"/>
                <w:szCs w:val="21"/>
              </w:rPr>
            </m:ctrlPr>
          </m:sSubPr>
          <m:e>
            <m:r>
              <w:rPr>
                <w:rFonts w:ascii="Cambria Math" w:eastAsia="宋体" w:hAnsi="Cambria Math" w:cs="Times New Roman"/>
                <w:szCs w:val="21"/>
              </w:rPr>
              <m:t>ASAI</m:t>
            </m:r>
          </m:e>
          <m:sub>
            <m:r>
              <w:rPr>
                <w:rFonts w:ascii="Cambria Math" w:eastAsia="宋体" w:hAnsi="Cambria Math" w:cs="Times New Roman"/>
                <w:szCs w:val="21"/>
              </w:rPr>
              <m:t>m</m:t>
            </m:r>
          </m:sub>
        </m:sSub>
      </m:oMath>
      <w:r w:rsidRPr="00C613BE">
        <w:rPr>
          <w:rFonts w:ascii="Times New Roman" w:eastAsia="宋体" w:hAnsi="Times New Roman" w:cs="Times New Roman"/>
          <w:szCs w:val="21"/>
        </w:rPr>
        <w:t xml:space="preserve"> ≥ 99%) is embedded in the lower-level optimization model, ensuring the island’s energy system meets minimum supply requirements under disaster scenarios.</w:t>
      </w:r>
      <w:r w:rsidR="00346EAE" w:rsidRPr="00C613BE">
        <w:rPr>
          <w:rFonts w:ascii="Times New Roman" w:eastAsia="宋体" w:hAnsi="Times New Roman" w:cs="Times New Roman"/>
          <w:szCs w:val="21"/>
        </w:rPr>
        <w:t xml:space="preserve"> Detailed model formulations are provided in Supplementary Note 3.</w:t>
      </w:r>
    </w:p>
    <w:p w14:paraId="157CE901" w14:textId="77777777" w:rsidR="009C7819" w:rsidRPr="00C613BE" w:rsidRDefault="009C7819" w:rsidP="00C14660">
      <w:pPr>
        <w:rPr>
          <w:rFonts w:ascii="Times New Roman" w:eastAsia="宋体" w:hAnsi="Times New Roman" w:cs="Times New Roman"/>
          <w:szCs w:val="21"/>
        </w:rPr>
      </w:pPr>
    </w:p>
    <w:p w14:paraId="45736C49" w14:textId="035E8671" w:rsidR="009C7819" w:rsidRPr="00C613BE" w:rsidRDefault="00804C7B"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Data availability</w:t>
      </w:r>
    </w:p>
    <w:p w14:paraId="613D1630" w14:textId="0A07AEF1" w:rsidR="00B907DB" w:rsidRPr="00C613BE" w:rsidRDefault="007A709A" w:rsidP="00C14660">
      <w:pPr>
        <w:rPr>
          <w:rFonts w:ascii="Times New Roman" w:eastAsia="宋体" w:hAnsi="Times New Roman" w:cs="Times New Roman"/>
          <w:szCs w:val="21"/>
        </w:rPr>
      </w:pPr>
      <w:r w:rsidRPr="00C613BE">
        <w:rPr>
          <w:rFonts w:ascii="Times New Roman" w:eastAsia="宋体" w:hAnsi="Times New Roman" w:cs="Times New Roman"/>
          <w:szCs w:val="21"/>
        </w:rPr>
        <w:tab/>
      </w:r>
      <w:r w:rsidR="00D92935" w:rsidRPr="00C613BE">
        <w:rPr>
          <w:rFonts w:ascii="Times New Roman" w:eastAsia="宋体" w:hAnsi="Times New Roman" w:cs="Times New Roman"/>
          <w:szCs w:val="21"/>
        </w:rPr>
        <w:t>The wind and photovoltaic power generation profiles, as well as heating/cooling demand data, were obtained from the </w:t>
      </w:r>
      <w:r w:rsidR="00D92935" w:rsidRPr="00C613BE">
        <w:rPr>
          <w:rFonts w:ascii="Times New Roman" w:eastAsia="宋体" w:hAnsi="Times New Roman" w:cs="Times New Roman"/>
          <w:i/>
          <w:iCs/>
          <w:szCs w:val="21"/>
        </w:rPr>
        <w:t>Renewables.ninja</w:t>
      </w:r>
      <w:r w:rsidR="00D92935" w:rsidRPr="00C613BE">
        <w:rPr>
          <w:rFonts w:ascii="Times New Roman" w:eastAsia="宋体" w:hAnsi="Times New Roman" w:cs="Times New Roman"/>
          <w:szCs w:val="21"/>
        </w:rPr>
        <w:t> model and are available at </w:t>
      </w:r>
      <w:hyperlink r:id="rId16" w:tgtFrame="_blank" w:history="1">
        <w:r w:rsidR="00D92935" w:rsidRPr="00C613BE">
          <w:rPr>
            <w:rStyle w:val="af1"/>
            <w:rFonts w:ascii="Times New Roman" w:eastAsia="宋体" w:hAnsi="Times New Roman" w:cs="Times New Roman"/>
            <w:szCs w:val="21"/>
          </w:rPr>
          <w:t>https://www.renewables.ninja/</w:t>
        </w:r>
      </w:hyperlink>
      <w:r w:rsidR="00D92935" w:rsidRPr="00C613BE">
        <w:rPr>
          <w:rFonts w:ascii="Times New Roman" w:eastAsia="宋体" w:hAnsi="Times New Roman" w:cs="Times New Roman"/>
          <w:szCs w:val="21"/>
        </w:rPr>
        <w:t>. Wave energy and wave height data were sourced from the </w:t>
      </w:r>
      <w:r w:rsidR="00D92935" w:rsidRPr="00C613BE">
        <w:rPr>
          <w:rFonts w:ascii="Times New Roman" w:eastAsia="宋体" w:hAnsi="Times New Roman" w:cs="Times New Roman"/>
          <w:i/>
          <w:iCs/>
          <w:szCs w:val="21"/>
        </w:rPr>
        <w:t>Science Data Bank</w:t>
      </w:r>
      <w:r w:rsidR="00D92935" w:rsidRPr="00C613BE">
        <w:rPr>
          <w:rFonts w:ascii="Times New Roman" w:eastAsia="宋体" w:hAnsi="Times New Roman" w:cs="Times New Roman"/>
          <w:szCs w:val="21"/>
        </w:rPr>
        <w:t> repository at </w:t>
      </w:r>
      <w:hyperlink r:id="rId17" w:tgtFrame="_blank" w:history="1">
        <w:r w:rsidR="00D92935" w:rsidRPr="00C613BE">
          <w:rPr>
            <w:rStyle w:val="af1"/>
            <w:rFonts w:ascii="Times New Roman" w:eastAsia="宋体" w:hAnsi="Times New Roman" w:cs="Times New Roman"/>
            <w:szCs w:val="21"/>
          </w:rPr>
          <w:t>https://www.scidb.cn/en/detail?dataSetId=700894282ab745d0b420fe0844c924ae&amp;version=V2</w:t>
        </w:r>
      </w:hyperlink>
      <w:r w:rsidR="00D92935" w:rsidRPr="00C613BE">
        <w:rPr>
          <w:rFonts w:ascii="Times New Roman" w:eastAsia="宋体" w:hAnsi="Times New Roman" w:cs="Times New Roman"/>
          <w:szCs w:val="21"/>
        </w:rPr>
        <w:t>. Population distribution data were derived from the </w:t>
      </w:r>
      <w:r w:rsidR="00D92935" w:rsidRPr="00C613BE">
        <w:rPr>
          <w:rFonts w:ascii="Times New Roman" w:eastAsia="宋体" w:hAnsi="Times New Roman" w:cs="Times New Roman"/>
          <w:i/>
          <w:iCs/>
          <w:szCs w:val="21"/>
        </w:rPr>
        <w:t>LandScan</w:t>
      </w:r>
      <w:r w:rsidR="00D92935" w:rsidRPr="00C613BE">
        <w:rPr>
          <w:rFonts w:ascii="Times New Roman" w:eastAsia="宋体" w:hAnsi="Times New Roman" w:cs="Times New Roman"/>
          <w:szCs w:val="21"/>
        </w:rPr>
        <w:t> database hosted by Oak Ridge National Laboratory and are accessible at </w:t>
      </w:r>
      <w:hyperlink r:id="rId18" w:tgtFrame="_blank" w:history="1">
        <w:r w:rsidR="00D92935" w:rsidRPr="00C613BE">
          <w:rPr>
            <w:rStyle w:val="af1"/>
            <w:rFonts w:ascii="Times New Roman" w:eastAsia="宋体" w:hAnsi="Times New Roman" w:cs="Times New Roman"/>
            <w:szCs w:val="21"/>
          </w:rPr>
          <w:t>https://landscan.ornl.gov/</w:t>
        </w:r>
      </w:hyperlink>
      <w:r w:rsidR="00D92935" w:rsidRPr="00C613BE">
        <w:rPr>
          <w:rFonts w:ascii="Times New Roman" w:eastAsia="宋体" w:hAnsi="Times New Roman" w:cs="Times New Roman"/>
          <w:szCs w:val="21"/>
        </w:rPr>
        <w:t>. Climate model data were downloaded from the </w:t>
      </w:r>
      <w:r w:rsidR="00D92935" w:rsidRPr="00C613BE">
        <w:rPr>
          <w:rFonts w:ascii="Times New Roman" w:eastAsia="宋体" w:hAnsi="Times New Roman" w:cs="Times New Roman"/>
          <w:i/>
          <w:iCs/>
          <w:szCs w:val="21"/>
        </w:rPr>
        <w:t>Earth System Grid Federation (ESGF)</w:t>
      </w:r>
      <w:r w:rsidR="00D92935" w:rsidRPr="00C613BE">
        <w:rPr>
          <w:rFonts w:ascii="Times New Roman" w:eastAsia="宋体" w:hAnsi="Times New Roman" w:cs="Times New Roman"/>
          <w:szCs w:val="21"/>
        </w:rPr>
        <w:t> portal (</w:t>
      </w:r>
      <w:hyperlink r:id="rId19" w:tgtFrame="_blank" w:history="1">
        <w:r w:rsidR="00D92935" w:rsidRPr="00C613BE">
          <w:rPr>
            <w:rStyle w:val="af1"/>
            <w:rFonts w:ascii="Times New Roman" w:eastAsia="宋体" w:hAnsi="Times New Roman" w:cs="Times New Roman"/>
            <w:szCs w:val="21"/>
          </w:rPr>
          <w:t>https://esgf-ui.ceda.ac.uk/cog/search/cmip6-ceda/</w:t>
        </w:r>
      </w:hyperlink>
      <w:r w:rsidR="00D92935" w:rsidRPr="00C613BE">
        <w:rPr>
          <w:rFonts w:ascii="Times New Roman" w:eastAsia="宋体" w:hAnsi="Times New Roman" w:cs="Times New Roman"/>
          <w:szCs w:val="21"/>
        </w:rPr>
        <w:t>).</w:t>
      </w:r>
    </w:p>
    <w:p w14:paraId="6A514185" w14:textId="77777777" w:rsidR="00804C7B" w:rsidRPr="00C613BE" w:rsidRDefault="00804C7B" w:rsidP="00C14660">
      <w:pPr>
        <w:rPr>
          <w:rFonts w:ascii="Times New Roman" w:eastAsia="宋体" w:hAnsi="Times New Roman" w:cs="Times New Roman"/>
          <w:szCs w:val="21"/>
        </w:rPr>
      </w:pPr>
    </w:p>
    <w:p w14:paraId="4CB8FB92" w14:textId="18C7AD56" w:rsidR="00804C7B" w:rsidRPr="00C613BE" w:rsidRDefault="00804C7B"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Code availability</w:t>
      </w:r>
    </w:p>
    <w:p w14:paraId="2E651DBF" w14:textId="08C8F6A6" w:rsidR="00804C7B" w:rsidRPr="00C613BE" w:rsidRDefault="00FA7E30" w:rsidP="00C14660">
      <w:pPr>
        <w:ind w:firstLine="420"/>
        <w:rPr>
          <w:rFonts w:ascii="Times New Roman" w:eastAsia="宋体" w:hAnsi="Times New Roman" w:cs="Times New Roman"/>
          <w:szCs w:val="21"/>
          <w14:ligatures w14:val="none"/>
        </w:rPr>
      </w:pPr>
      <w:r w:rsidRPr="00C613BE">
        <w:rPr>
          <w:rFonts w:ascii="Times New Roman" w:eastAsia="宋体" w:hAnsi="Times New Roman" w:cs="Times New Roman"/>
          <w:szCs w:val="21"/>
          <w14:ligatures w14:val="none"/>
        </w:rPr>
        <w:t>The code used in this study is available in the GitHub repository at</w:t>
      </w:r>
      <w:r w:rsidR="00421B19" w:rsidRPr="00C613BE">
        <w:rPr>
          <w:rFonts w:ascii="Times New Roman" w:eastAsia="宋体" w:hAnsi="Times New Roman" w:cs="Times New Roman"/>
          <w:szCs w:val="21"/>
          <w14:ligatures w14:val="none"/>
        </w:rPr>
        <w:t xml:space="preserve"> </w:t>
      </w:r>
      <w:hyperlink r:id="rId20" w:history="1">
        <w:r w:rsidR="00421B19" w:rsidRPr="00C613BE">
          <w:rPr>
            <w:rStyle w:val="af1"/>
            <w:rFonts w:ascii="Times New Roman" w:eastAsia="宋体" w:hAnsi="Times New Roman" w:cs="Times New Roman"/>
            <w:szCs w:val="21"/>
            <w14:ligatures w14:val="none"/>
          </w:rPr>
          <w:t>https://github.com/LeventRRR/Island-energy-optimization.git</w:t>
        </w:r>
      </w:hyperlink>
      <w:r w:rsidR="00421B19" w:rsidRPr="00C613BE">
        <w:rPr>
          <w:rFonts w:ascii="Times New Roman" w:eastAsia="宋体" w:hAnsi="Times New Roman" w:cs="Times New Roman"/>
          <w:szCs w:val="21"/>
          <w14:ligatures w14:val="none"/>
        </w:rPr>
        <w:t>.</w:t>
      </w:r>
      <w:r w:rsidRPr="00C613BE">
        <w:rPr>
          <w:rFonts w:ascii="Times New Roman" w:eastAsia="宋体" w:hAnsi="Times New Roman" w:cs="Times New Roman"/>
          <w:szCs w:val="21"/>
          <w14:ligatures w14:val="none"/>
        </w:rPr>
        <w:t>The code was developed and tested using Python 3.11.7</w:t>
      </w:r>
      <w:r w:rsidR="004B081A" w:rsidRPr="00C613BE">
        <w:rPr>
          <w:rFonts w:ascii="Times New Roman" w:eastAsia="宋体" w:hAnsi="Times New Roman" w:cs="Times New Roman"/>
          <w:szCs w:val="21"/>
          <w14:ligatures w14:val="none"/>
        </w:rPr>
        <w:t xml:space="preserve"> and Gurobi 11.0.3.</w:t>
      </w:r>
    </w:p>
    <w:p w14:paraId="6EA3ED5C" w14:textId="77777777" w:rsidR="00FA7E30" w:rsidRPr="00C613BE" w:rsidRDefault="00FA7E30" w:rsidP="00C14660">
      <w:pPr>
        <w:rPr>
          <w:rFonts w:ascii="Times New Roman" w:eastAsia="宋体" w:hAnsi="Times New Roman" w:cs="Times New Roman"/>
          <w:szCs w:val="21"/>
          <w14:ligatures w14:val="none"/>
        </w:rPr>
      </w:pPr>
    </w:p>
    <w:p w14:paraId="39129A40" w14:textId="6BD462D4" w:rsidR="00A60395" w:rsidRPr="00C613BE" w:rsidRDefault="001D11CC"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Reference</w:t>
      </w:r>
    </w:p>
    <w:p w14:paraId="6DF75F90" w14:textId="77777777" w:rsidR="000A7AE0" w:rsidRPr="000A7AE0" w:rsidRDefault="00621DF2" w:rsidP="00C14660">
      <w:pPr>
        <w:pStyle w:val="af0"/>
        <w:spacing w:line="240" w:lineRule="auto"/>
        <w:rPr>
          <w:rFonts w:ascii="Times New Roman" w:hAnsi="Times New Roman" w:cs="Times New Roman"/>
        </w:rPr>
      </w:pPr>
      <w:r w:rsidRPr="00C613BE">
        <w:rPr>
          <w:rFonts w:eastAsia="宋体"/>
          <w:b/>
          <w:bCs/>
          <w:szCs w:val="21"/>
          <w14:ligatures w14:val="none"/>
        </w:rPr>
        <w:fldChar w:fldCharType="begin"/>
      </w:r>
      <w:r w:rsidR="000A7AE0">
        <w:rPr>
          <w:rFonts w:eastAsia="宋体" w:hint="eastAsia"/>
          <w:b/>
          <w:bCs/>
          <w:szCs w:val="21"/>
          <w14:ligatures w14:val="none"/>
        </w:rPr>
        <w:instrText xml:space="preserve"> ADDIN ZOTERO_BIBL {"uncited":[],"omitted":[],"custom":[]} CSL_BIBLIOGRAPHY </w:instrText>
      </w:r>
      <w:r w:rsidRPr="00C613BE">
        <w:rPr>
          <w:rFonts w:eastAsia="宋体"/>
          <w:b/>
          <w:bCs/>
          <w:szCs w:val="21"/>
          <w14:ligatures w14:val="none"/>
        </w:rPr>
        <w:fldChar w:fldCharType="separate"/>
      </w:r>
      <w:r w:rsidR="000A7AE0" w:rsidRPr="000A7AE0">
        <w:rPr>
          <w:rFonts w:ascii="Times New Roman" w:hAnsi="Times New Roman" w:cs="Times New Roman"/>
        </w:rPr>
        <w:t>1.</w:t>
      </w:r>
      <w:r w:rsidR="000A7AE0" w:rsidRPr="000A7AE0">
        <w:rPr>
          <w:rFonts w:ascii="Times New Roman" w:hAnsi="Times New Roman" w:cs="Times New Roman"/>
        </w:rPr>
        <w:tab/>
        <w:t>Renewable Energy Country Profiles - Special edition on islands. https://www.irena.org/publications/2012/Sep/Renewable-Energy-Country-Profiles---Special-edition-on-islands (2012).</w:t>
      </w:r>
    </w:p>
    <w:p w14:paraId="461A02E9"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w:t>
      </w:r>
      <w:r w:rsidRPr="000A7AE0">
        <w:rPr>
          <w:rFonts w:ascii="Times New Roman" w:hAnsi="Times New Roman" w:cs="Times New Roman"/>
        </w:rPr>
        <w:tab/>
        <w:t xml:space="preserve">Bertheau, P. Assessing the impact of renewable energy on local development and the Sustainable Development Goals: Insights from a small Philippine island. </w:t>
      </w:r>
      <w:r w:rsidRPr="000A7AE0">
        <w:rPr>
          <w:rFonts w:ascii="Times New Roman" w:hAnsi="Times New Roman" w:cs="Times New Roman"/>
          <w:i/>
          <w:iCs/>
        </w:rPr>
        <w:t>Technological Forecasting and Social Change</w:t>
      </w:r>
      <w:r w:rsidRPr="000A7AE0">
        <w:rPr>
          <w:rFonts w:ascii="Times New Roman" w:hAnsi="Times New Roman" w:cs="Times New Roman"/>
        </w:rPr>
        <w:t xml:space="preserve"> </w:t>
      </w:r>
      <w:r w:rsidRPr="000A7AE0">
        <w:rPr>
          <w:rFonts w:ascii="Times New Roman" w:hAnsi="Times New Roman" w:cs="Times New Roman"/>
          <w:b/>
          <w:bCs/>
        </w:rPr>
        <w:t>153</w:t>
      </w:r>
      <w:r w:rsidRPr="000A7AE0">
        <w:rPr>
          <w:rFonts w:ascii="Times New Roman" w:hAnsi="Times New Roman" w:cs="Times New Roman"/>
        </w:rPr>
        <w:t>, 119919 (2020).</w:t>
      </w:r>
    </w:p>
    <w:p w14:paraId="6EEE7830"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3.</w:t>
      </w:r>
      <w:r w:rsidRPr="000A7AE0">
        <w:rPr>
          <w:rFonts w:ascii="Times New Roman" w:hAnsi="Times New Roman" w:cs="Times New Roman"/>
        </w:rPr>
        <w:tab/>
        <w:t xml:space="preserve">Katsaprakakis, D. Al. Hybrid power plants in non-interconnected insular systems. </w:t>
      </w:r>
      <w:r w:rsidRPr="000A7AE0">
        <w:rPr>
          <w:rFonts w:ascii="Times New Roman" w:hAnsi="Times New Roman" w:cs="Times New Roman"/>
          <w:i/>
          <w:iCs/>
        </w:rPr>
        <w:t>Applied Energy</w:t>
      </w:r>
      <w:r w:rsidRPr="000A7AE0">
        <w:rPr>
          <w:rFonts w:ascii="Times New Roman" w:hAnsi="Times New Roman" w:cs="Times New Roman"/>
        </w:rPr>
        <w:t xml:space="preserve"> </w:t>
      </w:r>
      <w:r w:rsidRPr="000A7AE0">
        <w:rPr>
          <w:rFonts w:ascii="Times New Roman" w:hAnsi="Times New Roman" w:cs="Times New Roman"/>
          <w:b/>
          <w:bCs/>
        </w:rPr>
        <w:t>164</w:t>
      </w:r>
      <w:r w:rsidRPr="000A7AE0">
        <w:rPr>
          <w:rFonts w:ascii="Times New Roman" w:hAnsi="Times New Roman" w:cs="Times New Roman"/>
        </w:rPr>
        <w:t>, 268–283 (2016).</w:t>
      </w:r>
    </w:p>
    <w:p w14:paraId="4D85B795"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4.</w:t>
      </w:r>
      <w:r w:rsidRPr="000A7AE0">
        <w:rPr>
          <w:rFonts w:ascii="Times New Roman" w:hAnsi="Times New Roman" w:cs="Times New Roman"/>
        </w:rPr>
        <w:tab/>
        <w:t xml:space="preserve">Østergaard, P. A., Duic, N., Noorollahi, Y. &amp; Kalogirou, S. Latest progress in Sustainable Development using renewable energy technology. </w:t>
      </w:r>
      <w:r w:rsidRPr="000A7AE0">
        <w:rPr>
          <w:rFonts w:ascii="Times New Roman" w:hAnsi="Times New Roman" w:cs="Times New Roman"/>
          <w:i/>
          <w:iCs/>
        </w:rPr>
        <w:t>Renewable Energy</w:t>
      </w:r>
      <w:r w:rsidRPr="000A7AE0">
        <w:rPr>
          <w:rFonts w:ascii="Times New Roman" w:hAnsi="Times New Roman" w:cs="Times New Roman"/>
        </w:rPr>
        <w:t xml:space="preserve"> </w:t>
      </w:r>
      <w:r w:rsidRPr="000A7AE0">
        <w:rPr>
          <w:rFonts w:ascii="Times New Roman" w:hAnsi="Times New Roman" w:cs="Times New Roman"/>
          <w:b/>
          <w:bCs/>
        </w:rPr>
        <w:t>162</w:t>
      </w:r>
      <w:r w:rsidRPr="000A7AE0">
        <w:rPr>
          <w:rFonts w:ascii="Times New Roman" w:hAnsi="Times New Roman" w:cs="Times New Roman"/>
        </w:rPr>
        <w:t>, 1554–1562 (2020).</w:t>
      </w:r>
    </w:p>
    <w:p w14:paraId="1DE0A992"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5.</w:t>
      </w:r>
      <w:r w:rsidRPr="000A7AE0">
        <w:rPr>
          <w:rFonts w:ascii="Times New Roman" w:hAnsi="Times New Roman" w:cs="Times New Roman"/>
        </w:rPr>
        <w:tab/>
        <w:t>WorldRiskReport 2020 - Focus: Forced Displacement and Migration - World | ReliefWeb. https://reliefweb.int/report/world/worldriskreport-2020-focus-forced-displacement-and-migration (2020).</w:t>
      </w:r>
    </w:p>
    <w:p w14:paraId="4ED602BB"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6.</w:t>
      </w:r>
      <w:r w:rsidRPr="000A7AE0">
        <w:rPr>
          <w:rFonts w:ascii="Times New Roman" w:hAnsi="Times New Roman" w:cs="Times New Roman"/>
        </w:rPr>
        <w:tab/>
        <w:t xml:space="preserve">To, L. S. </w:t>
      </w:r>
      <w:r w:rsidRPr="000A7AE0">
        <w:rPr>
          <w:rFonts w:ascii="Times New Roman" w:hAnsi="Times New Roman" w:cs="Times New Roman"/>
          <w:i/>
          <w:iCs/>
        </w:rPr>
        <w:t>et al.</w:t>
      </w:r>
      <w:r w:rsidRPr="000A7AE0">
        <w:rPr>
          <w:rFonts w:ascii="Times New Roman" w:hAnsi="Times New Roman" w:cs="Times New Roman"/>
        </w:rPr>
        <w:t xml:space="preserve"> A research and innovation agenda for energy resilience in Pacific Island Countries and Territories. </w:t>
      </w:r>
      <w:r w:rsidRPr="000A7AE0">
        <w:rPr>
          <w:rFonts w:ascii="Times New Roman" w:hAnsi="Times New Roman" w:cs="Times New Roman"/>
          <w:i/>
          <w:iCs/>
        </w:rPr>
        <w:t>Nat Energy</w:t>
      </w:r>
      <w:r w:rsidRPr="000A7AE0">
        <w:rPr>
          <w:rFonts w:ascii="Times New Roman" w:hAnsi="Times New Roman" w:cs="Times New Roman"/>
        </w:rPr>
        <w:t xml:space="preserve"> </w:t>
      </w:r>
      <w:r w:rsidRPr="000A7AE0">
        <w:rPr>
          <w:rFonts w:ascii="Times New Roman" w:hAnsi="Times New Roman" w:cs="Times New Roman"/>
          <w:b/>
          <w:bCs/>
        </w:rPr>
        <w:t>6</w:t>
      </w:r>
      <w:r w:rsidRPr="000A7AE0">
        <w:rPr>
          <w:rFonts w:ascii="Times New Roman" w:hAnsi="Times New Roman" w:cs="Times New Roman"/>
        </w:rPr>
        <w:t>, 1098–1103 (2021).</w:t>
      </w:r>
    </w:p>
    <w:p w14:paraId="03339EB9"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7.</w:t>
      </w:r>
      <w:r w:rsidRPr="000A7AE0">
        <w:rPr>
          <w:rFonts w:ascii="Times New Roman" w:hAnsi="Times New Roman" w:cs="Times New Roman"/>
        </w:rPr>
        <w:tab/>
        <w:t xml:space="preserve">Bennett, J. A. </w:t>
      </w:r>
      <w:r w:rsidRPr="000A7AE0">
        <w:rPr>
          <w:rFonts w:ascii="Times New Roman" w:hAnsi="Times New Roman" w:cs="Times New Roman"/>
          <w:i/>
          <w:iCs/>
        </w:rPr>
        <w:t>et al.</w:t>
      </w:r>
      <w:r w:rsidRPr="000A7AE0">
        <w:rPr>
          <w:rFonts w:ascii="Times New Roman" w:hAnsi="Times New Roman" w:cs="Times New Roman"/>
        </w:rPr>
        <w:t xml:space="preserve"> Extending energy system modelling to include extreme weather risks and application to hurricane events in Puerto Rico. </w:t>
      </w:r>
      <w:r w:rsidRPr="000A7AE0">
        <w:rPr>
          <w:rFonts w:ascii="Times New Roman" w:hAnsi="Times New Roman" w:cs="Times New Roman"/>
          <w:i/>
          <w:iCs/>
        </w:rPr>
        <w:t>Nat Energy</w:t>
      </w:r>
      <w:r w:rsidRPr="000A7AE0">
        <w:rPr>
          <w:rFonts w:ascii="Times New Roman" w:hAnsi="Times New Roman" w:cs="Times New Roman"/>
        </w:rPr>
        <w:t xml:space="preserve"> </w:t>
      </w:r>
      <w:r w:rsidRPr="000A7AE0">
        <w:rPr>
          <w:rFonts w:ascii="Times New Roman" w:hAnsi="Times New Roman" w:cs="Times New Roman"/>
          <w:b/>
          <w:bCs/>
        </w:rPr>
        <w:t>6</w:t>
      </w:r>
      <w:r w:rsidRPr="000A7AE0">
        <w:rPr>
          <w:rFonts w:ascii="Times New Roman" w:hAnsi="Times New Roman" w:cs="Times New Roman"/>
        </w:rPr>
        <w:t>, 240–249 (2021).</w:t>
      </w:r>
    </w:p>
    <w:p w14:paraId="6E5CCA10"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8.</w:t>
      </w:r>
      <w:r w:rsidRPr="000A7AE0">
        <w:rPr>
          <w:rFonts w:ascii="Times New Roman" w:hAnsi="Times New Roman" w:cs="Times New Roman"/>
        </w:rPr>
        <w:tab/>
        <w:t xml:space="preserve">Prasad, R. D., Bansal, R. C. &amp; Raturi, A. A review of Fiji’s energy situation: Challenges and strategies as a small island developing state. </w:t>
      </w:r>
      <w:r w:rsidRPr="000A7AE0">
        <w:rPr>
          <w:rFonts w:ascii="Times New Roman" w:hAnsi="Times New Roman" w:cs="Times New Roman"/>
          <w:i/>
          <w:iCs/>
        </w:rPr>
        <w:t>Renewable and Sustainable Energy Reviews</w:t>
      </w:r>
      <w:r w:rsidRPr="000A7AE0">
        <w:rPr>
          <w:rFonts w:ascii="Times New Roman" w:hAnsi="Times New Roman" w:cs="Times New Roman"/>
        </w:rPr>
        <w:t xml:space="preserve"> </w:t>
      </w:r>
      <w:r w:rsidRPr="000A7AE0">
        <w:rPr>
          <w:rFonts w:ascii="Times New Roman" w:hAnsi="Times New Roman" w:cs="Times New Roman"/>
          <w:b/>
          <w:bCs/>
        </w:rPr>
        <w:t>75</w:t>
      </w:r>
      <w:r w:rsidRPr="000A7AE0">
        <w:rPr>
          <w:rFonts w:ascii="Times New Roman" w:hAnsi="Times New Roman" w:cs="Times New Roman"/>
        </w:rPr>
        <w:t>, 278–292 (2017).</w:t>
      </w:r>
    </w:p>
    <w:p w14:paraId="78C0C41E"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9.</w:t>
      </w:r>
      <w:r w:rsidRPr="000A7AE0">
        <w:rPr>
          <w:rFonts w:ascii="Times New Roman" w:hAnsi="Times New Roman" w:cs="Times New Roman"/>
        </w:rPr>
        <w:tab/>
        <w:t xml:space="preserve">Islands need resilient power systems more than ever. Clean energy can deliver – Analysis. </w:t>
      </w:r>
      <w:r w:rsidRPr="000A7AE0">
        <w:rPr>
          <w:rFonts w:ascii="Times New Roman" w:hAnsi="Times New Roman" w:cs="Times New Roman"/>
          <w:i/>
          <w:iCs/>
        </w:rPr>
        <w:t>IEA</w:t>
      </w:r>
      <w:r w:rsidRPr="000A7AE0">
        <w:rPr>
          <w:rFonts w:ascii="Times New Roman" w:hAnsi="Times New Roman" w:cs="Times New Roman"/>
        </w:rPr>
        <w:t xml:space="preserve"> https://www.iea.org/commentaries/islands-need-resilient-power-systems-more-than-ever-clean-energy-can-deliver (2024).</w:t>
      </w:r>
    </w:p>
    <w:p w14:paraId="1630B0DB"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lastRenderedPageBreak/>
        <w:t>10.</w:t>
      </w:r>
      <w:r w:rsidRPr="000A7AE0">
        <w:rPr>
          <w:rFonts w:ascii="Times New Roman" w:hAnsi="Times New Roman" w:cs="Times New Roman"/>
        </w:rPr>
        <w:tab/>
        <w:t xml:space="preserve">Hybrid renewable mini-grids on non-interconnected small islands: Review of case studies. </w:t>
      </w:r>
      <w:r w:rsidRPr="000A7AE0">
        <w:rPr>
          <w:rFonts w:ascii="Times New Roman" w:hAnsi="Times New Roman" w:cs="Times New Roman"/>
          <w:i/>
          <w:iCs/>
        </w:rPr>
        <w:t>Renewable and Sustainable Energy Reviews</w:t>
      </w:r>
      <w:r w:rsidRPr="000A7AE0">
        <w:rPr>
          <w:rFonts w:ascii="Times New Roman" w:hAnsi="Times New Roman" w:cs="Times New Roman"/>
        </w:rPr>
        <w:t xml:space="preserve"> </w:t>
      </w:r>
      <w:r w:rsidRPr="000A7AE0">
        <w:rPr>
          <w:rFonts w:ascii="Times New Roman" w:hAnsi="Times New Roman" w:cs="Times New Roman"/>
          <w:b/>
          <w:bCs/>
        </w:rPr>
        <w:t>116</w:t>
      </w:r>
      <w:r w:rsidRPr="000A7AE0">
        <w:rPr>
          <w:rFonts w:ascii="Times New Roman" w:hAnsi="Times New Roman" w:cs="Times New Roman"/>
        </w:rPr>
        <w:t>, 109417 (2019).</w:t>
      </w:r>
    </w:p>
    <w:p w14:paraId="64FD8212"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11.</w:t>
      </w:r>
      <w:r w:rsidRPr="000A7AE0">
        <w:rPr>
          <w:rFonts w:ascii="Times New Roman" w:hAnsi="Times New Roman" w:cs="Times New Roman"/>
        </w:rPr>
        <w:tab/>
        <w:t xml:space="preserve">Villarroel, N., Lazo, J. &amp; Watts, D. High energy costs in insular energy systems and the potential for integrating innovative renewable solutions: The case of Chile. </w:t>
      </w:r>
      <w:r w:rsidRPr="000A7AE0">
        <w:rPr>
          <w:rFonts w:ascii="Times New Roman" w:hAnsi="Times New Roman" w:cs="Times New Roman"/>
          <w:i/>
          <w:iCs/>
        </w:rPr>
        <w:t>Renewable Energy</w:t>
      </w:r>
      <w:r w:rsidRPr="000A7AE0">
        <w:rPr>
          <w:rFonts w:ascii="Times New Roman" w:hAnsi="Times New Roman" w:cs="Times New Roman"/>
        </w:rPr>
        <w:t xml:space="preserve"> </w:t>
      </w:r>
      <w:r w:rsidRPr="000A7AE0">
        <w:rPr>
          <w:rFonts w:ascii="Times New Roman" w:hAnsi="Times New Roman" w:cs="Times New Roman"/>
          <w:b/>
          <w:bCs/>
        </w:rPr>
        <w:t>246</w:t>
      </w:r>
      <w:r w:rsidRPr="000A7AE0">
        <w:rPr>
          <w:rFonts w:ascii="Times New Roman" w:hAnsi="Times New Roman" w:cs="Times New Roman"/>
        </w:rPr>
        <w:t>, 122967 (2025).</w:t>
      </w:r>
    </w:p>
    <w:p w14:paraId="6C73D570"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12.</w:t>
      </w:r>
      <w:r w:rsidRPr="000A7AE0">
        <w:rPr>
          <w:rFonts w:ascii="Times New Roman" w:hAnsi="Times New Roman" w:cs="Times New Roman"/>
        </w:rPr>
        <w:tab/>
        <w:t xml:space="preserve">Cross, S., Padfield, D., Ant-Wuorinen, R., King, P. &amp; Syri, S. Benchmarking island power systems: Results, challenges, and solutions for long term sustainability. </w:t>
      </w:r>
      <w:r w:rsidRPr="000A7AE0">
        <w:rPr>
          <w:rFonts w:ascii="Times New Roman" w:hAnsi="Times New Roman" w:cs="Times New Roman"/>
          <w:i/>
          <w:iCs/>
        </w:rPr>
        <w:t>Renewable and Sustainable Energy Reviews</w:t>
      </w:r>
      <w:r w:rsidRPr="000A7AE0">
        <w:rPr>
          <w:rFonts w:ascii="Times New Roman" w:hAnsi="Times New Roman" w:cs="Times New Roman"/>
        </w:rPr>
        <w:t xml:space="preserve"> </w:t>
      </w:r>
      <w:r w:rsidRPr="000A7AE0">
        <w:rPr>
          <w:rFonts w:ascii="Times New Roman" w:hAnsi="Times New Roman" w:cs="Times New Roman"/>
          <w:b/>
          <w:bCs/>
        </w:rPr>
        <w:t>80</w:t>
      </w:r>
      <w:r w:rsidRPr="000A7AE0">
        <w:rPr>
          <w:rFonts w:ascii="Times New Roman" w:hAnsi="Times New Roman" w:cs="Times New Roman"/>
        </w:rPr>
        <w:t>, 1269–1291 (2017).</w:t>
      </w:r>
    </w:p>
    <w:p w14:paraId="32D00EEB"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13.</w:t>
      </w:r>
      <w:r w:rsidRPr="000A7AE0">
        <w:rPr>
          <w:rFonts w:ascii="Times New Roman" w:hAnsi="Times New Roman" w:cs="Times New Roman"/>
        </w:rPr>
        <w:tab/>
        <w:t xml:space="preserve">Meschede, H., Bertheau, P., Khalili, S. &amp; Breyer, C. A review of 100% renewable energy scenarios on islands. </w:t>
      </w:r>
      <w:r w:rsidRPr="000A7AE0">
        <w:rPr>
          <w:rFonts w:ascii="Times New Roman" w:hAnsi="Times New Roman" w:cs="Times New Roman"/>
          <w:i/>
          <w:iCs/>
        </w:rPr>
        <w:t>WIREs Energy &amp; Environment</w:t>
      </w:r>
      <w:r w:rsidRPr="000A7AE0">
        <w:rPr>
          <w:rFonts w:ascii="Times New Roman" w:hAnsi="Times New Roman" w:cs="Times New Roman"/>
        </w:rPr>
        <w:t xml:space="preserve"> </w:t>
      </w:r>
      <w:r w:rsidRPr="000A7AE0">
        <w:rPr>
          <w:rFonts w:ascii="Times New Roman" w:hAnsi="Times New Roman" w:cs="Times New Roman"/>
          <w:b/>
          <w:bCs/>
        </w:rPr>
        <w:t>11</w:t>
      </w:r>
      <w:r w:rsidRPr="000A7AE0">
        <w:rPr>
          <w:rFonts w:ascii="Times New Roman" w:hAnsi="Times New Roman" w:cs="Times New Roman"/>
        </w:rPr>
        <w:t>, e450 (2022).</w:t>
      </w:r>
    </w:p>
    <w:p w14:paraId="72D91021"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14.</w:t>
      </w:r>
      <w:r w:rsidRPr="000A7AE0">
        <w:rPr>
          <w:rFonts w:ascii="Times New Roman" w:hAnsi="Times New Roman" w:cs="Times New Roman"/>
        </w:rPr>
        <w:tab/>
        <w:t>Global Energy Monitor. Global Gas Infrastructure Tracker. (2024).</w:t>
      </w:r>
    </w:p>
    <w:p w14:paraId="0C4CBC20"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15.</w:t>
      </w:r>
      <w:r w:rsidRPr="000A7AE0">
        <w:rPr>
          <w:rFonts w:ascii="Times New Roman" w:hAnsi="Times New Roman" w:cs="Times New Roman"/>
        </w:rPr>
        <w:tab/>
        <w:t>Vimmerstedt, Laura and Akar, et al. 2021 Annual Technology Baseline (ATB) Cost and Performance Data for Electricity Generation Technologies. https://doi.org/10.25984/1807473 (2021).</w:t>
      </w:r>
    </w:p>
    <w:p w14:paraId="76D9CE18"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16.</w:t>
      </w:r>
      <w:r w:rsidRPr="000A7AE0">
        <w:rPr>
          <w:rFonts w:ascii="Times New Roman" w:hAnsi="Times New Roman" w:cs="Times New Roman"/>
        </w:rPr>
        <w:tab/>
        <w:t>Electricity Storage Valuation Framework 2020. https://www.irena.org/publications/2020/Mar/Electricity-Storage-Valuation-Framework-2020 (2020).</w:t>
      </w:r>
    </w:p>
    <w:p w14:paraId="1CC470F2"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17.</w:t>
      </w:r>
      <w:r w:rsidRPr="000A7AE0">
        <w:rPr>
          <w:rFonts w:ascii="Times New Roman" w:hAnsi="Times New Roman" w:cs="Times New Roman"/>
        </w:rPr>
        <w:tab/>
        <w:t xml:space="preserve">Pfenninger, S. &amp; Staffell, I. Long-term patterns of European PV output using 30 years of validated hourly reanalysis and satellite data. </w:t>
      </w:r>
      <w:r w:rsidRPr="000A7AE0">
        <w:rPr>
          <w:rFonts w:ascii="Times New Roman" w:hAnsi="Times New Roman" w:cs="Times New Roman"/>
          <w:i/>
          <w:iCs/>
        </w:rPr>
        <w:t>Energy</w:t>
      </w:r>
      <w:r w:rsidRPr="000A7AE0">
        <w:rPr>
          <w:rFonts w:ascii="Times New Roman" w:hAnsi="Times New Roman" w:cs="Times New Roman"/>
        </w:rPr>
        <w:t xml:space="preserve"> </w:t>
      </w:r>
      <w:r w:rsidRPr="000A7AE0">
        <w:rPr>
          <w:rFonts w:ascii="Times New Roman" w:hAnsi="Times New Roman" w:cs="Times New Roman"/>
          <w:b/>
          <w:bCs/>
        </w:rPr>
        <w:t>114</w:t>
      </w:r>
      <w:r w:rsidRPr="000A7AE0">
        <w:rPr>
          <w:rFonts w:ascii="Times New Roman" w:hAnsi="Times New Roman" w:cs="Times New Roman"/>
        </w:rPr>
        <w:t>, 1251–1265 (2016).</w:t>
      </w:r>
    </w:p>
    <w:p w14:paraId="372DC211"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18.</w:t>
      </w:r>
      <w:r w:rsidRPr="000A7AE0">
        <w:rPr>
          <w:rFonts w:ascii="Times New Roman" w:hAnsi="Times New Roman" w:cs="Times New Roman"/>
        </w:rPr>
        <w:tab/>
        <w:t xml:space="preserve">Staffell, I. &amp; Pfenninger, S. Using bias-corrected reanalysis to simulate current and future wind power output. </w:t>
      </w:r>
      <w:r w:rsidRPr="000A7AE0">
        <w:rPr>
          <w:rFonts w:ascii="Times New Roman" w:hAnsi="Times New Roman" w:cs="Times New Roman"/>
          <w:i/>
          <w:iCs/>
        </w:rPr>
        <w:t>Energy</w:t>
      </w:r>
      <w:r w:rsidRPr="000A7AE0">
        <w:rPr>
          <w:rFonts w:ascii="Times New Roman" w:hAnsi="Times New Roman" w:cs="Times New Roman"/>
        </w:rPr>
        <w:t xml:space="preserve"> </w:t>
      </w:r>
      <w:r w:rsidRPr="000A7AE0">
        <w:rPr>
          <w:rFonts w:ascii="Times New Roman" w:hAnsi="Times New Roman" w:cs="Times New Roman"/>
          <w:b/>
          <w:bCs/>
        </w:rPr>
        <w:t>114</w:t>
      </w:r>
      <w:r w:rsidRPr="000A7AE0">
        <w:rPr>
          <w:rFonts w:ascii="Times New Roman" w:hAnsi="Times New Roman" w:cs="Times New Roman"/>
        </w:rPr>
        <w:t>, 1224–1239 (2016).</w:t>
      </w:r>
    </w:p>
    <w:p w14:paraId="717ACAF5"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19.</w:t>
      </w:r>
      <w:r w:rsidRPr="000A7AE0">
        <w:rPr>
          <w:rFonts w:ascii="Times New Roman" w:hAnsi="Times New Roman" w:cs="Times New Roman"/>
        </w:rPr>
        <w:tab/>
        <w:t xml:space="preserve">Jiang, X., Xie, B., Bao, Y. &amp; Song, Z. Global 3-hourly wind-wave and swell data for wave climate and wave energy resource research from 1950 to 2100. </w:t>
      </w:r>
      <w:r w:rsidRPr="000A7AE0">
        <w:rPr>
          <w:rFonts w:ascii="Times New Roman" w:hAnsi="Times New Roman" w:cs="Times New Roman"/>
          <w:i/>
          <w:iCs/>
        </w:rPr>
        <w:t>Sci Data</w:t>
      </w:r>
      <w:r w:rsidRPr="000A7AE0">
        <w:rPr>
          <w:rFonts w:ascii="Times New Roman" w:hAnsi="Times New Roman" w:cs="Times New Roman"/>
        </w:rPr>
        <w:t xml:space="preserve"> </w:t>
      </w:r>
      <w:r w:rsidRPr="000A7AE0">
        <w:rPr>
          <w:rFonts w:ascii="Times New Roman" w:hAnsi="Times New Roman" w:cs="Times New Roman"/>
          <w:b/>
          <w:bCs/>
        </w:rPr>
        <w:t>10</w:t>
      </w:r>
      <w:r w:rsidRPr="000A7AE0">
        <w:rPr>
          <w:rFonts w:ascii="Times New Roman" w:hAnsi="Times New Roman" w:cs="Times New Roman"/>
        </w:rPr>
        <w:t>, 225 (2023).</w:t>
      </w:r>
    </w:p>
    <w:p w14:paraId="0EC90F78"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20.</w:t>
      </w:r>
      <w:r w:rsidRPr="000A7AE0">
        <w:rPr>
          <w:rFonts w:ascii="Times New Roman" w:hAnsi="Times New Roman" w:cs="Times New Roman"/>
        </w:rPr>
        <w:tab/>
        <w:t xml:space="preserve">Staffell, I., Pfenninger, S. &amp; Johnson, N. A global model of hourly space heating and cooling demand at multiple spatial scales. </w:t>
      </w:r>
      <w:r w:rsidRPr="000A7AE0">
        <w:rPr>
          <w:rFonts w:ascii="Times New Roman" w:hAnsi="Times New Roman" w:cs="Times New Roman"/>
          <w:i/>
          <w:iCs/>
        </w:rPr>
        <w:t>Nat Energy</w:t>
      </w:r>
      <w:r w:rsidRPr="000A7AE0">
        <w:rPr>
          <w:rFonts w:ascii="Times New Roman" w:hAnsi="Times New Roman" w:cs="Times New Roman"/>
        </w:rPr>
        <w:t xml:space="preserve"> </w:t>
      </w:r>
      <w:r w:rsidRPr="000A7AE0">
        <w:rPr>
          <w:rFonts w:ascii="Times New Roman" w:hAnsi="Times New Roman" w:cs="Times New Roman"/>
          <w:b/>
          <w:bCs/>
        </w:rPr>
        <w:t>8</w:t>
      </w:r>
      <w:r w:rsidRPr="000A7AE0">
        <w:rPr>
          <w:rFonts w:ascii="Times New Roman" w:hAnsi="Times New Roman" w:cs="Times New Roman"/>
        </w:rPr>
        <w:t>, 1328–1344 (2023).</w:t>
      </w:r>
    </w:p>
    <w:p w14:paraId="526328D0"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21.</w:t>
      </w:r>
      <w:r w:rsidRPr="000A7AE0">
        <w:rPr>
          <w:rFonts w:ascii="Times New Roman" w:hAnsi="Times New Roman" w:cs="Times New Roman"/>
        </w:rPr>
        <w:tab/>
        <w:t xml:space="preserve">Muratori, M., Roberts, M. C., Sioshansi, R., Marano, V. &amp; Rizzoni, G. A highly resolved modeling technique to simulate residential power demand. </w:t>
      </w:r>
      <w:r w:rsidRPr="000A7AE0">
        <w:rPr>
          <w:rFonts w:ascii="Times New Roman" w:hAnsi="Times New Roman" w:cs="Times New Roman"/>
          <w:i/>
          <w:iCs/>
        </w:rPr>
        <w:t>Applied Energy</w:t>
      </w:r>
      <w:r w:rsidRPr="000A7AE0">
        <w:rPr>
          <w:rFonts w:ascii="Times New Roman" w:hAnsi="Times New Roman" w:cs="Times New Roman"/>
        </w:rPr>
        <w:t xml:space="preserve"> </w:t>
      </w:r>
      <w:r w:rsidRPr="000A7AE0">
        <w:rPr>
          <w:rFonts w:ascii="Times New Roman" w:hAnsi="Times New Roman" w:cs="Times New Roman"/>
          <w:b/>
          <w:bCs/>
        </w:rPr>
        <w:t>107</w:t>
      </w:r>
      <w:r w:rsidRPr="000A7AE0">
        <w:rPr>
          <w:rFonts w:ascii="Times New Roman" w:hAnsi="Times New Roman" w:cs="Times New Roman"/>
        </w:rPr>
        <w:t>, 465–473 (2013).</w:t>
      </w:r>
    </w:p>
    <w:p w14:paraId="41219292"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22.</w:t>
      </w:r>
      <w:r w:rsidRPr="000A7AE0">
        <w:rPr>
          <w:rFonts w:ascii="Times New Roman" w:hAnsi="Times New Roman" w:cs="Times New Roman"/>
        </w:rPr>
        <w:tab/>
        <w:t xml:space="preserve">Meschede, H., Holzapfel, P., Kadelbach, F. &amp; Hesselbach, J. Classification of global island regarding the opportunity of using RES. </w:t>
      </w:r>
      <w:r w:rsidRPr="000A7AE0">
        <w:rPr>
          <w:rFonts w:ascii="Times New Roman" w:hAnsi="Times New Roman" w:cs="Times New Roman"/>
          <w:i/>
          <w:iCs/>
        </w:rPr>
        <w:t>Applied Energy</w:t>
      </w:r>
      <w:r w:rsidRPr="000A7AE0">
        <w:rPr>
          <w:rFonts w:ascii="Times New Roman" w:hAnsi="Times New Roman" w:cs="Times New Roman"/>
        </w:rPr>
        <w:t xml:space="preserve"> </w:t>
      </w:r>
      <w:r w:rsidRPr="000A7AE0">
        <w:rPr>
          <w:rFonts w:ascii="Times New Roman" w:hAnsi="Times New Roman" w:cs="Times New Roman"/>
          <w:b/>
          <w:bCs/>
        </w:rPr>
        <w:t>175</w:t>
      </w:r>
      <w:r w:rsidRPr="000A7AE0">
        <w:rPr>
          <w:rFonts w:ascii="Times New Roman" w:hAnsi="Times New Roman" w:cs="Times New Roman"/>
        </w:rPr>
        <w:t>, 251–258 (2016).</w:t>
      </w:r>
    </w:p>
    <w:p w14:paraId="4000D12B"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23.</w:t>
      </w:r>
      <w:r w:rsidRPr="000A7AE0">
        <w:rPr>
          <w:rFonts w:ascii="Times New Roman" w:hAnsi="Times New Roman" w:cs="Times New Roman"/>
        </w:rPr>
        <w:tab/>
        <w:t>Rose, A., McKee, J., Sims, K., Bright, E., Reith, A., &amp; Urban, M. LandScan Global 2020 [Data set]. Oak Ridge National Laboratory. https://doi.org/10.48690/1523378 (2021).</w:t>
      </w:r>
    </w:p>
    <w:p w14:paraId="7A652833"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24.</w:t>
      </w:r>
      <w:r w:rsidRPr="000A7AE0">
        <w:rPr>
          <w:rFonts w:ascii="Times New Roman" w:hAnsi="Times New Roman" w:cs="Times New Roman"/>
        </w:rPr>
        <w:tab/>
        <w:t xml:space="preserve">Weigelt, P., Jetz, W. &amp; Kreft, H. Bioclimatic and physical characterization of the world’s islands. </w:t>
      </w:r>
      <w:r w:rsidRPr="000A7AE0">
        <w:rPr>
          <w:rFonts w:ascii="Times New Roman" w:hAnsi="Times New Roman" w:cs="Times New Roman"/>
          <w:i/>
          <w:iCs/>
        </w:rPr>
        <w:t>Proc. Natl. Acad. Sci. U.S.A.</w:t>
      </w:r>
      <w:r w:rsidRPr="000A7AE0">
        <w:rPr>
          <w:rFonts w:ascii="Times New Roman" w:hAnsi="Times New Roman" w:cs="Times New Roman"/>
        </w:rPr>
        <w:t xml:space="preserve"> </w:t>
      </w:r>
      <w:r w:rsidRPr="000A7AE0">
        <w:rPr>
          <w:rFonts w:ascii="Times New Roman" w:hAnsi="Times New Roman" w:cs="Times New Roman"/>
          <w:b/>
          <w:bCs/>
        </w:rPr>
        <w:t>110</w:t>
      </w:r>
      <w:r w:rsidRPr="000A7AE0">
        <w:rPr>
          <w:rFonts w:ascii="Times New Roman" w:hAnsi="Times New Roman" w:cs="Times New Roman"/>
        </w:rPr>
        <w:t>, 15307–15312 (2013).</w:t>
      </w:r>
    </w:p>
    <w:p w14:paraId="15C4149B"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25.</w:t>
      </w:r>
      <w:r w:rsidRPr="000A7AE0">
        <w:rPr>
          <w:rFonts w:ascii="Times New Roman" w:hAnsi="Times New Roman" w:cs="Times New Roman"/>
        </w:rPr>
        <w:tab/>
        <w:t>Mizuta, Ryo; Yoshimura, Hiromasa; Ose, Tomoaki; Hosaka, Masahiro; Yukimoto, Seiji. MRI MRI-AGCM3-2-H model output prepared for CMIP6 HighResMIP. World Data Center for Climate (WDCC) at DKRZ (2023).</w:t>
      </w:r>
    </w:p>
    <w:p w14:paraId="1E573D53"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26.</w:t>
      </w:r>
      <w:r w:rsidRPr="000A7AE0">
        <w:rPr>
          <w:rFonts w:ascii="Times New Roman" w:hAnsi="Times New Roman" w:cs="Times New Roman"/>
        </w:rPr>
        <w:tab/>
        <w:t xml:space="preserve">Zuo, H. </w:t>
      </w:r>
      <w:r w:rsidRPr="000A7AE0">
        <w:rPr>
          <w:rFonts w:ascii="Times New Roman" w:hAnsi="Times New Roman" w:cs="Times New Roman"/>
          <w:i/>
          <w:iCs/>
        </w:rPr>
        <w:t>et al.</w:t>
      </w:r>
      <w:r w:rsidRPr="000A7AE0">
        <w:rPr>
          <w:rFonts w:ascii="Times New Roman" w:hAnsi="Times New Roman" w:cs="Times New Roman"/>
        </w:rPr>
        <w:t xml:space="preserve"> Fragility analyses of offshore wind turbines subjected to aerodynamic and sea wave loadings. </w:t>
      </w:r>
      <w:r w:rsidRPr="000A7AE0">
        <w:rPr>
          <w:rFonts w:ascii="Times New Roman" w:hAnsi="Times New Roman" w:cs="Times New Roman"/>
          <w:i/>
          <w:iCs/>
        </w:rPr>
        <w:t>Renewable Energy</w:t>
      </w:r>
      <w:r w:rsidRPr="000A7AE0">
        <w:rPr>
          <w:rFonts w:ascii="Times New Roman" w:hAnsi="Times New Roman" w:cs="Times New Roman"/>
        </w:rPr>
        <w:t xml:space="preserve"> </w:t>
      </w:r>
      <w:r w:rsidRPr="000A7AE0">
        <w:rPr>
          <w:rFonts w:ascii="Times New Roman" w:hAnsi="Times New Roman" w:cs="Times New Roman"/>
          <w:b/>
          <w:bCs/>
        </w:rPr>
        <w:t>160</w:t>
      </w:r>
      <w:r w:rsidRPr="000A7AE0">
        <w:rPr>
          <w:rFonts w:ascii="Times New Roman" w:hAnsi="Times New Roman" w:cs="Times New Roman"/>
        </w:rPr>
        <w:t>, 1269–1282 (2020).</w:t>
      </w:r>
    </w:p>
    <w:p w14:paraId="13D869C7"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27.</w:t>
      </w:r>
      <w:r w:rsidRPr="000A7AE0">
        <w:rPr>
          <w:rFonts w:ascii="Times New Roman" w:hAnsi="Times New Roman" w:cs="Times New Roman"/>
        </w:rPr>
        <w:tab/>
        <w:t xml:space="preserve">Cheng, Y. </w:t>
      </w:r>
      <w:r w:rsidRPr="000A7AE0">
        <w:rPr>
          <w:rFonts w:ascii="Times New Roman" w:hAnsi="Times New Roman" w:cs="Times New Roman"/>
          <w:i/>
          <w:iCs/>
        </w:rPr>
        <w:t>et al.</w:t>
      </w:r>
      <w:r w:rsidRPr="000A7AE0">
        <w:rPr>
          <w:rFonts w:ascii="Times New Roman" w:hAnsi="Times New Roman" w:cs="Times New Roman"/>
        </w:rPr>
        <w:t xml:space="preserve"> Fragility and vulnerability development of offshore wind turbines under aero-hydro loadings. </w:t>
      </w:r>
      <w:r w:rsidRPr="000A7AE0">
        <w:rPr>
          <w:rFonts w:ascii="Times New Roman" w:hAnsi="Times New Roman" w:cs="Times New Roman"/>
          <w:i/>
          <w:iCs/>
        </w:rPr>
        <w:t>Engineering Structures</w:t>
      </w:r>
      <w:r w:rsidRPr="000A7AE0">
        <w:rPr>
          <w:rFonts w:ascii="Times New Roman" w:hAnsi="Times New Roman" w:cs="Times New Roman"/>
        </w:rPr>
        <w:t xml:space="preserve"> </w:t>
      </w:r>
      <w:r w:rsidRPr="000A7AE0">
        <w:rPr>
          <w:rFonts w:ascii="Times New Roman" w:hAnsi="Times New Roman" w:cs="Times New Roman"/>
          <w:b/>
          <w:bCs/>
        </w:rPr>
        <w:t>293</w:t>
      </w:r>
      <w:r w:rsidRPr="000A7AE0">
        <w:rPr>
          <w:rFonts w:ascii="Times New Roman" w:hAnsi="Times New Roman" w:cs="Times New Roman"/>
        </w:rPr>
        <w:t>, 116625 (2023).</w:t>
      </w:r>
    </w:p>
    <w:p w14:paraId="705EBBDA"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28.</w:t>
      </w:r>
      <w:r w:rsidRPr="000A7AE0">
        <w:rPr>
          <w:rFonts w:ascii="Times New Roman" w:hAnsi="Times New Roman" w:cs="Times New Roman"/>
        </w:rPr>
        <w:tab/>
        <w:t xml:space="preserve">Watson, E. B. &amp; Etemadi, A. H. Modeling Electrical Grid Resilience Under Hurricane Wind Conditions With Increased Solar and Wind Power Generation. </w:t>
      </w:r>
      <w:r w:rsidRPr="000A7AE0">
        <w:rPr>
          <w:rFonts w:ascii="Times New Roman" w:hAnsi="Times New Roman" w:cs="Times New Roman"/>
          <w:i/>
          <w:iCs/>
        </w:rPr>
        <w:t>IEEE Trans. Power Syst.</w:t>
      </w:r>
      <w:r w:rsidRPr="000A7AE0">
        <w:rPr>
          <w:rFonts w:ascii="Times New Roman" w:hAnsi="Times New Roman" w:cs="Times New Roman"/>
        </w:rPr>
        <w:t xml:space="preserve"> </w:t>
      </w:r>
      <w:r w:rsidRPr="000A7AE0">
        <w:rPr>
          <w:rFonts w:ascii="Times New Roman" w:hAnsi="Times New Roman" w:cs="Times New Roman"/>
          <w:b/>
          <w:bCs/>
        </w:rPr>
        <w:t>35</w:t>
      </w:r>
      <w:r w:rsidRPr="000A7AE0">
        <w:rPr>
          <w:rFonts w:ascii="Times New Roman" w:hAnsi="Times New Roman" w:cs="Times New Roman"/>
        </w:rPr>
        <w:t>, 929–937 (2020).</w:t>
      </w:r>
    </w:p>
    <w:p w14:paraId="7D597BC0"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lastRenderedPageBreak/>
        <w:t>29.</w:t>
      </w:r>
      <w:r w:rsidRPr="000A7AE0">
        <w:rPr>
          <w:rFonts w:ascii="Times New Roman" w:hAnsi="Times New Roman" w:cs="Times New Roman"/>
        </w:rPr>
        <w:tab/>
        <w:t xml:space="preserve">Martín Del Campo, J. O. &amp; Pozos-Estrada, A. Multi-hazard fragility analysis for a wind turbine support structure: An application to the Southwest of Mexico. </w:t>
      </w:r>
      <w:r w:rsidRPr="000A7AE0">
        <w:rPr>
          <w:rFonts w:ascii="Times New Roman" w:hAnsi="Times New Roman" w:cs="Times New Roman"/>
          <w:i/>
          <w:iCs/>
        </w:rPr>
        <w:t>Engineering Structures</w:t>
      </w:r>
      <w:r w:rsidRPr="000A7AE0">
        <w:rPr>
          <w:rFonts w:ascii="Times New Roman" w:hAnsi="Times New Roman" w:cs="Times New Roman"/>
        </w:rPr>
        <w:t xml:space="preserve"> </w:t>
      </w:r>
      <w:r w:rsidRPr="000A7AE0">
        <w:rPr>
          <w:rFonts w:ascii="Times New Roman" w:hAnsi="Times New Roman" w:cs="Times New Roman"/>
          <w:b/>
          <w:bCs/>
        </w:rPr>
        <w:t>209</w:t>
      </w:r>
      <w:r w:rsidRPr="000A7AE0">
        <w:rPr>
          <w:rFonts w:ascii="Times New Roman" w:hAnsi="Times New Roman" w:cs="Times New Roman"/>
        </w:rPr>
        <w:t>, 109929 (2020).</w:t>
      </w:r>
    </w:p>
    <w:p w14:paraId="6CED61C5"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30.</w:t>
      </w:r>
      <w:r w:rsidRPr="000A7AE0">
        <w:rPr>
          <w:rFonts w:ascii="Times New Roman" w:hAnsi="Times New Roman" w:cs="Times New Roman"/>
        </w:rPr>
        <w:tab/>
        <w:t xml:space="preserve">Seo, J., Pokhrel, J. &amp; Hu, J. W. Multi-Hazard Fragility Analysis of Offshore Wind Turbine Portfolios using Surrogate Models. </w:t>
      </w:r>
      <w:r w:rsidRPr="000A7AE0">
        <w:rPr>
          <w:rFonts w:ascii="Times New Roman" w:hAnsi="Times New Roman" w:cs="Times New Roman"/>
          <w:i/>
          <w:iCs/>
        </w:rPr>
        <w:t>Renewable and Sustainable Energy Reviews</w:t>
      </w:r>
      <w:r w:rsidRPr="000A7AE0">
        <w:rPr>
          <w:rFonts w:ascii="Times New Roman" w:hAnsi="Times New Roman" w:cs="Times New Roman"/>
        </w:rPr>
        <w:t xml:space="preserve"> </w:t>
      </w:r>
      <w:r w:rsidRPr="000A7AE0">
        <w:rPr>
          <w:rFonts w:ascii="Times New Roman" w:hAnsi="Times New Roman" w:cs="Times New Roman"/>
          <w:b/>
          <w:bCs/>
        </w:rPr>
        <w:t>165</w:t>
      </w:r>
      <w:r w:rsidRPr="000A7AE0">
        <w:rPr>
          <w:rFonts w:ascii="Times New Roman" w:hAnsi="Times New Roman" w:cs="Times New Roman"/>
        </w:rPr>
        <w:t>, 112552 (2022).</w:t>
      </w:r>
    </w:p>
    <w:p w14:paraId="69CCA77E"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31.</w:t>
      </w:r>
      <w:r w:rsidRPr="000A7AE0">
        <w:rPr>
          <w:rFonts w:ascii="Times New Roman" w:hAnsi="Times New Roman" w:cs="Times New Roman"/>
        </w:rPr>
        <w:tab/>
        <w:t xml:space="preserve">Jaimes, M. A., García‐Soto, A. D., Martín Del Campo, J. O. &amp; Pozos‐Estrada, A. Probabilistic risk assessment on wind turbine towers subjected to cyclone‐induced wind loads. </w:t>
      </w:r>
      <w:r w:rsidRPr="000A7AE0">
        <w:rPr>
          <w:rFonts w:ascii="Times New Roman" w:hAnsi="Times New Roman" w:cs="Times New Roman"/>
          <w:i/>
          <w:iCs/>
        </w:rPr>
        <w:t>Wind Energy</w:t>
      </w:r>
      <w:r w:rsidRPr="000A7AE0">
        <w:rPr>
          <w:rFonts w:ascii="Times New Roman" w:hAnsi="Times New Roman" w:cs="Times New Roman"/>
        </w:rPr>
        <w:t xml:space="preserve"> </w:t>
      </w:r>
      <w:r w:rsidRPr="000A7AE0">
        <w:rPr>
          <w:rFonts w:ascii="Times New Roman" w:hAnsi="Times New Roman" w:cs="Times New Roman"/>
          <w:b/>
          <w:bCs/>
        </w:rPr>
        <w:t>23</w:t>
      </w:r>
      <w:r w:rsidRPr="000A7AE0">
        <w:rPr>
          <w:rFonts w:ascii="Times New Roman" w:hAnsi="Times New Roman" w:cs="Times New Roman"/>
        </w:rPr>
        <w:t>, 528–546 (2020).</w:t>
      </w:r>
    </w:p>
    <w:p w14:paraId="6B428063"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32.</w:t>
      </w:r>
      <w:r w:rsidRPr="000A7AE0">
        <w:rPr>
          <w:rFonts w:ascii="Times New Roman" w:hAnsi="Times New Roman" w:cs="Times New Roman"/>
        </w:rPr>
        <w:tab/>
        <w:t xml:space="preserve">Göteman, M., Shahroozi, Z., Stavropoulou, C., Katsidoniotaki, E. &amp; Engström, J. Resilience of wave energy farms using metocean dependent failure rates and repair operations. </w:t>
      </w:r>
      <w:r w:rsidRPr="000A7AE0">
        <w:rPr>
          <w:rFonts w:ascii="Times New Roman" w:hAnsi="Times New Roman" w:cs="Times New Roman"/>
          <w:i/>
          <w:iCs/>
        </w:rPr>
        <w:t>Ocean Engineering</w:t>
      </w:r>
      <w:r w:rsidRPr="000A7AE0">
        <w:rPr>
          <w:rFonts w:ascii="Times New Roman" w:hAnsi="Times New Roman" w:cs="Times New Roman"/>
        </w:rPr>
        <w:t xml:space="preserve"> </w:t>
      </w:r>
      <w:r w:rsidRPr="000A7AE0">
        <w:rPr>
          <w:rFonts w:ascii="Times New Roman" w:hAnsi="Times New Roman" w:cs="Times New Roman"/>
          <w:b/>
          <w:bCs/>
        </w:rPr>
        <w:t>280</w:t>
      </w:r>
      <w:r w:rsidRPr="000A7AE0">
        <w:rPr>
          <w:rFonts w:ascii="Times New Roman" w:hAnsi="Times New Roman" w:cs="Times New Roman"/>
        </w:rPr>
        <w:t>, 114678 (2023).</w:t>
      </w:r>
    </w:p>
    <w:p w14:paraId="71443A37"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33.</w:t>
      </w:r>
      <w:r w:rsidRPr="000A7AE0">
        <w:rPr>
          <w:rFonts w:ascii="Times New Roman" w:hAnsi="Times New Roman" w:cs="Times New Roman"/>
        </w:rPr>
        <w:tab/>
        <w:t xml:space="preserve">Pokhrel, J. &amp; Seo, J. Statistical model for fragility estimates of offshore wind turbines subjected to aero-hydro dynamic loads. </w:t>
      </w:r>
      <w:r w:rsidRPr="000A7AE0">
        <w:rPr>
          <w:rFonts w:ascii="Times New Roman" w:hAnsi="Times New Roman" w:cs="Times New Roman"/>
          <w:i/>
          <w:iCs/>
        </w:rPr>
        <w:t>Renewable Energy</w:t>
      </w:r>
      <w:r w:rsidRPr="000A7AE0">
        <w:rPr>
          <w:rFonts w:ascii="Times New Roman" w:hAnsi="Times New Roman" w:cs="Times New Roman"/>
        </w:rPr>
        <w:t xml:space="preserve"> </w:t>
      </w:r>
      <w:r w:rsidRPr="000A7AE0">
        <w:rPr>
          <w:rFonts w:ascii="Times New Roman" w:hAnsi="Times New Roman" w:cs="Times New Roman"/>
          <w:b/>
          <w:bCs/>
        </w:rPr>
        <w:t>163</w:t>
      </w:r>
      <w:r w:rsidRPr="000A7AE0">
        <w:rPr>
          <w:rFonts w:ascii="Times New Roman" w:hAnsi="Times New Roman" w:cs="Times New Roman"/>
        </w:rPr>
        <w:t>, 1495–1507 (2021).</w:t>
      </w:r>
    </w:p>
    <w:p w14:paraId="617A51AE"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34.</w:t>
      </w:r>
      <w:r w:rsidRPr="000A7AE0">
        <w:rPr>
          <w:rFonts w:ascii="Times New Roman" w:hAnsi="Times New Roman" w:cs="Times New Roman"/>
        </w:rPr>
        <w:tab/>
        <w:t xml:space="preserve">Carroll, J., McDonald, A. &amp; McMillan, D. Failure rate, repair time and unscheduled O&amp;M cost analysis of offshore wind turbines. </w:t>
      </w:r>
      <w:r w:rsidRPr="000A7AE0">
        <w:rPr>
          <w:rFonts w:ascii="Times New Roman" w:hAnsi="Times New Roman" w:cs="Times New Roman"/>
          <w:i/>
          <w:iCs/>
        </w:rPr>
        <w:t>Wind Energy</w:t>
      </w:r>
      <w:r w:rsidRPr="000A7AE0">
        <w:rPr>
          <w:rFonts w:ascii="Times New Roman" w:hAnsi="Times New Roman" w:cs="Times New Roman"/>
        </w:rPr>
        <w:t xml:space="preserve"> </w:t>
      </w:r>
      <w:r w:rsidRPr="000A7AE0">
        <w:rPr>
          <w:rFonts w:ascii="Times New Roman" w:hAnsi="Times New Roman" w:cs="Times New Roman"/>
          <w:b/>
          <w:bCs/>
        </w:rPr>
        <w:t>19</w:t>
      </w:r>
      <w:r w:rsidRPr="000A7AE0">
        <w:rPr>
          <w:rFonts w:ascii="Times New Roman" w:hAnsi="Times New Roman" w:cs="Times New Roman"/>
        </w:rPr>
        <w:t>, 1107–1119 (2016).</w:t>
      </w:r>
    </w:p>
    <w:p w14:paraId="2C9C6A3C"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35.</w:t>
      </w:r>
      <w:r w:rsidRPr="000A7AE0">
        <w:rPr>
          <w:rFonts w:ascii="Times New Roman" w:hAnsi="Times New Roman" w:cs="Times New Roman"/>
        </w:rPr>
        <w:tab/>
        <w:t xml:space="preserve">Oprea, S.-V., Bara, A., Preotescu, D. &amp; Elefterescu, L. Photovoltaic Power Plants (PV-PP) Reliability Indicators for Improving Operation and Maintenance Activities. A Case Study of PV-PP Agigea Located in Romania. </w:t>
      </w:r>
      <w:r w:rsidRPr="000A7AE0">
        <w:rPr>
          <w:rFonts w:ascii="Times New Roman" w:hAnsi="Times New Roman" w:cs="Times New Roman"/>
          <w:i/>
          <w:iCs/>
        </w:rPr>
        <w:t>IEEE Access</w:t>
      </w:r>
      <w:r w:rsidRPr="000A7AE0">
        <w:rPr>
          <w:rFonts w:ascii="Times New Roman" w:hAnsi="Times New Roman" w:cs="Times New Roman"/>
        </w:rPr>
        <w:t xml:space="preserve"> </w:t>
      </w:r>
      <w:r w:rsidRPr="000A7AE0">
        <w:rPr>
          <w:rFonts w:ascii="Times New Roman" w:hAnsi="Times New Roman" w:cs="Times New Roman"/>
          <w:b/>
          <w:bCs/>
        </w:rPr>
        <w:t>7</w:t>
      </w:r>
      <w:r w:rsidRPr="000A7AE0">
        <w:rPr>
          <w:rFonts w:ascii="Times New Roman" w:hAnsi="Times New Roman" w:cs="Times New Roman"/>
        </w:rPr>
        <w:t>, 39142–39157 (2019).</w:t>
      </w:r>
    </w:p>
    <w:p w14:paraId="34164AEE" w14:textId="78AFD1A6" w:rsidR="00621DF2" w:rsidRPr="00C613BE" w:rsidRDefault="00621DF2"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fldChar w:fldCharType="end"/>
      </w:r>
    </w:p>
    <w:p w14:paraId="75308C9E" w14:textId="77777777" w:rsidR="00F4530D" w:rsidRPr="00C613BE" w:rsidRDefault="00F4530D" w:rsidP="00C14660">
      <w:pPr>
        <w:rPr>
          <w:rFonts w:ascii="Times New Roman" w:eastAsia="宋体" w:hAnsi="Times New Roman" w:cs="Times New Roman"/>
          <w:b/>
          <w:bCs/>
          <w:szCs w:val="21"/>
          <w14:ligatures w14:val="none"/>
        </w:rPr>
      </w:pPr>
    </w:p>
    <w:p w14:paraId="0868FC50" w14:textId="77777777" w:rsidR="00F4530D" w:rsidRPr="00C613BE" w:rsidRDefault="00F4530D" w:rsidP="00C14660">
      <w:pPr>
        <w:rPr>
          <w:rFonts w:ascii="Times New Roman" w:eastAsia="宋体" w:hAnsi="Times New Roman" w:cs="Times New Roman"/>
          <w:b/>
          <w:bCs/>
          <w:szCs w:val="21"/>
          <w14:ligatures w14:val="none"/>
        </w:rPr>
      </w:pPr>
    </w:p>
    <w:sectPr w:rsidR="00F4530D" w:rsidRPr="00C613BE">
      <w:footerReference w:type="default" r:id="rId21"/>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82B9E5" w14:textId="77777777" w:rsidR="008D013B" w:rsidRDefault="008D013B" w:rsidP="00B35394">
      <w:pPr>
        <w:rPr>
          <w:rFonts w:hint="eastAsia"/>
        </w:rPr>
      </w:pPr>
      <w:r>
        <w:separator/>
      </w:r>
    </w:p>
  </w:endnote>
  <w:endnote w:type="continuationSeparator" w:id="0">
    <w:p w14:paraId="1C4A0CEE" w14:textId="77777777" w:rsidR="008D013B" w:rsidRDefault="008D013B" w:rsidP="00B3539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1468857"/>
      <w:docPartObj>
        <w:docPartGallery w:val="Page Numbers (Bottom of Page)"/>
        <w:docPartUnique/>
      </w:docPartObj>
    </w:sdtPr>
    <w:sdtContent>
      <w:p w14:paraId="0774E653" w14:textId="1FC2686E" w:rsidR="00621DF2" w:rsidRDefault="00621DF2">
        <w:pPr>
          <w:pStyle w:val="a6"/>
          <w:jc w:val="center"/>
          <w:rPr>
            <w:rFonts w:hint="eastAsia"/>
          </w:rPr>
        </w:pPr>
        <w:r>
          <w:fldChar w:fldCharType="begin"/>
        </w:r>
        <w:r>
          <w:instrText>PAGE   \* MERGEFORMAT</w:instrText>
        </w:r>
        <w:r>
          <w:fldChar w:fldCharType="separate"/>
        </w:r>
        <w:r>
          <w:rPr>
            <w:lang w:val="zh-CN"/>
          </w:rPr>
          <w:t>2</w:t>
        </w:r>
        <w:r>
          <w:fldChar w:fldCharType="end"/>
        </w:r>
      </w:p>
    </w:sdtContent>
  </w:sdt>
  <w:p w14:paraId="11AD61A9" w14:textId="77777777" w:rsidR="00621DF2" w:rsidRDefault="00621DF2">
    <w:pPr>
      <w:pStyle w:val="a6"/>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4BDFEE" w14:textId="77777777" w:rsidR="008D013B" w:rsidRDefault="008D013B" w:rsidP="00B35394">
      <w:pPr>
        <w:rPr>
          <w:rFonts w:hint="eastAsia"/>
        </w:rPr>
      </w:pPr>
      <w:r>
        <w:separator/>
      </w:r>
    </w:p>
  </w:footnote>
  <w:footnote w:type="continuationSeparator" w:id="0">
    <w:p w14:paraId="324821DA" w14:textId="77777777" w:rsidR="008D013B" w:rsidRDefault="008D013B" w:rsidP="00B3539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243A1B"/>
    <w:multiLevelType w:val="multilevel"/>
    <w:tmpl w:val="DE5868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614314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318"/>
    <w:rsid w:val="00000A6D"/>
    <w:rsid w:val="00000A86"/>
    <w:rsid w:val="00001DD2"/>
    <w:rsid w:val="0000243A"/>
    <w:rsid w:val="00002492"/>
    <w:rsid w:val="0000290F"/>
    <w:rsid w:val="000036AD"/>
    <w:rsid w:val="000036B6"/>
    <w:rsid w:val="00004B80"/>
    <w:rsid w:val="00006D38"/>
    <w:rsid w:val="00011A48"/>
    <w:rsid w:val="00011B25"/>
    <w:rsid w:val="0001321C"/>
    <w:rsid w:val="0001333F"/>
    <w:rsid w:val="000141FD"/>
    <w:rsid w:val="00014FEC"/>
    <w:rsid w:val="00016AFA"/>
    <w:rsid w:val="00021BE7"/>
    <w:rsid w:val="00022979"/>
    <w:rsid w:val="00025D7E"/>
    <w:rsid w:val="0003059A"/>
    <w:rsid w:val="00031C15"/>
    <w:rsid w:val="000325B5"/>
    <w:rsid w:val="000327DD"/>
    <w:rsid w:val="00033BA3"/>
    <w:rsid w:val="000371C4"/>
    <w:rsid w:val="000376B3"/>
    <w:rsid w:val="00040682"/>
    <w:rsid w:val="00041AF6"/>
    <w:rsid w:val="00041FC1"/>
    <w:rsid w:val="00042122"/>
    <w:rsid w:val="00042505"/>
    <w:rsid w:val="00042D4F"/>
    <w:rsid w:val="000438C9"/>
    <w:rsid w:val="00044540"/>
    <w:rsid w:val="000450DD"/>
    <w:rsid w:val="00046E40"/>
    <w:rsid w:val="00050521"/>
    <w:rsid w:val="000508E1"/>
    <w:rsid w:val="00050C18"/>
    <w:rsid w:val="00053C37"/>
    <w:rsid w:val="000552EF"/>
    <w:rsid w:val="00055936"/>
    <w:rsid w:val="00055D5C"/>
    <w:rsid w:val="00056561"/>
    <w:rsid w:val="00056958"/>
    <w:rsid w:val="0006003F"/>
    <w:rsid w:val="000609EC"/>
    <w:rsid w:val="00061889"/>
    <w:rsid w:val="000629ED"/>
    <w:rsid w:val="00063F87"/>
    <w:rsid w:val="00063FB7"/>
    <w:rsid w:val="000649F8"/>
    <w:rsid w:val="00065232"/>
    <w:rsid w:val="00065418"/>
    <w:rsid w:val="00065464"/>
    <w:rsid w:val="00065F43"/>
    <w:rsid w:val="000674C8"/>
    <w:rsid w:val="00072A4D"/>
    <w:rsid w:val="00072F9B"/>
    <w:rsid w:val="000743BE"/>
    <w:rsid w:val="00074BAE"/>
    <w:rsid w:val="00075995"/>
    <w:rsid w:val="000760CD"/>
    <w:rsid w:val="000765EE"/>
    <w:rsid w:val="000767CE"/>
    <w:rsid w:val="00077100"/>
    <w:rsid w:val="00080BF5"/>
    <w:rsid w:val="00081823"/>
    <w:rsid w:val="00081BF4"/>
    <w:rsid w:val="00081E45"/>
    <w:rsid w:val="00082D4E"/>
    <w:rsid w:val="00082E41"/>
    <w:rsid w:val="0008360B"/>
    <w:rsid w:val="0008508D"/>
    <w:rsid w:val="0008512C"/>
    <w:rsid w:val="00085179"/>
    <w:rsid w:val="000853CB"/>
    <w:rsid w:val="00085BF8"/>
    <w:rsid w:val="00085E69"/>
    <w:rsid w:val="0009021D"/>
    <w:rsid w:val="000916BA"/>
    <w:rsid w:val="00092275"/>
    <w:rsid w:val="00092757"/>
    <w:rsid w:val="00094CD6"/>
    <w:rsid w:val="0009584F"/>
    <w:rsid w:val="00095881"/>
    <w:rsid w:val="00097048"/>
    <w:rsid w:val="000A09E7"/>
    <w:rsid w:val="000A0BB6"/>
    <w:rsid w:val="000A0CAE"/>
    <w:rsid w:val="000A1B9B"/>
    <w:rsid w:val="000A2C19"/>
    <w:rsid w:val="000A5CA3"/>
    <w:rsid w:val="000A6B6D"/>
    <w:rsid w:val="000A70D2"/>
    <w:rsid w:val="000A7AE0"/>
    <w:rsid w:val="000B014D"/>
    <w:rsid w:val="000B06F1"/>
    <w:rsid w:val="000B0B55"/>
    <w:rsid w:val="000B23B9"/>
    <w:rsid w:val="000B3551"/>
    <w:rsid w:val="000B3730"/>
    <w:rsid w:val="000B3C6C"/>
    <w:rsid w:val="000B5919"/>
    <w:rsid w:val="000B65E0"/>
    <w:rsid w:val="000B7B64"/>
    <w:rsid w:val="000B7ED2"/>
    <w:rsid w:val="000C0813"/>
    <w:rsid w:val="000C0B9E"/>
    <w:rsid w:val="000C1568"/>
    <w:rsid w:val="000C3C72"/>
    <w:rsid w:val="000C43A7"/>
    <w:rsid w:val="000C448E"/>
    <w:rsid w:val="000C45D9"/>
    <w:rsid w:val="000C5F88"/>
    <w:rsid w:val="000C6AE1"/>
    <w:rsid w:val="000D151B"/>
    <w:rsid w:val="000D1CEB"/>
    <w:rsid w:val="000D30A4"/>
    <w:rsid w:val="000D3C55"/>
    <w:rsid w:val="000D4568"/>
    <w:rsid w:val="000D473F"/>
    <w:rsid w:val="000D52AF"/>
    <w:rsid w:val="000D5EA5"/>
    <w:rsid w:val="000D6F59"/>
    <w:rsid w:val="000D7030"/>
    <w:rsid w:val="000E159F"/>
    <w:rsid w:val="000E237D"/>
    <w:rsid w:val="000E262C"/>
    <w:rsid w:val="000E5B32"/>
    <w:rsid w:val="000E6017"/>
    <w:rsid w:val="000E6756"/>
    <w:rsid w:val="000E7423"/>
    <w:rsid w:val="000E7521"/>
    <w:rsid w:val="000F1DCD"/>
    <w:rsid w:val="000F1F5F"/>
    <w:rsid w:val="000F270C"/>
    <w:rsid w:val="000F2A59"/>
    <w:rsid w:val="000F30D8"/>
    <w:rsid w:val="000F3BD2"/>
    <w:rsid w:val="000F42BA"/>
    <w:rsid w:val="000F4975"/>
    <w:rsid w:val="000F4C32"/>
    <w:rsid w:val="000F5B21"/>
    <w:rsid w:val="000F6890"/>
    <w:rsid w:val="000F75F3"/>
    <w:rsid w:val="000F7F4F"/>
    <w:rsid w:val="0010031A"/>
    <w:rsid w:val="00100535"/>
    <w:rsid w:val="0010073D"/>
    <w:rsid w:val="00101491"/>
    <w:rsid w:val="00101C0B"/>
    <w:rsid w:val="00102675"/>
    <w:rsid w:val="00103BAD"/>
    <w:rsid w:val="00103EE7"/>
    <w:rsid w:val="00103FD2"/>
    <w:rsid w:val="001078A4"/>
    <w:rsid w:val="00107B37"/>
    <w:rsid w:val="0011054D"/>
    <w:rsid w:val="001108C0"/>
    <w:rsid w:val="00111A50"/>
    <w:rsid w:val="00111C04"/>
    <w:rsid w:val="001120BE"/>
    <w:rsid w:val="001124C0"/>
    <w:rsid w:val="00114DD0"/>
    <w:rsid w:val="00114E98"/>
    <w:rsid w:val="001152E7"/>
    <w:rsid w:val="0011570C"/>
    <w:rsid w:val="001161AA"/>
    <w:rsid w:val="001163E1"/>
    <w:rsid w:val="0011682B"/>
    <w:rsid w:val="00116E21"/>
    <w:rsid w:val="00117712"/>
    <w:rsid w:val="00117A78"/>
    <w:rsid w:val="00120482"/>
    <w:rsid w:val="001204A8"/>
    <w:rsid w:val="00120690"/>
    <w:rsid w:val="00121671"/>
    <w:rsid w:val="00121762"/>
    <w:rsid w:val="00121C33"/>
    <w:rsid w:val="00123B0B"/>
    <w:rsid w:val="00124759"/>
    <w:rsid w:val="00126BD8"/>
    <w:rsid w:val="001274A5"/>
    <w:rsid w:val="00127E5A"/>
    <w:rsid w:val="00130C36"/>
    <w:rsid w:val="00131FEF"/>
    <w:rsid w:val="00132C5D"/>
    <w:rsid w:val="001334B2"/>
    <w:rsid w:val="001351BF"/>
    <w:rsid w:val="00135693"/>
    <w:rsid w:val="00136271"/>
    <w:rsid w:val="00136DF9"/>
    <w:rsid w:val="0013720C"/>
    <w:rsid w:val="001406C3"/>
    <w:rsid w:val="00140848"/>
    <w:rsid w:val="00141E20"/>
    <w:rsid w:val="001422C6"/>
    <w:rsid w:val="001423E5"/>
    <w:rsid w:val="001427B0"/>
    <w:rsid w:val="0014419A"/>
    <w:rsid w:val="0014512F"/>
    <w:rsid w:val="00145567"/>
    <w:rsid w:val="001456E2"/>
    <w:rsid w:val="00145EF8"/>
    <w:rsid w:val="0014672D"/>
    <w:rsid w:val="0015064A"/>
    <w:rsid w:val="00150E4D"/>
    <w:rsid w:val="00150F1C"/>
    <w:rsid w:val="001512F7"/>
    <w:rsid w:val="00151DA3"/>
    <w:rsid w:val="00151E89"/>
    <w:rsid w:val="00152CDA"/>
    <w:rsid w:val="00154CE2"/>
    <w:rsid w:val="001562A7"/>
    <w:rsid w:val="00156851"/>
    <w:rsid w:val="00161444"/>
    <w:rsid w:val="00161621"/>
    <w:rsid w:val="00161CEB"/>
    <w:rsid w:val="001625CB"/>
    <w:rsid w:val="00162666"/>
    <w:rsid w:val="00163A54"/>
    <w:rsid w:val="00164412"/>
    <w:rsid w:val="00164529"/>
    <w:rsid w:val="0016464A"/>
    <w:rsid w:val="00167F30"/>
    <w:rsid w:val="001708B5"/>
    <w:rsid w:val="00173487"/>
    <w:rsid w:val="00173E1A"/>
    <w:rsid w:val="00175025"/>
    <w:rsid w:val="0017502D"/>
    <w:rsid w:val="00175992"/>
    <w:rsid w:val="00176608"/>
    <w:rsid w:val="00176AAD"/>
    <w:rsid w:val="0018047B"/>
    <w:rsid w:val="00180EB4"/>
    <w:rsid w:val="00181BC7"/>
    <w:rsid w:val="00181EA2"/>
    <w:rsid w:val="00181FE7"/>
    <w:rsid w:val="00182D73"/>
    <w:rsid w:val="0018454B"/>
    <w:rsid w:val="00185463"/>
    <w:rsid w:val="00185E0E"/>
    <w:rsid w:val="00186CA0"/>
    <w:rsid w:val="00186F11"/>
    <w:rsid w:val="001878F3"/>
    <w:rsid w:val="00190897"/>
    <w:rsid w:val="00191078"/>
    <w:rsid w:val="0019119B"/>
    <w:rsid w:val="001920CE"/>
    <w:rsid w:val="001934D2"/>
    <w:rsid w:val="00193AFF"/>
    <w:rsid w:val="00194D2D"/>
    <w:rsid w:val="00195A78"/>
    <w:rsid w:val="001979BF"/>
    <w:rsid w:val="00197C7B"/>
    <w:rsid w:val="001A03DC"/>
    <w:rsid w:val="001A07C5"/>
    <w:rsid w:val="001A0977"/>
    <w:rsid w:val="001A19A0"/>
    <w:rsid w:val="001A2699"/>
    <w:rsid w:val="001A2B45"/>
    <w:rsid w:val="001A4AFD"/>
    <w:rsid w:val="001A4DDB"/>
    <w:rsid w:val="001A55CD"/>
    <w:rsid w:val="001A5AB3"/>
    <w:rsid w:val="001A5C7D"/>
    <w:rsid w:val="001A6190"/>
    <w:rsid w:val="001A79EE"/>
    <w:rsid w:val="001B33BC"/>
    <w:rsid w:val="001B7518"/>
    <w:rsid w:val="001C236A"/>
    <w:rsid w:val="001C3656"/>
    <w:rsid w:val="001C5A92"/>
    <w:rsid w:val="001C6718"/>
    <w:rsid w:val="001D11CC"/>
    <w:rsid w:val="001D252B"/>
    <w:rsid w:val="001D3885"/>
    <w:rsid w:val="001D39FE"/>
    <w:rsid w:val="001D3DE2"/>
    <w:rsid w:val="001D494D"/>
    <w:rsid w:val="001D5823"/>
    <w:rsid w:val="001D5CE8"/>
    <w:rsid w:val="001D60E6"/>
    <w:rsid w:val="001D7843"/>
    <w:rsid w:val="001E052F"/>
    <w:rsid w:val="001E1F43"/>
    <w:rsid w:val="001E3184"/>
    <w:rsid w:val="001E32C8"/>
    <w:rsid w:val="001E3635"/>
    <w:rsid w:val="001E4046"/>
    <w:rsid w:val="001E415F"/>
    <w:rsid w:val="001E49BE"/>
    <w:rsid w:val="001E4ADB"/>
    <w:rsid w:val="001E526D"/>
    <w:rsid w:val="001E542C"/>
    <w:rsid w:val="001E59E6"/>
    <w:rsid w:val="001F0695"/>
    <w:rsid w:val="001F15B0"/>
    <w:rsid w:val="001F1EA0"/>
    <w:rsid w:val="001F2094"/>
    <w:rsid w:val="001F2C09"/>
    <w:rsid w:val="001F486F"/>
    <w:rsid w:val="001F4F57"/>
    <w:rsid w:val="001F5D4E"/>
    <w:rsid w:val="001F6652"/>
    <w:rsid w:val="001F667C"/>
    <w:rsid w:val="001F70E9"/>
    <w:rsid w:val="00202190"/>
    <w:rsid w:val="002023C0"/>
    <w:rsid w:val="00203C45"/>
    <w:rsid w:val="0020528D"/>
    <w:rsid w:val="00205520"/>
    <w:rsid w:val="00213576"/>
    <w:rsid w:val="00213A9A"/>
    <w:rsid w:val="00216A65"/>
    <w:rsid w:val="002177F4"/>
    <w:rsid w:val="00222F3F"/>
    <w:rsid w:val="002239A6"/>
    <w:rsid w:val="00225AC8"/>
    <w:rsid w:val="00225DA9"/>
    <w:rsid w:val="00230982"/>
    <w:rsid w:val="002335DA"/>
    <w:rsid w:val="00233D64"/>
    <w:rsid w:val="00234887"/>
    <w:rsid w:val="00235A10"/>
    <w:rsid w:val="002369D1"/>
    <w:rsid w:val="002400EA"/>
    <w:rsid w:val="00242968"/>
    <w:rsid w:val="00243758"/>
    <w:rsid w:val="00243D08"/>
    <w:rsid w:val="00244B0E"/>
    <w:rsid w:val="0024510A"/>
    <w:rsid w:val="002461FE"/>
    <w:rsid w:val="00250909"/>
    <w:rsid w:val="00250A38"/>
    <w:rsid w:val="00250D58"/>
    <w:rsid w:val="00253F0C"/>
    <w:rsid w:val="00254202"/>
    <w:rsid w:val="00254F79"/>
    <w:rsid w:val="002563B6"/>
    <w:rsid w:val="00256595"/>
    <w:rsid w:val="00257A64"/>
    <w:rsid w:val="002600E8"/>
    <w:rsid w:val="0026013A"/>
    <w:rsid w:val="0026114D"/>
    <w:rsid w:val="002615A2"/>
    <w:rsid w:val="002619CF"/>
    <w:rsid w:val="00262296"/>
    <w:rsid w:val="0026256F"/>
    <w:rsid w:val="00263BFF"/>
    <w:rsid w:val="00265834"/>
    <w:rsid w:val="002669FB"/>
    <w:rsid w:val="00266BD8"/>
    <w:rsid w:val="00267814"/>
    <w:rsid w:val="00267ED7"/>
    <w:rsid w:val="00271FD7"/>
    <w:rsid w:val="0027292A"/>
    <w:rsid w:val="00274310"/>
    <w:rsid w:val="00276495"/>
    <w:rsid w:val="002766DE"/>
    <w:rsid w:val="00276F8B"/>
    <w:rsid w:val="002808D0"/>
    <w:rsid w:val="002809E6"/>
    <w:rsid w:val="00282882"/>
    <w:rsid w:val="00283D01"/>
    <w:rsid w:val="0028467B"/>
    <w:rsid w:val="002849A1"/>
    <w:rsid w:val="002858A8"/>
    <w:rsid w:val="002868CD"/>
    <w:rsid w:val="002871CB"/>
    <w:rsid w:val="00287978"/>
    <w:rsid w:val="00287BEE"/>
    <w:rsid w:val="00290EA4"/>
    <w:rsid w:val="00291C5D"/>
    <w:rsid w:val="0029305B"/>
    <w:rsid w:val="00294F64"/>
    <w:rsid w:val="002961BD"/>
    <w:rsid w:val="00296FE1"/>
    <w:rsid w:val="002972EF"/>
    <w:rsid w:val="002A0550"/>
    <w:rsid w:val="002A1448"/>
    <w:rsid w:val="002A17E0"/>
    <w:rsid w:val="002A553E"/>
    <w:rsid w:val="002A6186"/>
    <w:rsid w:val="002A719A"/>
    <w:rsid w:val="002A7A5A"/>
    <w:rsid w:val="002B2D50"/>
    <w:rsid w:val="002B3451"/>
    <w:rsid w:val="002B3E5F"/>
    <w:rsid w:val="002B4D97"/>
    <w:rsid w:val="002B4FE7"/>
    <w:rsid w:val="002B5EEB"/>
    <w:rsid w:val="002B5FE6"/>
    <w:rsid w:val="002B6E55"/>
    <w:rsid w:val="002C0AF3"/>
    <w:rsid w:val="002C1EE1"/>
    <w:rsid w:val="002C1F2F"/>
    <w:rsid w:val="002C3FB4"/>
    <w:rsid w:val="002C53E8"/>
    <w:rsid w:val="002C6D40"/>
    <w:rsid w:val="002C75EE"/>
    <w:rsid w:val="002D045B"/>
    <w:rsid w:val="002D0D8F"/>
    <w:rsid w:val="002D156C"/>
    <w:rsid w:val="002D17D1"/>
    <w:rsid w:val="002D1A10"/>
    <w:rsid w:val="002D2A95"/>
    <w:rsid w:val="002D2F7B"/>
    <w:rsid w:val="002D34B3"/>
    <w:rsid w:val="002D3AEE"/>
    <w:rsid w:val="002D3F4E"/>
    <w:rsid w:val="002D41E5"/>
    <w:rsid w:val="002D4D2F"/>
    <w:rsid w:val="002D4EA5"/>
    <w:rsid w:val="002D5E59"/>
    <w:rsid w:val="002D7F5C"/>
    <w:rsid w:val="002E1580"/>
    <w:rsid w:val="002E32B3"/>
    <w:rsid w:val="002E3B88"/>
    <w:rsid w:val="002E40BF"/>
    <w:rsid w:val="002E4A02"/>
    <w:rsid w:val="002E4A72"/>
    <w:rsid w:val="002E5721"/>
    <w:rsid w:val="002E57F3"/>
    <w:rsid w:val="002E5AFE"/>
    <w:rsid w:val="002E5E3D"/>
    <w:rsid w:val="002E5F03"/>
    <w:rsid w:val="002E60C7"/>
    <w:rsid w:val="002E65A9"/>
    <w:rsid w:val="002E6A27"/>
    <w:rsid w:val="002F0BA0"/>
    <w:rsid w:val="002F30EB"/>
    <w:rsid w:val="002F32FF"/>
    <w:rsid w:val="002F3DFC"/>
    <w:rsid w:val="002F45E1"/>
    <w:rsid w:val="002F5248"/>
    <w:rsid w:val="002F671F"/>
    <w:rsid w:val="002F6A3F"/>
    <w:rsid w:val="002F7CB1"/>
    <w:rsid w:val="00300105"/>
    <w:rsid w:val="00300A81"/>
    <w:rsid w:val="00301607"/>
    <w:rsid w:val="00302898"/>
    <w:rsid w:val="003032B0"/>
    <w:rsid w:val="00303DB1"/>
    <w:rsid w:val="00305036"/>
    <w:rsid w:val="00306962"/>
    <w:rsid w:val="00306D88"/>
    <w:rsid w:val="0030735E"/>
    <w:rsid w:val="003122A5"/>
    <w:rsid w:val="003127FC"/>
    <w:rsid w:val="00313599"/>
    <w:rsid w:val="00313662"/>
    <w:rsid w:val="00313DB5"/>
    <w:rsid w:val="00313F85"/>
    <w:rsid w:val="0031736F"/>
    <w:rsid w:val="00317912"/>
    <w:rsid w:val="00320511"/>
    <w:rsid w:val="00320691"/>
    <w:rsid w:val="00320B5F"/>
    <w:rsid w:val="00320EAB"/>
    <w:rsid w:val="003214EA"/>
    <w:rsid w:val="00322DAB"/>
    <w:rsid w:val="00322FCA"/>
    <w:rsid w:val="00323638"/>
    <w:rsid w:val="003246EF"/>
    <w:rsid w:val="00325165"/>
    <w:rsid w:val="003251A6"/>
    <w:rsid w:val="003261ED"/>
    <w:rsid w:val="00330A1D"/>
    <w:rsid w:val="00336A6B"/>
    <w:rsid w:val="00337464"/>
    <w:rsid w:val="0033795C"/>
    <w:rsid w:val="00340B57"/>
    <w:rsid w:val="00341000"/>
    <w:rsid w:val="003430DB"/>
    <w:rsid w:val="0034328D"/>
    <w:rsid w:val="003443DF"/>
    <w:rsid w:val="00344AA5"/>
    <w:rsid w:val="00344D94"/>
    <w:rsid w:val="003456C8"/>
    <w:rsid w:val="00346EAE"/>
    <w:rsid w:val="00347A4F"/>
    <w:rsid w:val="0035000E"/>
    <w:rsid w:val="00350112"/>
    <w:rsid w:val="00350D4B"/>
    <w:rsid w:val="003511C7"/>
    <w:rsid w:val="00351CFE"/>
    <w:rsid w:val="0035324A"/>
    <w:rsid w:val="003539A2"/>
    <w:rsid w:val="00354044"/>
    <w:rsid w:val="003543CA"/>
    <w:rsid w:val="00354417"/>
    <w:rsid w:val="0035487A"/>
    <w:rsid w:val="00354C81"/>
    <w:rsid w:val="00356A36"/>
    <w:rsid w:val="00356B11"/>
    <w:rsid w:val="003578D4"/>
    <w:rsid w:val="003602BB"/>
    <w:rsid w:val="003603F9"/>
    <w:rsid w:val="00362EA5"/>
    <w:rsid w:val="0036303A"/>
    <w:rsid w:val="00363C67"/>
    <w:rsid w:val="00364D4B"/>
    <w:rsid w:val="0036659D"/>
    <w:rsid w:val="003665E2"/>
    <w:rsid w:val="00371BF9"/>
    <w:rsid w:val="00373525"/>
    <w:rsid w:val="00373BCC"/>
    <w:rsid w:val="003753A7"/>
    <w:rsid w:val="00376FBD"/>
    <w:rsid w:val="0038085A"/>
    <w:rsid w:val="00380D3C"/>
    <w:rsid w:val="00381269"/>
    <w:rsid w:val="00382578"/>
    <w:rsid w:val="00383460"/>
    <w:rsid w:val="0038660D"/>
    <w:rsid w:val="00386993"/>
    <w:rsid w:val="00387639"/>
    <w:rsid w:val="00390B79"/>
    <w:rsid w:val="0039109D"/>
    <w:rsid w:val="00391AD4"/>
    <w:rsid w:val="00391C60"/>
    <w:rsid w:val="0039485F"/>
    <w:rsid w:val="003951F4"/>
    <w:rsid w:val="00395B99"/>
    <w:rsid w:val="00397AD7"/>
    <w:rsid w:val="003A023A"/>
    <w:rsid w:val="003A1E7F"/>
    <w:rsid w:val="003A2093"/>
    <w:rsid w:val="003A281A"/>
    <w:rsid w:val="003A2861"/>
    <w:rsid w:val="003A5D76"/>
    <w:rsid w:val="003A61EE"/>
    <w:rsid w:val="003A7620"/>
    <w:rsid w:val="003B00F5"/>
    <w:rsid w:val="003B0F4D"/>
    <w:rsid w:val="003B278A"/>
    <w:rsid w:val="003B42C4"/>
    <w:rsid w:val="003B4EE2"/>
    <w:rsid w:val="003B5E4B"/>
    <w:rsid w:val="003B6641"/>
    <w:rsid w:val="003B7053"/>
    <w:rsid w:val="003C00BB"/>
    <w:rsid w:val="003C1AB1"/>
    <w:rsid w:val="003C1C62"/>
    <w:rsid w:val="003C2BDD"/>
    <w:rsid w:val="003C2D27"/>
    <w:rsid w:val="003C3736"/>
    <w:rsid w:val="003C3938"/>
    <w:rsid w:val="003C4517"/>
    <w:rsid w:val="003C5DB5"/>
    <w:rsid w:val="003C7C42"/>
    <w:rsid w:val="003C7EBA"/>
    <w:rsid w:val="003D1DED"/>
    <w:rsid w:val="003D1EC0"/>
    <w:rsid w:val="003D3142"/>
    <w:rsid w:val="003D31B4"/>
    <w:rsid w:val="003D32B8"/>
    <w:rsid w:val="003D3DA1"/>
    <w:rsid w:val="003D4ACF"/>
    <w:rsid w:val="003D6D12"/>
    <w:rsid w:val="003D6FD2"/>
    <w:rsid w:val="003D774E"/>
    <w:rsid w:val="003E049E"/>
    <w:rsid w:val="003E2388"/>
    <w:rsid w:val="003E2D3C"/>
    <w:rsid w:val="003E409D"/>
    <w:rsid w:val="003E56BE"/>
    <w:rsid w:val="003E6FE3"/>
    <w:rsid w:val="003E748B"/>
    <w:rsid w:val="003E7A7F"/>
    <w:rsid w:val="003F01FB"/>
    <w:rsid w:val="003F1900"/>
    <w:rsid w:val="003F1F57"/>
    <w:rsid w:val="003F22B6"/>
    <w:rsid w:val="003F2813"/>
    <w:rsid w:val="003F2FEE"/>
    <w:rsid w:val="003F326A"/>
    <w:rsid w:val="003F56FA"/>
    <w:rsid w:val="003F69D5"/>
    <w:rsid w:val="003F76B2"/>
    <w:rsid w:val="003F7BAD"/>
    <w:rsid w:val="00400182"/>
    <w:rsid w:val="004006AA"/>
    <w:rsid w:val="00400841"/>
    <w:rsid w:val="004009C7"/>
    <w:rsid w:val="00400ABD"/>
    <w:rsid w:val="00400F16"/>
    <w:rsid w:val="00401146"/>
    <w:rsid w:val="00401998"/>
    <w:rsid w:val="00402052"/>
    <w:rsid w:val="00403F28"/>
    <w:rsid w:val="0040429B"/>
    <w:rsid w:val="00404FEB"/>
    <w:rsid w:val="00407002"/>
    <w:rsid w:val="00410F2D"/>
    <w:rsid w:val="0041147E"/>
    <w:rsid w:val="00413836"/>
    <w:rsid w:val="004139D6"/>
    <w:rsid w:val="004155A2"/>
    <w:rsid w:val="004160C6"/>
    <w:rsid w:val="00417BAB"/>
    <w:rsid w:val="00420029"/>
    <w:rsid w:val="00420121"/>
    <w:rsid w:val="004208FC"/>
    <w:rsid w:val="00420CAF"/>
    <w:rsid w:val="00421066"/>
    <w:rsid w:val="00421769"/>
    <w:rsid w:val="00421B19"/>
    <w:rsid w:val="00422CD7"/>
    <w:rsid w:val="00424C91"/>
    <w:rsid w:val="00424D43"/>
    <w:rsid w:val="00426284"/>
    <w:rsid w:val="00426E07"/>
    <w:rsid w:val="004274DB"/>
    <w:rsid w:val="00427CFE"/>
    <w:rsid w:val="004336F1"/>
    <w:rsid w:val="00435DC9"/>
    <w:rsid w:val="00435E83"/>
    <w:rsid w:val="00436869"/>
    <w:rsid w:val="00437342"/>
    <w:rsid w:val="0044033A"/>
    <w:rsid w:val="00440DA2"/>
    <w:rsid w:val="00440EF2"/>
    <w:rsid w:val="00441BB4"/>
    <w:rsid w:val="00442A4A"/>
    <w:rsid w:val="00443148"/>
    <w:rsid w:val="00443F91"/>
    <w:rsid w:val="00444AA3"/>
    <w:rsid w:val="00444EFC"/>
    <w:rsid w:val="00444F0C"/>
    <w:rsid w:val="0044618E"/>
    <w:rsid w:val="0044637B"/>
    <w:rsid w:val="00446B71"/>
    <w:rsid w:val="00446D73"/>
    <w:rsid w:val="00451619"/>
    <w:rsid w:val="004517AD"/>
    <w:rsid w:val="00452D13"/>
    <w:rsid w:val="00452D9D"/>
    <w:rsid w:val="00452FD6"/>
    <w:rsid w:val="0045424A"/>
    <w:rsid w:val="00454959"/>
    <w:rsid w:val="00457960"/>
    <w:rsid w:val="00457D32"/>
    <w:rsid w:val="004603F1"/>
    <w:rsid w:val="00460DB5"/>
    <w:rsid w:val="0046126C"/>
    <w:rsid w:val="00461BE0"/>
    <w:rsid w:val="00461CD9"/>
    <w:rsid w:val="0046240D"/>
    <w:rsid w:val="00464D5C"/>
    <w:rsid w:val="00467071"/>
    <w:rsid w:val="0046710C"/>
    <w:rsid w:val="00470199"/>
    <w:rsid w:val="00470579"/>
    <w:rsid w:val="00471045"/>
    <w:rsid w:val="00471098"/>
    <w:rsid w:val="00471253"/>
    <w:rsid w:val="004718AD"/>
    <w:rsid w:val="00472756"/>
    <w:rsid w:val="004728A3"/>
    <w:rsid w:val="00476C38"/>
    <w:rsid w:val="00477762"/>
    <w:rsid w:val="00477832"/>
    <w:rsid w:val="0048123A"/>
    <w:rsid w:val="004828A3"/>
    <w:rsid w:val="00482C3A"/>
    <w:rsid w:val="00483B9B"/>
    <w:rsid w:val="004844A5"/>
    <w:rsid w:val="004848B8"/>
    <w:rsid w:val="00484B31"/>
    <w:rsid w:val="0048501E"/>
    <w:rsid w:val="00486730"/>
    <w:rsid w:val="0049108E"/>
    <w:rsid w:val="00492553"/>
    <w:rsid w:val="00494976"/>
    <w:rsid w:val="00494CF9"/>
    <w:rsid w:val="00495ADB"/>
    <w:rsid w:val="00496440"/>
    <w:rsid w:val="004966DD"/>
    <w:rsid w:val="00497C19"/>
    <w:rsid w:val="004A6D45"/>
    <w:rsid w:val="004A7975"/>
    <w:rsid w:val="004B081A"/>
    <w:rsid w:val="004B190A"/>
    <w:rsid w:val="004B2038"/>
    <w:rsid w:val="004B2B40"/>
    <w:rsid w:val="004B3BB4"/>
    <w:rsid w:val="004B3DF6"/>
    <w:rsid w:val="004B63BD"/>
    <w:rsid w:val="004B660C"/>
    <w:rsid w:val="004C379D"/>
    <w:rsid w:val="004C57E6"/>
    <w:rsid w:val="004C5904"/>
    <w:rsid w:val="004C5D1C"/>
    <w:rsid w:val="004C5EF8"/>
    <w:rsid w:val="004C6373"/>
    <w:rsid w:val="004C691A"/>
    <w:rsid w:val="004C6A1A"/>
    <w:rsid w:val="004C6CAD"/>
    <w:rsid w:val="004C7707"/>
    <w:rsid w:val="004C7EAA"/>
    <w:rsid w:val="004D0323"/>
    <w:rsid w:val="004D154D"/>
    <w:rsid w:val="004D164B"/>
    <w:rsid w:val="004D1A32"/>
    <w:rsid w:val="004D2BA6"/>
    <w:rsid w:val="004D2D52"/>
    <w:rsid w:val="004D4ACC"/>
    <w:rsid w:val="004D53DD"/>
    <w:rsid w:val="004D5689"/>
    <w:rsid w:val="004D612C"/>
    <w:rsid w:val="004D7FA1"/>
    <w:rsid w:val="004E0B17"/>
    <w:rsid w:val="004E0DEA"/>
    <w:rsid w:val="004E18EB"/>
    <w:rsid w:val="004E1FBD"/>
    <w:rsid w:val="004E2B19"/>
    <w:rsid w:val="004E4095"/>
    <w:rsid w:val="004E411B"/>
    <w:rsid w:val="004E5303"/>
    <w:rsid w:val="004E553B"/>
    <w:rsid w:val="004E5D2C"/>
    <w:rsid w:val="004E6184"/>
    <w:rsid w:val="004E64B6"/>
    <w:rsid w:val="004F008E"/>
    <w:rsid w:val="004F47B5"/>
    <w:rsid w:val="004F7881"/>
    <w:rsid w:val="00500690"/>
    <w:rsid w:val="005008A4"/>
    <w:rsid w:val="0050174A"/>
    <w:rsid w:val="0050184B"/>
    <w:rsid w:val="00501F55"/>
    <w:rsid w:val="00512087"/>
    <w:rsid w:val="00512AA1"/>
    <w:rsid w:val="005147D6"/>
    <w:rsid w:val="005155A0"/>
    <w:rsid w:val="005156BA"/>
    <w:rsid w:val="00517851"/>
    <w:rsid w:val="005205AF"/>
    <w:rsid w:val="00520D40"/>
    <w:rsid w:val="00521F8E"/>
    <w:rsid w:val="00522E6F"/>
    <w:rsid w:val="0052462D"/>
    <w:rsid w:val="005246A4"/>
    <w:rsid w:val="00525432"/>
    <w:rsid w:val="0052605C"/>
    <w:rsid w:val="00527695"/>
    <w:rsid w:val="00527CC6"/>
    <w:rsid w:val="00530600"/>
    <w:rsid w:val="00531C80"/>
    <w:rsid w:val="0053258D"/>
    <w:rsid w:val="005332BE"/>
    <w:rsid w:val="005346DE"/>
    <w:rsid w:val="00534911"/>
    <w:rsid w:val="005356F5"/>
    <w:rsid w:val="00537E10"/>
    <w:rsid w:val="0054205A"/>
    <w:rsid w:val="005430B7"/>
    <w:rsid w:val="00544F3E"/>
    <w:rsid w:val="005452A6"/>
    <w:rsid w:val="005453D2"/>
    <w:rsid w:val="005456E8"/>
    <w:rsid w:val="00545DA8"/>
    <w:rsid w:val="00545E38"/>
    <w:rsid w:val="00546FD6"/>
    <w:rsid w:val="005509FB"/>
    <w:rsid w:val="00551513"/>
    <w:rsid w:val="0055172A"/>
    <w:rsid w:val="00551A93"/>
    <w:rsid w:val="00552569"/>
    <w:rsid w:val="00553683"/>
    <w:rsid w:val="005550A2"/>
    <w:rsid w:val="00555715"/>
    <w:rsid w:val="0055660A"/>
    <w:rsid w:val="005604E0"/>
    <w:rsid w:val="005609F4"/>
    <w:rsid w:val="00560D19"/>
    <w:rsid w:val="00562888"/>
    <w:rsid w:val="00562AC8"/>
    <w:rsid w:val="00562E6C"/>
    <w:rsid w:val="00563133"/>
    <w:rsid w:val="0056371E"/>
    <w:rsid w:val="005642BC"/>
    <w:rsid w:val="00564852"/>
    <w:rsid w:val="00566408"/>
    <w:rsid w:val="00566D27"/>
    <w:rsid w:val="00567E06"/>
    <w:rsid w:val="0057048A"/>
    <w:rsid w:val="0057148E"/>
    <w:rsid w:val="00572C26"/>
    <w:rsid w:val="00574291"/>
    <w:rsid w:val="005757A1"/>
    <w:rsid w:val="00575DA4"/>
    <w:rsid w:val="00576A6C"/>
    <w:rsid w:val="005831FD"/>
    <w:rsid w:val="0058324D"/>
    <w:rsid w:val="00583B23"/>
    <w:rsid w:val="0058419D"/>
    <w:rsid w:val="005842EA"/>
    <w:rsid w:val="005843B6"/>
    <w:rsid w:val="00584802"/>
    <w:rsid w:val="005857AE"/>
    <w:rsid w:val="005859D0"/>
    <w:rsid w:val="005872C3"/>
    <w:rsid w:val="0058737B"/>
    <w:rsid w:val="00587729"/>
    <w:rsid w:val="005908DB"/>
    <w:rsid w:val="00592067"/>
    <w:rsid w:val="00592442"/>
    <w:rsid w:val="00592B0E"/>
    <w:rsid w:val="0059450A"/>
    <w:rsid w:val="00595593"/>
    <w:rsid w:val="00595A4C"/>
    <w:rsid w:val="005964DD"/>
    <w:rsid w:val="005A04FD"/>
    <w:rsid w:val="005A158B"/>
    <w:rsid w:val="005A1B97"/>
    <w:rsid w:val="005A1EE8"/>
    <w:rsid w:val="005A23F8"/>
    <w:rsid w:val="005A39B9"/>
    <w:rsid w:val="005A477C"/>
    <w:rsid w:val="005A499C"/>
    <w:rsid w:val="005A4C07"/>
    <w:rsid w:val="005A4E0E"/>
    <w:rsid w:val="005A5AF8"/>
    <w:rsid w:val="005A60F8"/>
    <w:rsid w:val="005A6A86"/>
    <w:rsid w:val="005B0D1C"/>
    <w:rsid w:val="005B1467"/>
    <w:rsid w:val="005B34DA"/>
    <w:rsid w:val="005B3730"/>
    <w:rsid w:val="005B54D9"/>
    <w:rsid w:val="005B5702"/>
    <w:rsid w:val="005B6F4E"/>
    <w:rsid w:val="005B751F"/>
    <w:rsid w:val="005C03C5"/>
    <w:rsid w:val="005C2005"/>
    <w:rsid w:val="005C3E80"/>
    <w:rsid w:val="005C569A"/>
    <w:rsid w:val="005C6832"/>
    <w:rsid w:val="005C763B"/>
    <w:rsid w:val="005C77C5"/>
    <w:rsid w:val="005D00D1"/>
    <w:rsid w:val="005D06BD"/>
    <w:rsid w:val="005D0972"/>
    <w:rsid w:val="005D1B02"/>
    <w:rsid w:val="005D3014"/>
    <w:rsid w:val="005D568A"/>
    <w:rsid w:val="005D6E38"/>
    <w:rsid w:val="005D75CC"/>
    <w:rsid w:val="005E1819"/>
    <w:rsid w:val="005E2452"/>
    <w:rsid w:val="005E28C7"/>
    <w:rsid w:val="005E34EC"/>
    <w:rsid w:val="005E3D16"/>
    <w:rsid w:val="005E4321"/>
    <w:rsid w:val="005E4C6D"/>
    <w:rsid w:val="005E63F2"/>
    <w:rsid w:val="005E65D9"/>
    <w:rsid w:val="005E6C58"/>
    <w:rsid w:val="005E795D"/>
    <w:rsid w:val="005F162A"/>
    <w:rsid w:val="005F1B02"/>
    <w:rsid w:val="005F1BA4"/>
    <w:rsid w:val="005F76A1"/>
    <w:rsid w:val="005F7F44"/>
    <w:rsid w:val="00600792"/>
    <w:rsid w:val="006018E2"/>
    <w:rsid w:val="006032F9"/>
    <w:rsid w:val="006035EC"/>
    <w:rsid w:val="00604D1C"/>
    <w:rsid w:val="00604DB7"/>
    <w:rsid w:val="0060571D"/>
    <w:rsid w:val="0060598D"/>
    <w:rsid w:val="006077FC"/>
    <w:rsid w:val="00610E58"/>
    <w:rsid w:val="00611568"/>
    <w:rsid w:val="00611E95"/>
    <w:rsid w:val="00611FF5"/>
    <w:rsid w:val="00614116"/>
    <w:rsid w:val="00615143"/>
    <w:rsid w:val="0062010F"/>
    <w:rsid w:val="00620139"/>
    <w:rsid w:val="00620778"/>
    <w:rsid w:val="0062098D"/>
    <w:rsid w:val="0062123C"/>
    <w:rsid w:val="00621DF2"/>
    <w:rsid w:val="00623AF2"/>
    <w:rsid w:val="00624662"/>
    <w:rsid w:val="00625D00"/>
    <w:rsid w:val="0062601A"/>
    <w:rsid w:val="00630A9C"/>
    <w:rsid w:val="0063109C"/>
    <w:rsid w:val="00631D9D"/>
    <w:rsid w:val="006340EA"/>
    <w:rsid w:val="006341C4"/>
    <w:rsid w:val="00634234"/>
    <w:rsid w:val="00634B27"/>
    <w:rsid w:val="00634C5A"/>
    <w:rsid w:val="00635E80"/>
    <w:rsid w:val="00636398"/>
    <w:rsid w:val="00636CB6"/>
    <w:rsid w:val="0064139E"/>
    <w:rsid w:val="0064265F"/>
    <w:rsid w:val="0064461F"/>
    <w:rsid w:val="0064517C"/>
    <w:rsid w:val="00645C4D"/>
    <w:rsid w:val="00646149"/>
    <w:rsid w:val="00650C84"/>
    <w:rsid w:val="0065147A"/>
    <w:rsid w:val="00651EEA"/>
    <w:rsid w:val="006520DD"/>
    <w:rsid w:val="00653346"/>
    <w:rsid w:val="00653FF9"/>
    <w:rsid w:val="00655744"/>
    <w:rsid w:val="00655877"/>
    <w:rsid w:val="00655F78"/>
    <w:rsid w:val="00657396"/>
    <w:rsid w:val="00660597"/>
    <w:rsid w:val="00662B73"/>
    <w:rsid w:val="00662BE1"/>
    <w:rsid w:val="0066356E"/>
    <w:rsid w:val="0066375A"/>
    <w:rsid w:val="006637E6"/>
    <w:rsid w:val="0066567E"/>
    <w:rsid w:val="00665957"/>
    <w:rsid w:val="00666978"/>
    <w:rsid w:val="00670686"/>
    <w:rsid w:val="0067072E"/>
    <w:rsid w:val="00671C9F"/>
    <w:rsid w:val="006720D6"/>
    <w:rsid w:val="00674A7E"/>
    <w:rsid w:val="00675C10"/>
    <w:rsid w:val="00676215"/>
    <w:rsid w:val="00676546"/>
    <w:rsid w:val="00680131"/>
    <w:rsid w:val="006802D5"/>
    <w:rsid w:val="00680A7D"/>
    <w:rsid w:val="00680FF6"/>
    <w:rsid w:val="006815D9"/>
    <w:rsid w:val="00681605"/>
    <w:rsid w:val="00681A65"/>
    <w:rsid w:val="00681E92"/>
    <w:rsid w:val="00682125"/>
    <w:rsid w:val="00682C28"/>
    <w:rsid w:val="006831A6"/>
    <w:rsid w:val="00683E3E"/>
    <w:rsid w:val="00684043"/>
    <w:rsid w:val="006851F1"/>
    <w:rsid w:val="00687B80"/>
    <w:rsid w:val="0069049A"/>
    <w:rsid w:val="006907B3"/>
    <w:rsid w:val="00692854"/>
    <w:rsid w:val="00693827"/>
    <w:rsid w:val="0069423D"/>
    <w:rsid w:val="00695E31"/>
    <w:rsid w:val="00696768"/>
    <w:rsid w:val="00696958"/>
    <w:rsid w:val="00696A2A"/>
    <w:rsid w:val="00697A50"/>
    <w:rsid w:val="006A17FC"/>
    <w:rsid w:val="006A1AFA"/>
    <w:rsid w:val="006A1CBB"/>
    <w:rsid w:val="006A3497"/>
    <w:rsid w:val="006A590A"/>
    <w:rsid w:val="006A5F22"/>
    <w:rsid w:val="006A6531"/>
    <w:rsid w:val="006B00DB"/>
    <w:rsid w:val="006B02F9"/>
    <w:rsid w:val="006B334A"/>
    <w:rsid w:val="006B4EE7"/>
    <w:rsid w:val="006B7F15"/>
    <w:rsid w:val="006C16F1"/>
    <w:rsid w:val="006C1749"/>
    <w:rsid w:val="006C25FF"/>
    <w:rsid w:val="006C3959"/>
    <w:rsid w:val="006C56CE"/>
    <w:rsid w:val="006C60B1"/>
    <w:rsid w:val="006C6123"/>
    <w:rsid w:val="006C6C12"/>
    <w:rsid w:val="006D13CB"/>
    <w:rsid w:val="006D165E"/>
    <w:rsid w:val="006D1B9E"/>
    <w:rsid w:val="006D400E"/>
    <w:rsid w:val="006D4030"/>
    <w:rsid w:val="006D4136"/>
    <w:rsid w:val="006D41A1"/>
    <w:rsid w:val="006D45A9"/>
    <w:rsid w:val="006D68E5"/>
    <w:rsid w:val="006D71FE"/>
    <w:rsid w:val="006E13B1"/>
    <w:rsid w:val="006E1615"/>
    <w:rsid w:val="006E209F"/>
    <w:rsid w:val="006E22AA"/>
    <w:rsid w:val="006E2C65"/>
    <w:rsid w:val="006E377B"/>
    <w:rsid w:val="006E429B"/>
    <w:rsid w:val="006E4BD3"/>
    <w:rsid w:val="006E54FE"/>
    <w:rsid w:val="006E5571"/>
    <w:rsid w:val="006F1667"/>
    <w:rsid w:val="006F179F"/>
    <w:rsid w:val="006F2CE9"/>
    <w:rsid w:val="006F372C"/>
    <w:rsid w:val="006F3BAF"/>
    <w:rsid w:val="006F4EAE"/>
    <w:rsid w:val="006F6699"/>
    <w:rsid w:val="0070010A"/>
    <w:rsid w:val="00702FC6"/>
    <w:rsid w:val="00703F1A"/>
    <w:rsid w:val="00704F77"/>
    <w:rsid w:val="00706170"/>
    <w:rsid w:val="00707B8E"/>
    <w:rsid w:val="007103FA"/>
    <w:rsid w:val="00710607"/>
    <w:rsid w:val="00711762"/>
    <w:rsid w:val="00711EC6"/>
    <w:rsid w:val="007121A9"/>
    <w:rsid w:val="0071243E"/>
    <w:rsid w:val="0071289F"/>
    <w:rsid w:val="00712BC1"/>
    <w:rsid w:val="00716AC5"/>
    <w:rsid w:val="00721139"/>
    <w:rsid w:val="0072121D"/>
    <w:rsid w:val="00722260"/>
    <w:rsid w:val="00724335"/>
    <w:rsid w:val="00725326"/>
    <w:rsid w:val="007275D0"/>
    <w:rsid w:val="00727986"/>
    <w:rsid w:val="00727BF7"/>
    <w:rsid w:val="00727C6A"/>
    <w:rsid w:val="00730D9A"/>
    <w:rsid w:val="007312BC"/>
    <w:rsid w:val="00731847"/>
    <w:rsid w:val="007339D3"/>
    <w:rsid w:val="00734CE2"/>
    <w:rsid w:val="00734F9C"/>
    <w:rsid w:val="007356B8"/>
    <w:rsid w:val="007361FC"/>
    <w:rsid w:val="007364A1"/>
    <w:rsid w:val="00736AF8"/>
    <w:rsid w:val="00737FF6"/>
    <w:rsid w:val="007402F8"/>
    <w:rsid w:val="00740A13"/>
    <w:rsid w:val="00741055"/>
    <w:rsid w:val="00741163"/>
    <w:rsid w:val="007412BC"/>
    <w:rsid w:val="00742453"/>
    <w:rsid w:val="007429A3"/>
    <w:rsid w:val="007437DC"/>
    <w:rsid w:val="007440B2"/>
    <w:rsid w:val="00744E8F"/>
    <w:rsid w:val="00744F7E"/>
    <w:rsid w:val="00744FE8"/>
    <w:rsid w:val="0074566B"/>
    <w:rsid w:val="00745910"/>
    <w:rsid w:val="007466D8"/>
    <w:rsid w:val="00747E18"/>
    <w:rsid w:val="0075097B"/>
    <w:rsid w:val="00750CB5"/>
    <w:rsid w:val="00753E3F"/>
    <w:rsid w:val="007555A8"/>
    <w:rsid w:val="0075694C"/>
    <w:rsid w:val="00762028"/>
    <w:rsid w:val="00763BB1"/>
    <w:rsid w:val="007645FD"/>
    <w:rsid w:val="00764EF4"/>
    <w:rsid w:val="007654C0"/>
    <w:rsid w:val="00771A1C"/>
    <w:rsid w:val="00771D3E"/>
    <w:rsid w:val="00771DFB"/>
    <w:rsid w:val="00771E28"/>
    <w:rsid w:val="00772019"/>
    <w:rsid w:val="007736E8"/>
    <w:rsid w:val="00774070"/>
    <w:rsid w:val="0077456F"/>
    <w:rsid w:val="00774CE0"/>
    <w:rsid w:val="00775A85"/>
    <w:rsid w:val="00775E0B"/>
    <w:rsid w:val="00776EC7"/>
    <w:rsid w:val="00777085"/>
    <w:rsid w:val="0077756B"/>
    <w:rsid w:val="00780550"/>
    <w:rsid w:val="00781110"/>
    <w:rsid w:val="0078190C"/>
    <w:rsid w:val="007820A1"/>
    <w:rsid w:val="007820B5"/>
    <w:rsid w:val="007824AF"/>
    <w:rsid w:val="00784493"/>
    <w:rsid w:val="00784911"/>
    <w:rsid w:val="007850ED"/>
    <w:rsid w:val="00785120"/>
    <w:rsid w:val="00785DAB"/>
    <w:rsid w:val="0078708A"/>
    <w:rsid w:val="00787B79"/>
    <w:rsid w:val="00787C8B"/>
    <w:rsid w:val="00792916"/>
    <w:rsid w:val="00794452"/>
    <w:rsid w:val="00796E34"/>
    <w:rsid w:val="007A03F8"/>
    <w:rsid w:val="007A0440"/>
    <w:rsid w:val="007A0544"/>
    <w:rsid w:val="007A0706"/>
    <w:rsid w:val="007A2791"/>
    <w:rsid w:val="007A3BF3"/>
    <w:rsid w:val="007A595A"/>
    <w:rsid w:val="007A5C21"/>
    <w:rsid w:val="007A709A"/>
    <w:rsid w:val="007A7834"/>
    <w:rsid w:val="007A7C67"/>
    <w:rsid w:val="007B045D"/>
    <w:rsid w:val="007B0C4E"/>
    <w:rsid w:val="007B330E"/>
    <w:rsid w:val="007B38F5"/>
    <w:rsid w:val="007B5B83"/>
    <w:rsid w:val="007B6889"/>
    <w:rsid w:val="007B6DD8"/>
    <w:rsid w:val="007B7E93"/>
    <w:rsid w:val="007C0096"/>
    <w:rsid w:val="007C1014"/>
    <w:rsid w:val="007C13F4"/>
    <w:rsid w:val="007C1DE0"/>
    <w:rsid w:val="007C420B"/>
    <w:rsid w:val="007C48F1"/>
    <w:rsid w:val="007C4B19"/>
    <w:rsid w:val="007C5F6D"/>
    <w:rsid w:val="007C5F8B"/>
    <w:rsid w:val="007C671D"/>
    <w:rsid w:val="007C7576"/>
    <w:rsid w:val="007C7C76"/>
    <w:rsid w:val="007D234D"/>
    <w:rsid w:val="007D285C"/>
    <w:rsid w:val="007D2ACF"/>
    <w:rsid w:val="007D3124"/>
    <w:rsid w:val="007D3195"/>
    <w:rsid w:val="007D6193"/>
    <w:rsid w:val="007D67BE"/>
    <w:rsid w:val="007D6C11"/>
    <w:rsid w:val="007E025D"/>
    <w:rsid w:val="007E0733"/>
    <w:rsid w:val="007E07C4"/>
    <w:rsid w:val="007E1CB5"/>
    <w:rsid w:val="007E2235"/>
    <w:rsid w:val="007E2838"/>
    <w:rsid w:val="007E3187"/>
    <w:rsid w:val="007E32E6"/>
    <w:rsid w:val="007E4364"/>
    <w:rsid w:val="007E43D8"/>
    <w:rsid w:val="007E7029"/>
    <w:rsid w:val="007F011B"/>
    <w:rsid w:val="007F0365"/>
    <w:rsid w:val="007F1AFC"/>
    <w:rsid w:val="007F341A"/>
    <w:rsid w:val="007F450D"/>
    <w:rsid w:val="007F6954"/>
    <w:rsid w:val="008003EB"/>
    <w:rsid w:val="00800CAA"/>
    <w:rsid w:val="008015AC"/>
    <w:rsid w:val="008016D2"/>
    <w:rsid w:val="00801CD9"/>
    <w:rsid w:val="00802702"/>
    <w:rsid w:val="00804392"/>
    <w:rsid w:val="008044BC"/>
    <w:rsid w:val="00804C7B"/>
    <w:rsid w:val="00804CBD"/>
    <w:rsid w:val="00805CDD"/>
    <w:rsid w:val="00806060"/>
    <w:rsid w:val="00807424"/>
    <w:rsid w:val="00807734"/>
    <w:rsid w:val="00807A73"/>
    <w:rsid w:val="008104B0"/>
    <w:rsid w:val="008104E3"/>
    <w:rsid w:val="0081075C"/>
    <w:rsid w:val="008107A1"/>
    <w:rsid w:val="00811553"/>
    <w:rsid w:val="00811C34"/>
    <w:rsid w:val="00812131"/>
    <w:rsid w:val="0081280B"/>
    <w:rsid w:val="00814387"/>
    <w:rsid w:val="00814413"/>
    <w:rsid w:val="0081486D"/>
    <w:rsid w:val="00814A2B"/>
    <w:rsid w:val="008151F0"/>
    <w:rsid w:val="00815DF8"/>
    <w:rsid w:val="00820CC3"/>
    <w:rsid w:val="008211D3"/>
    <w:rsid w:val="0082134E"/>
    <w:rsid w:val="00821964"/>
    <w:rsid w:val="008227E0"/>
    <w:rsid w:val="00823A4E"/>
    <w:rsid w:val="00824003"/>
    <w:rsid w:val="008258E2"/>
    <w:rsid w:val="00825AC8"/>
    <w:rsid w:val="00825DC5"/>
    <w:rsid w:val="0082768D"/>
    <w:rsid w:val="00827ED0"/>
    <w:rsid w:val="00830833"/>
    <w:rsid w:val="00831545"/>
    <w:rsid w:val="00832476"/>
    <w:rsid w:val="008327BB"/>
    <w:rsid w:val="008328C0"/>
    <w:rsid w:val="00833AA2"/>
    <w:rsid w:val="00836312"/>
    <w:rsid w:val="00836835"/>
    <w:rsid w:val="0083692C"/>
    <w:rsid w:val="00837561"/>
    <w:rsid w:val="00840EFD"/>
    <w:rsid w:val="00842518"/>
    <w:rsid w:val="0084291E"/>
    <w:rsid w:val="00842B64"/>
    <w:rsid w:val="00842EE4"/>
    <w:rsid w:val="0084305E"/>
    <w:rsid w:val="008432CB"/>
    <w:rsid w:val="008439EE"/>
    <w:rsid w:val="00843A87"/>
    <w:rsid w:val="00843B9F"/>
    <w:rsid w:val="00844805"/>
    <w:rsid w:val="008453D0"/>
    <w:rsid w:val="00846E12"/>
    <w:rsid w:val="00846F82"/>
    <w:rsid w:val="00847584"/>
    <w:rsid w:val="00850515"/>
    <w:rsid w:val="008506F2"/>
    <w:rsid w:val="008513A6"/>
    <w:rsid w:val="0085317B"/>
    <w:rsid w:val="00856A8C"/>
    <w:rsid w:val="00860489"/>
    <w:rsid w:val="00860CB4"/>
    <w:rsid w:val="008613CE"/>
    <w:rsid w:val="0086181F"/>
    <w:rsid w:val="00861E41"/>
    <w:rsid w:val="00864220"/>
    <w:rsid w:val="008644AC"/>
    <w:rsid w:val="00864E09"/>
    <w:rsid w:val="008656B8"/>
    <w:rsid w:val="0086604D"/>
    <w:rsid w:val="00867050"/>
    <w:rsid w:val="008729DF"/>
    <w:rsid w:val="00872DF7"/>
    <w:rsid w:val="00872E11"/>
    <w:rsid w:val="008737B8"/>
    <w:rsid w:val="00876E45"/>
    <w:rsid w:val="008779F1"/>
    <w:rsid w:val="00877E76"/>
    <w:rsid w:val="00882B7B"/>
    <w:rsid w:val="008850C5"/>
    <w:rsid w:val="00885A56"/>
    <w:rsid w:val="00885B21"/>
    <w:rsid w:val="00886A4A"/>
    <w:rsid w:val="00886FBC"/>
    <w:rsid w:val="0088789E"/>
    <w:rsid w:val="008878BE"/>
    <w:rsid w:val="00891763"/>
    <w:rsid w:val="008919AD"/>
    <w:rsid w:val="00891BBB"/>
    <w:rsid w:val="008924F7"/>
    <w:rsid w:val="00894537"/>
    <w:rsid w:val="00895C43"/>
    <w:rsid w:val="00896EB5"/>
    <w:rsid w:val="008976DE"/>
    <w:rsid w:val="008A0C47"/>
    <w:rsid w:val="008A16F7"/>
    <w:rsid w:val="008A23E6"/>
    <w:rsid w:val="008A27DC"/>
    <w:rsid w:val="008A2E0A"/>
    <w:rsid w:val="008A35B1"/>
    <w:rsid w:val="008A451B"/>
    <w:rsid w:val="008A46FC"/>
    <w:rsid w:val="008B3529"/>
    <w:rsid w:val="008B3D37"/>
    <w:rsid w:val="008B50A0"/>
    <w:rsid w:val="008B70ED"/>
    <w:rsid w:val="008B7583"/>
    <w:rsid w:val="008B7CE0"/>
    <w:rsid w:val="008C05CD"/>
    <w:rsid w:val="008C194E"/>
    <w:rsid w:val="008C2BDC"/>
    <w:rsid w:val="008C3170"/>
    <w:rsid w:val="008C359A"/>
    <w:rsid w:val="008C489B"/>
    <w:rsid w:val="008C49C7"/>
    <w:rsid w:val="008C601F"/>
    <w:rsid w:val="008C6CFE"/>
    <w:rsid w:val="008D013B"/>
    <w:rsid w:val="008D046C"/>
    <w:rsid w:val="008D086C"/>
    <w:rsid w:val="008D0C0C"/>
    <w:rsid w:val="008D0CE3"/>
    <w:rsid w:val="008D0EC6"/>
    <w:rsid w:val="008D1E50"/>
    <w:rsid w:val="008D3DB6"/>
    <w:rsid w:val="008D4AD4"/>
    <w:rsid w:val="008D4F05"/>
    <w:rsid w:val="008D53E7"/>
    <w:rsid w:val="008D6516"/>
    <w:rsid w:val="008D6BC7"/>
    <w:rsid w:val="008D7078"/>
    <w:rsid w:val="008D7331"/>
    <w:rsid w:val="008D777B"/>
    <w:rsid w:val="008D7CD2"/>
    <w:rsid w:val="008E0686"/>
    <w:rsid w:val="008E1876"/>
    <w:rsid w:val="008E1967"/>
    <w:rsid w:val="008E1A25"/>
    <w:rsid w:val="008E2776"/>
    <w:rsid w:val="008E439C"/>
    <w:rsid w:val="008E60D3"/>
    <w:rsid w:val="008E61B0"/>
    <w:rsid w:val="008E6774"/>
    <w:rsid w:val="008E69A0"/>
    <w:rsid w:val="008E6F58"/>
    <w:rsid w:val="008F0947"/>
    <w:rsid w:val="008F2A45"/>
    <w:rsid w:val="008F392D"/>
    <w:rsid w:val="008F451A"/>
    <w:rsid w:val="008F5030"/>
    <w:rsid w:val="008F5B6C"/>
    <w:rsid w:val="008F5FE7"/>
    <w:rsid w:val="008F660F"/>
    <w:rsid w:val="008F6ABE"/>
    <w:rsid w:val="00900EE6"/>
    <w:rsid w:val="009019AB"/>
    <w:rsid w:val="00902855"/>
    <w:rsid w:val="009028A4"/>
    <w:rsid w:val="00903500"/>
    <w:rsid w:val="009035F0"/>
    <w:rsid w:val="00905A61"/>
    <w:rsid w:val="00906041"/>
    <w:rsid w:val="0090616C"/>
    <w:rsid w:val="0091167C"/>
    <w:rsid w:val="00911FA1"/>
    <w:rsid w:val="009132F2"/>
    <w:rsid w:val="00913355"/>
    <w:rsid w:val="00913937"/>
    <w:rsid w:val="00914BE4"/>
    <w:rsid w:val="009168A7"/>
    <w:rsid w:val="00917017"/>
    <w:rsid w:val="00917CBC"/>
    <w:rsid w:val="00920315"/>
    <w:rsid w:val="00921636"/>
    <w:rsid w:val="00921C8C"/>
    <w:rsid w:val="00924CCF"/>
    <w:rsid w:val="00925B89"/>
    <w:rsid w:val="00926569"/>
    <w:rsid w:val="009276BB"/>
    <w:rsid w:val="00932259"/>
    <w:rsid w:val="009323F0"/>
    <w:rsid w:val="009325B9"/>
    <w:rsid w:val="009327DD"/>
    <w:rsid w:val="009332C4"/>
    <w:rsid w:val="00934A03"/>
    <w:rsid w:val="00934BA1"/>
    <w:rsid w:val="009376A2"/>
    <w:rsid w:val="00937D85"/>
    <w:rsid w:val="009402D7"/>
    <w:rsid w:val="009407F2"/>
    <w:rsid w:val="009417B2"/>
    <w:rsid w:val="00942D04"/>
    <w:rsid w:val="00943AB5"/>
    <w:rsid w:val="00944248"/>
    <w:rsid w:val="00944606"/>
    <w:rsid w:val="009462B9"/>
    <w:rsid w:val="00947749"/>
    <w:rsid w:val="00947DA5"/>
    <w:rsid w:val="009500B4"/>
    <w:rsid w:val="00951C05"/>
    <w:rsid w:val="00953C8E"/>
    <w:rsid w:val="00954223"/>
    <w:rsid w:val="009551AD"/>
    <w:rsid w:val="00955277"/>
    <w:rsid w:val="00956C7D"/>
    <w:rsid w:val="00957C2E"/>
    <w:rsid w:val="00957F13"/>
    <w:rsid w:val="00960ED1"/>
    <w:rsid w:val="00961236"/>
    <w:rsid w:val="00961586"/>
    <w:rsid w:val="00961D9A"/>
    <w:rsid w:val="00962710"/>
    <w:rsid w:val="0096608D"/>
    <w:rsid w:val="0096633B"/>
    <w:rsid w:val="00970E90"/>
    <w:rsid w:val="00972F67"/>
    <w:rsid w:val="00975C38"/>
    <w:rsid w:val="00975D21"/>
    <w:rsid w:val="00977C80"/>
    <w:rsid w:val="00977E26"/>
    <w:rsid w:val="00977F47"/>
    <w:rsid w:val="009800A4"/>
    <w:rsid w:val="009829BC"/>
    <w:rsid w:val="00982B58"/>
    <w:rsid w:val="009832BF"/>
    <w:rsid w:val="00983375"/>
    <w:rsid w:val="009838CD"/>
    <w:rsid w:val="00983998"/>
    <w:rsid w:val="00983EFC"/>
    <w:rsid w:val="00984933"/>
    <w:rsid w:val="00985948"/>
    <w:rsid w:val="00985D00"/>
    <w:rsid w:val="0098639C"/>
    <w:rsid w:val="0098657A"/>
    <w:rsid w:val="00987775"/>
    <w:rsid w:val="00990284"/>
    <w:rsid w:val="0099052C"/>
    <w:rsid w:val="0099134D"/>
    <w:rsid w:val="00991E1E"/>
    <w:rsid w:val="00992357"/>
    <w:rsid w:val="0099312E"/>
    <w:rsid w:val="00993AF8"/>
    <w:rsid w:val="00996035"/>
    <w:rsid w:val="00996E6A"/>
    <w:rsid w:val="009970BA"/>
    <w:rsid w:val="00997305"/>
    <w:rsid w:val="009A0C2B"/>
    <w:rsid w:val="009A178E"/>
    <w:rsid w:val="009A3A01"/>
    <w:rsid w:val="009A4CFC"/>
    <w:rsid w:val="009A4ECD"/>
    <w:rsid w:val="009A5C7E"/>
    <w:rsid w:val="009A5F71"/>
    <w:rsid w:val="009A6AAB"/>
    <w:rsid w:val="009A6E00"/>
    <w:rsid w:val="009A7358"/>
    <w:rsid w:val="009B05D4"/>
    <w:rsid w:val="009B05F6"/>
    <w:rsid w:val="009B1565"/>
    <w:rsid w:val="009B2175"/>
    <w:rsid w:val="009B3052"/>
    <w:rsid w:val="009B42CF"/>
    <w:rsid w:val="009B43C9"/>
    <w:rsid w:val="009B456B"/>
    <w:rsid w:val="009B4895"/>
    <w:rsid w:val="009B50E1"/>
    <w:rsid w:val="009B5909"/>
    <w:rsid w:val="009B7205"/>
    <w:rsid w:val="009B7AD5"/>
    <w:rsid w:val="009C366A"/>
    <w:rsid w:val="009C60A3"/>
    <w:rsid w:val="009C7819"/>
    <w:rsid w:val="009C7C37"/>
    <w:rsid w:val="009D17BF"/>
    <w:rsid w:val="009D1FEA"/>
    <w:rsid w:val="009D3481"/>
    <w:rsid w:val="009D40EB"/>
    <w:rsid w:val="009D4BC3"/>
    <w:rsid w:val="009D4DC7"/>
    <w:rsid w:val="009D5196"/>
    <w:rsid w:val="009D54A4"/>
    <w:rsid w:val="009D65B7"/>
    <w:rsid w:val="009D669F"/>
    <w:rsid w:val="009D6CFF"/>
    <w:rsid w:val="009D726C"/>
    <w:rsid w:val="009E167B"/>
    <w:rsid w:val="009E2322"/>
    <w:rsid w:val="009E3508"/>
    <w:rsid w:val="009E4623"/>
    <w:rsid w:val="009E58DD"/>
    <w:rsid w:val="009E5F3A"/>
    <w:rsid w:val="009F082E"/>
    <w:rsid w:val="009F0C4F"/>
    <w:rsid w:val="009F3EE6"/>
    <w:rsid w:val="009F46A9"/>
    <w:rsid w:val="009F52F5"/>
    <w:rsid w:val="009F649D"/>
    <w:rsid w:val="009F7299"/>
    <w:rsid w:val="00A0005C"/>
    <w:rsid w:val="00A00558"/>
    <w:rsid w:val="00A0378A"/>
    <w:rsid w:val="00A03A23"/>
    <w:rsid w:val="00A03B6D"/>
    <w:rsid w:val="00A043C7"/>
    <w:rsid w:val="00A10DC7"/>
    <w:rsid w:val="00A111DF"/>
    <w:rsid w:val="00A12D73"/>
    <w:rsid w:val="00A13788"/>
    <w:rsid w:val="00A14F41"/>
    <w:rsid w:val="00A1527C"/>
    <w:rsid w:val="00A168BB"/>
    <w:rsid w:val="00A20441"/>
    <w:rsid w:val="00A207C8"/>
    <w:rsid w:val="00A20A5D"/>
    <w:rsid w:val="00A21CE3"/>
    <w:rsid w:val="00A226CF"/>
    <w:rsid w:val="00A232C4"/>
    <w:rsid w:val="00A23465"/>
    <w:rsid w:val="00A23F99"/>
    <w:rsid w:val="00A242E1"/>
    <w:rsid w:val="00A24F26"/>
    <w:rsid w:val="00A25460"/>
    <w:rsid w:val="00A256E6"/>
    <w:rsid w:val="00A26A94"/>
    <w:rsid w:val="00A32234"/>
    <w:rsid w:val="00A36459"/>
    <w:rsid w:val="00A3677E"/>
    <w:rsid w:val="00A37FFB"/>
    <w:rsid w:val="00A40AE0"/>
    <w:rsid w:val="00A41A5F"/>
    <w:rsid w:val="00A4267D"/>
    <w:rsid w:val="00A44EB0"/>
    <w:rsid w:val="00A451A1"/>
    <w:rsid w:val="00A473E2"/>
    <w:rsid w:val="00A50E8C"/>
    <w:rsid w:val="00A517BD"/>
    <w:rsid w:val="00A51E27"/>
    <w:rsid w:val="00A5550F"/>
    <w:rsid w:val="00A565D3"/>
    <w:rsid w:val="00A57BD0"/>
    <w:rsid w:val="00A57C7E"/>
    <w:rsid w:val="00A60101"/>
    <w:rsid w:val="00A60395"/>
    <w:rsid w:val="00A606D1"/>
    <w:rsid w:val="00A61FCA"/>
    <w:rsid w:val="00A6222D"/>
    <w:rsid w:val="00A632E8"/>
    <w:rsid w:val="00A651D1"/>
    <w:rsid w:val="00A65748"/>
    <w:rsid w:val="00A66C13"/>
    <w:rsid w:val="00A66E6B"/>
    <w:rsid w:val="00A66E8F"/>
    <w:rsid w:val="00A675BA"/>
    <w:rsid w:val="00A67999"/>
    <w:rsid w:val="00A70B2F"/>
    <w:rsid w:val="00A71BF0"/>
    <w:rsid w:val="00A7276A"/>
    <w:rsid w:val="00A72FF1"/>
    <w:rsid w:val="00A736C2"/>
    <w:rsid w:val="00A73C97"/>
    <w:rsid w:val="00A759FF"/>
    <w:rsid w:val="00A75B61"/>
    <w:rsid w:val="00A75E81"/>
    <w:rsid w:val="00A764E5"/>
    <w:rsid w:val="00A76F17"/>
    <w:rsid w:val="00A77438"/>
    <w:rsid w:val="00A806B5"/>
    <w:rsid w:val="00A81467"/>
    <w:rsid w:val="00A81B86"/>
    <w:rsid w:val="00A82AEC"/>
    <w:rsid w:val="00A83BBC"/>
    <w:rsid w:val="00A84A36"/>
    <w:rsid w:val="00A865E6"/>
    <w:rsid w:val="00A86809"/>
    <w:rsid w:val="00A90209"/>
    <w:rsid w:val="00A903F6"/>
    <w:rsid w:val="00A9146A"/>
    <w:rsid w:val="00A9182D"/>
    <w:rsid w:val="00A91CAD"/>
    <w:rsid w:val="00A9289A"/>
    <w:rsid w:val="00A92E4A"/>
    <w:rsid w:val="00A93396"/>
    <w:rsid w:val="00A952E6"/>
    <w:rsid w:val="00A96546"/>
    <w:rsid w:val="00A971FE"/>
    <w:rsid w:val="00AA1488"/>
    <w:rsid w:val="00AA210D"/>
    <w:rsid w:val="00AA31FA"/>
    <w:rsid w:val="00AA360B"/>
    <w:rsid w:val="00AA36B7"/>
    <w:rsid w:val="00AA4132"/>
    <w:rsid w:val="00AA47A4"/>
    <w:rsid w:val="00AA5A61"/>
    <w:rsid w:val="00AA78E0"/>
    <w:rsid w:val="00AB06C1"/>
    <w:rsid w:val="00AB25EB"/>
    <w:rsid w:val="00AB3464"/>
    <w:rsid w:val="00AB3E90"/>
    <w:rsid w:val="00AB4DC6"/>
    <w:rsid w:val="00AB5ADB"/>
    <w:rsid w:val="00AB5B30"/>
    <w:rsid w:val="00AB5E18"/>
    <w:rsid w:val="00AB6A38"/>
    <w:rsid w:val="00AB7920"/>
    <w:rsid w:val="00AB7FB0"/>
    <w:rsid w:val="00AC01B4"/>
    <w:rsid w:val="00AC083D"/>
    <w:rsid w:val="00AC2374"/>
    <w:rsid w:val="00AC2BDA"/>
    <w:rsid w:val="00AC3388"/>
    <w:rsid w:val="00AC339E"/>
    <w:rsid w:val="00AC3A3E"/>
    <w:rsid w:val="00AC58B4"/>
    <w:rsid w:val="00AC60B6"/>
    <w:rsid w:val="00AC79C9"/>
    <w:rsid w:val="00AD2575"/>
    <w:rsid w:val="00AD25A5"/>
    <w:rsid w:val="00AD268D"/>
    <w:rsid w:val="00AD3569"/>
    <w:rsid w:val="00AD45D6"/>
    <w:rsid w:val="00AD5146"/>
    <w:rsid w:val="00AD6BB9"/>
    <w:rsid w:val="00AD7238"/>
    <w:rsid w:val="00AD7B6C"/>
    <w:rsid w:val="00AD7B8D"/>
    <w:rsid w:val="00AD7EB7"/>
    <w:rsid w:val="00AE0329"/>
    <w:rsid w:val="00AE09D5"/>
    <w:rsid w:val="00AE1127"/>
    <w:rsid w:val="00AE1892"/>
    <w:rsid w:val="00AE2877"/>
    <w:rsid w:val="00AE3046"/>
    <w:rsid w:val="00AE5C14"/>
    <w:rsid w:val="00AE6311"/>
    <w:rsid w:val="00AF0067"/>
    <w:rsid w:val="00AF04C8"/>
    <w:rsid w:val="00AF05A1"/>
    <w:rsid w:val="00AF0611"/>
    <w:rsid w:val="00AF2AD0"/>
    <w:rsid w:val="00AF43D8"/>
    <w:rsid w:val="00AF7C09"/>
    <w:rsid w:val="00B048E4"/>
    <w:rsid w:val="00B049E7"/>
    <w:rsid w:val="00B052F1"/>
    <w:rsid w:val="00B1088E"/>
    <w:rsid w:val="00B11CDB"/>
    <w:rsid w:val="00B11E30"/>
    <w:rsid w:val="00B11F10"/>
    <w:rsid w:val="00B152D1"/>
    <w:rsid w:val="00B15A9F"/>
    <w:rsid w:val="00B15FB3"/>
    <w:rsid w:val="00B2001E"/>
    <w:rsid w:val="00B20C07"/>
    <w:rsid w:val="00B212AC"/>
    <w:rsid w:val="00B22606"/>
    <w:rsid w:val="00B22E11"/>
    <w:rsid w:val="00B23860"/>
    <w:rsid w:val="00B24551"/>
    <w:rsid w:val="00B24819"/>
    <w:rsid w:val="00B251D0"/>
    <w:rsid w:val="00B25CAB"/>
    <w:rsid w:val="00B2641E"/>
    <w:rsid w:val="00B2754D"/>
    <w:rsid w:val="00B30E77"/>
    <w:rsid w:val="00B32778"/>
    <w:rsid w:val="00B32821"/>
    <w:rsid w:val="00B34DFC"/>
    <w:rsid w:val="00B35394"/>
    <w:rsid w:val="00B35D5C"/>
    <w:rsid w:val="00B4028A"/>
    <w:rsid w:val="00B41114"/>
    <w:rsid w:val="00B41399"/>
    <w:rsid w:val="00B42016"/>
    <w:rsid w:val="00B42280"/>
    <w:rsid w:val="00B42ECA"/>
    <w:rsid w:val="00B43466"/>
    <w:rsid w:val="00B44091"/>
    <w:rsid w:val="00B44433"/>
    <w:rsid w:val="00B44D98"/>
    <w:rsid w:val="00B44F41"/>
    <w:rsid w:val="00B45E5F"/>
    <w:rsid w:val="00B46191"/>
    <w:rsid w:val="00B467B0"/>
    <w:rsid w:val="00B476DD"/>
    <w:rsid w:val="00B47950"/>
    <w:rsid w:val="00B50CD5"/>
    <w:rsid w:val="00B51221"/>
    <w:rsid w:val="00B525FE"/>
    <w:rsid w:val="00B549DF"/>
    <w:rsid w:val="00B56896"/>
    <w:rsid w:val="00B57A83"/>
    <w:rsid w:val="00B6087C"/>
    <w:rsid w:val="00B6330D"/>
    <w:rsid w:val="00B663EA"/>
    <w:rsid w:val="00B667AC"/>
    <w:rsid w:val="00B66CC8"/>
    <w:rsid w:val="00B70BB7"/>
    <w:rsid w:val="00B70CFB"/>
    <w:rsid w:val="00B71A4A"/>
    <w:rsid w:val="00B72E79"/>
    <w:rsid w:val="00B72F25"/>
    <w:rsid w:val="00B73A6B"/>
    <w:rsid w:val="00B741D1"/>
    <w:rsid w:val="00B74B0F"/>
    <w:rsid w:val="00B75C78"/>
    <w:rsid w:val="00B779B0"/>
    <w:rsid w:val="00B8070E"/>
    <w:rsid w:val="00B80A33"/>
    <w:rsid w:val="00B821EA"/>
    <w:rsid w:val="00B83622"/>
    <w:rsid w:val="00B856F2"/>
    <w:rsid w:val="00B90034"/>
    <w:rsid w:val="00B907DB"/>
    <w:rsid w:val="00B90E59"/>
    <w:rsid w:val="00B91081"/>
    <w:rsid w:val="00B93CAB"/>
    <w:rsid w:val="00B94C72"/>
    <w:rsid w:val="00B9528F"/>
    <w:rsid w:val="00B9596A"/>
    <w:rsid w:val="00B95A83"/>
    <w:rsid w:val="00B95E9C"/>
    <w:rsid w:val="00B960D4"/>
    <w:rsid w:val="00B9691B"/>
    <w:rsid w:val="00B972DB"/>
    <w:rsid w:val="00B97BCA"/>
    <w:rsid w:val="00BA0EDA"/>
    <w:rsid w:val="00BA332B"/>
    <w:rsid w:val="00BA4DB7"/>
    <w:rsid w:val="00BA51F1"/>
    <w:rsid w:val="00BA7F87"/>
    <w:rsid w:val="00BB19DA"/>
    <w:rsid w:val="00BB1A76"/>
    <w:rsid w:val="00BB367A"/>
    <w:rsid w:val="00BB6C80"/>
    <w:rsid w:val="00BB7BC1"/>
    <w:rsid w:val="00BC1403"/>
    <w:rsid w:val="00BC1637"/>
    <w:rsid w:val="00BC22C2"/>
    <w:rsid w:val="00BC2F19"/>
    <w:rsid w:val="00BC3213"/>
    <w:rsid w:val="00BC3F1B"/>
    <w:rsid w:val="00BC583B"/>
    <w:rsid w:val="00BC5DA3"/>
    <w:rsid w:val="00BC60EC"/>
    <w:rsid w:val="00BC7CC7"/>
    <w:rsid w:val="00BD055D"/>
    <w:rsid w:val="00BD1C72"/>
    <w:rsid w:val="00BD2557"/>
    <w:rsid w:val="00BD3300"/>
    <w:rsid w:val="00BD3A0B"/>
    <w:rsid w:val="00BD5B70"/>
    <w:rsid w:val="00BD6651"/>
    <w:rsid w:val="00BD6B8E"/>
    <w:rsid w:val="00BD6F80"/>
    <w:rsid w:val="00BE044E"/>
    <w:rsid w:val="00BE1399"/>
    <w:rsid w:val="00BE3456"/>
    <w:rsid w:val="00BE37EE"/>
    <w:rsid w:val="00BE612B"/>
    <w:rsid w:val="00BE7F2C"/>
    <w:rsid w:val="00BF06E4"/>
    <w:rsid w:val="00BF0799"/>
    <w:rsid w:val="00BF1577"/>
    <w:rsid w:val="00BF15F2"/>
    <w:rsid w:val="00BF24C0"/>
    <w:rsid w:val="00BF2518"/>
    <w:rsid w:val="00BF263D"/>
    <w:rsid w:val="00BF2C19"/>
    <w:rsid w:val="00BF3691"/>
    <w:rsid w:val="00BF38B4"/>
    <w:rsid w:val="00BF3AA1"/>
    <w:rsid w:val="00BF5CDC"/>
    <w:rsid w:val="00C0028F"/>
    <w:rsid w:val="00C00FE3"/>
    <w:rsid w:val="00C027FD"/>
    <w:rsid w:val="00C02D23"/>
    <w:rsid w:val="00C03230"/>
    <w:rsid w:val="00C03D87"/>
    <w:rsid w:val="00C04092"/>
    <w:rsid w:val="00C04D90"/>
    <w:rsid w:val="00C05C5A"/>
    <w:rsid w:val="00C05E43"/>
    <w:rsid w:val="00C067C3"/>
    <w:rsid w:val="00C06E06"/>
    <w:rsid w:val="00C07CB1"/>
    <w:rsid w:val="00C10495"/>
    <w:rsid w:val="00C122B0"/>
    <w:rsid w:val="00C13A2E"/>
    <w:rsid w:val="00C14660"/>
    <w:rsid w:val="00C14ACE"/>
    <w:rsid w:val="00C168BC"/>
    <w:rsid w:val="00C16BED"/>
    <w:rsid w:val="00C177BE"/>
    <w:rsid w:val="00C21B49"/>
    <w:rsid w:val="00C2262F"/>
    <w:rsid w:val="00C22A90"/>
    <w:rsid w:val="00C22A9A"/>
    <w:rsid w:val="00C23188"/>
    <w:rsid w:val="00C242BB"/>
    <w:rsid w:val="00C249F7"/>
    <w:rsid w:val="00C24AA8"/>
    <w:rsid w:val="00C26809"/>
    <w:rsid w:val="00C268AF"/>
    <w:rsid w:val="00C26AF1"/>
    <w:rsid w:val="00C26FD5"/>
    <w:rsid w:val="00C26FEB"/>
    <w:rsid w:val="00C33470"/>
    <w:rsid w:val="00C3359A"/>
    <w:rsid w:val="00C33B79"/>
    <w:rsid w:val="00C33C6E"/>
    <w:rsid w:val="00C34E47"/>
    <w:rsid w:val="00C35001"/>
    <w:rsid w:val="00C3567F"/>
    <w:rsid w:val="00C359C8"/>
    <w:rsid w:val="00C36899"/>
    <w:rsid w:val="00C40756"/>
    <w:rsid w:val="00C421F5"/>
    <w:rsid w:val="00C42D82"/>
    <w:rsid w:val="00C4348D"/>
    <w:rsid w:val="00C43EA9"/>
    <w:rsid w:val="00C4472F"/>
    <w:rsid w:val="00C44CFF"/>
    <w:rsid w:val="00C45C6A"/>
    <w:rsid w:val="00C46D26"/>
    <w:rsid w:val="00C47C41"/>
    <w:rsid w:val="00C50B91"/>
    <w:rsid w:val="00C515FF"/>
    <w:rsid w:val="00C51AA4"/>
    <w:rsid w:val="00C53984"/>
    <w:rsid w:val="00C55A26"/>
    <w:rsid w:val="00C57EF1"/>
    <w:rsid w:val="00C6003B"/>
    <w:rsid w:val="00C60761"/>
    <w:rsid w:val="00C613BE"/>
    <w:rsid w:val="00C622F0"/>
    <w:rsid w:val="00C63B44"/>
    <w:rsid w:val="00C65E35"/>
    <w:rsid w:val="00C65EE3"/>
    <w:rsid w:val="00C668BD"/>
    <w:rsid w:val="00C66C97"/>
    <w:rsid w:val="00C7088F"/>
    <w:rsid w:val="00C725F5"/>
    <w:rsid w:val="00C731AA"/>
    <w:rsid w:val="00C74058"/>
    <w:rsid w:val="00C746BC"/>
    <w:rsid w:val="00C74FC6"/>
    <w:rsid w:val="00C7682D"/>
    <w:rsid w:val="00C76F02"/>
    <w:rsid w:val="00C770EA"/>
    <w:rsid w:val="00C80AAF"/>
    <w:rsid w:val="00C80B20"/>
    <w:rsid w:val="00C812FA"/>
    <w:rsid w:val="00C813B9"/>
    <w:rsid w:val="00C83321"/>
    <w:rsid w:val="00C846CE"/>
    <w:rsid w:val="00C8736A"/>
    <w:rsid w:val="00C877EF"/>
    <w:rsid w:val="00C87CE9"/>
    <w:rsid w:val="00C90B81"/>
    <w:rsid w:val="00C91626"/>
    <w:rsid w:val="00C91A47"/>
    <w:rsid w:val="00C93003"/>
    <w:rsid w:val="00C936C7"/>
    <w:rsid w:val="00C9375D"/>
    <w:rsid w:val="00C93BF9"/>
    <w:rsid w:val="00C94365"/>
    <w:rsid w:val="00C94929"/>
    <w:rsid w:val="00C94D41"/>
    <w:rsid w:val="00C94FB5"/>
    <w:rsid w:val="00C95419"/>
    <w:rsid w:val="00C961CE"/>
    <w:rsid w:val="00C962B6"/>
    <w:rsid w:val="00C97CBA"/>
    <w:rsid w:val="00CA2456"/>
    <w:rsid w:val="00CA326C"/>
    <w:rsid w:val="00CA3B1D"/>
    <w:rsid w:val="00CA3DE8"/>
    <w:rsid w:val="00CA44A5"/>
    <w:rsid w:val="00CA4E32"/>
    <w:rsid w:val="00CA5489"/>
    <w:rsid w:val="00CA6297"/>
    <w:rsid w:val="00CA6E93"/>
    <w:rsid w:val="00CA7087"/>
    <w:rsid w:val="00CB2EB1"/>
    <w:rsid w:val="00CB364F"/>
    <w:rsid w:val="00CB36D1"/>
    <w:rsid w:val="00CB4036"/>
    <w:rsid w:val="00CB4B5A"/>
    <w:rsid w:val="00CB7146"/>
    <w:rsid w:val="00CC1A18"/>
    <w:rsid w:val="00CC2A2D"/>
    <w:rsid w:val="00CC3756"/>
    <w:rsid w:val="00CC3829"/>
    <w:rsid w:val="00CC3DF2"/>
    <w:rsid w:val="00CC7CE6"/>
    <w:rsid w:val="00CD1279"/>
    <w:rsid w:val="00CD19F6"/>
    <w:rsid w:val="00CD1D42"/>
    <w:rsid w:val="00CD4897"/>
    <w:rsid w:val="00CD59D6"/>
    <w:rsid w:val="00CD6318"/>
    <w:rsid w:val="00CD6678"/>
    <w:rsid w:val="00CD66BB"/>
    <w:rsid w:val="00CD7A3B"/>
    <w:rsid w:val="00CE13EF"/>
    <w:rsid w:val="00CE1BD6"/>
    <w:rsid w:val="00CE1F12"/>
    <w:rsid w:val="00CE2F4E"/>
    <w:rsid w:val="00CE3267"/>
    <w:rsid w:val="00CE3285"/>
    <w:rsid w:val="00CE3778"/>
    <w:rsid w:val="00CE4BBD"/>
    <w:rsid w:val="00CE4D18"/>
    <w:rsid w:val="00CF066A"/>
    <w:rsid w:val="00CF13E9"/>
    <w:rsid w:val="00CF16D8"/>
    <w:rsid w:val="00CF2BCD"/>
    <w:rsid w:val="00CF3A87"/>
    <w:rsid w:val="00CF48DD"/>
    <w:rsid w:val="00CF4E08"/>
    <w:rsid w:val="00CF502E"/>
    <w:rsid w:val="00CF5B19"/>
    <w:rsid w:val="00CF6EF1"/>
    <w:rsid w:val="00CF72D5"/>
    <w:rsid w:val="00D0099D"/>
    <w:rsid w:val="00D00F3A"/>
    <w:rsid w:val="00D0265C"/>
    <w:rsid w:val="00D02B05"/>
    <w:rsid w:val="00D033D5"/>
    <w:rsid w:val="00D03F90"/>
    <w:rsid w:val="00D043A8"/>
    <w:rsid w:val="00D06AF8"/>
    <w:rsid w:val="00D06C93"/>
    <w:rsid w:val="00D071E5"/>
    <w:rsid w:val="00D10982"/>
    <w:rsid w:val="00D11338"/>
    <w:rsid w:val="00D128EB"/>
    <w:rsid w:val="00D13B47"/>
    <w:rsid w:val="00D170E4"/>
    <w:rsid w:val="00D2044A"/>
    <w:rsid w:val="00D21719"/>
    <w:rsid w:val="00D21D5F"/>
    <w:rsid w:val="00D22014"/>
    <w:rsid w:val="00D2279E"/>
    <w:rsid w:val="00D23292"/>
    <w:rsid w:val="00D23481"/>
    <w:rsid w:val="00D24159"/>
    <w:rsid w:val="00D246C0"/>
    <w:rsid w:val="00D2471D"/>
    <w:rsid w:val="00D26163"/>
    <w:rsid w:val="00D2718C"/>
    <w:rsid w:val="00D27DE1"/>
    <w:rsid w:val="00D3063C"/>
    <w:rsid w:val="00D31117"/>
    <w:rsid w:val="00D328B3"/>
    <w:rsid w:val="00D328E1"/>
    <w:rsid w:val="00D3296F"/>
    <w:rsid w:val="00D331D8"/>
    <w:rsid w:val="00D342F0"/>
    <w:rsid w:val="00D36CED"/>
    <w:rsid w:val="00D37A13"/>
    <w:rsid w:val="00D4024C"/>
    <w:rsid w:val="00D40510"/>
    <w:rsid w:val="00D4091A"/>
    <w:rsid w:val="00D40ACD"/>
    <w:rsid w:val="00D421B5"/>
    <w:rsid w:val="00D42FC6"/>
    <w:rsid w:val="00D43077"/>
    <w:rsid w:val="00D434C5"/>
    <w:rsid w:val="00D43553"/>
    <w:rsid w:val="00D43CE8"/>
    <w:rsid w:val="00D455E5"/>
    <w:rsid w:val="00D45D18"/>
    <w:rsid w:val="00D47391"/>
    <w:rsid w:val="00D505F8"/>
    <w:rsid w:val="00D50FA6"/>
    <w:rsid w:val="00D51752"/>
    <w:rsid w:val="00D5231F"/>
    <w:rsid w:val="00D542DB"/>
    <w:rsid w:val="00D5520B"/>
    <w:rsid w:val="00D56330"/>
    <w:rsid w:val="00D619AB"/>
    <w:rsid w:val="00D6240F"/>
    <w:rsid w:val="00D63256"/>
    <w:rsid w:val="00D63D90"/>
    <w:rsid w:val="00D647EB"/>
    <w:rsid w:val="00D66624"/>
    <w:rsid w:val="00D670D6"/>
    <w:rsid w:val="00D67EFD"/>
    <w:rsid w:val="00D70C9C"/>
    <w:rsid w:val="00D71F5E"/>
    <w:rsid w:val="00D72A63"/>
    <w:rsid w:val="00D741E0"/>
    <w:rsid w:val="00D75632"/>
    <w:rsid w:val="00D7584C"/>
    <w:rsid w:val="00D7587E"/>
    <w:rsid w:val="00D75CD8"/>
    <w:rsid w:val="00D7611A"/>
    <w:rsid w:val="00D7618D"/>
    <w:rsid w:val="00D769E2"/>
    <w:rsid w:val="00D7715D"/>
    <w:rsid w:val="00D83156"/>
    <w:rsid w:val="00D83D76"/>
    <w:rsid w:val="00D84906"/>
    <w:rsid w:val="00D8530A"/>
    <w:rsid w:val="00D85D78"/>
    <w:rsid w:val="00D86D79"/>
    <w:rsid w:val="00D876F4"/>
    <w:rsid w:val="00D90491"/>
    <w:rsid w:val="00D904D4"/>
    <w:rsid w:val="00D91545"/>
    <w:rsid w:val="00D91C0C"/>
    <w:rsid w:val="00D92935"/>
    <w:rsid w:val="00D92A64"/>
    <w:rsid w:val="00D9342D"/>
    <w:rsid w:val="00D94C59"/>
    <w:rsid w:val="00D961A0"/>
    <w:rsid w:val="00D9627A"/>
    <w:rsid w:val="00D97A75"/>
    <w:rsid w:val="00D97B0D"/>
    <w:rsid w:val="00DA026D"/>
    <w:rsid w:val="00DA1BCB"/>
    <w:rsid w:val="00DA2440"/>
    <w:rsid w:val="00DA3ED3"/>
    <w:rsid w:val="00DA5332"/>
    <w:rsid w:val="00DA5DE5"/>
    <w:rsid w:val="00DA5EC2"/>
    <w:rsid w:val="00DA63C6"/>
    <w:rsid w:val="00DA686F"/>
    <w:rsid w:val="00DA7355"/>
    <w:rsid w:val="00DA795E"/>
    <w:rsid w:val="00DB021F"/>
    <w:rsid w:val="00DB08F7"/>
    <w:rsid w:val="00DB23DF"/>
    <w:rsid w:val="00DB26EA"/>
    <w:rsid w:val="00DB26F0"/>
    <w:rsid w:val="00DB4705"/>
    <w:rsid w:val="00DB48A9"/>
    <w:rsid w:val="00DB4D8A"/>
    <w:rsid w:val="00DB54E2"/>
    <w:rsid w:val="00DB7C7D"/>
    <w:rsid w:val="00DC36DB"/>
    <w:rsid w:val="00DC4207"/>
    <w:rsid w:val="00DC51B4"/>
    <w:rsid w:val="00DC539D"/>
    <w:rsid w:val="00DC65F2"/>
    <w:rsid w:val="00DC7FB6"/>
    <w:rsid w:val="00DD289E"/>
    <w:rsid w:val="00DD2A87"/>
    <w:rsid w:val="00DD3439"/>
    <w:rsid w:val="00DE0F03"/>
    <w:rsid w:val="00DE12A3"/>
    <w:rsid w:val="00DE149C"/>
    <w:rsid w:val="00DE1B56"/>
    <w:rsid w:val="00DE1E71"/>
    <w:rsid w:val="00DE2001"/>
    <w:rsid w:val="00DE285E"/>
    <w:rsid w:val="00DE2ECD"/>
    <w:rsid w:val="00DE4418"/>
    <w:rsid w:val="00DE4E47"/>
    <w:rsid w:val="00DE5CED"/>
    <w:rsid w:val="00DE71B0"/>
    <w:rsid w:val="00DF04F5"/>
    <w:rsid w:val="00DF1854"/>
    <w:rsid w:val="00DF1D91"/>
    <w:rsid w:val="00DF3028"/>
    <w:rsid w:val="00DF355A"/>
    <w:rsid w:val="00DF46D8"/>
    <w:rsid w:val="00DF4BBB"/>
    <w:rsid w:val="00DF557E"/>
    <w:rsid w:val="00DF55A1"/>
    <w:rsid w:val="00DF5AA6"/>
    <w:rsid w:val="00DF61F7"/>
    <w:rsid w:val="00E0005E"/>
    <w:rsid w:val="00E04059"/>
    <w:rsid w:val="00E05ADD"/>
    <w:rsid w:val="00E06DA3"/>
    <w:rsid w:val="00E10B6D"/>
    <w:rsid w:val="00E10C3A"/>
    <w:rsid w:val="00E10D4D"/>
    <w:rsid w:val="00E11247"/>
    <w:rsid w:val="00E12365"/>
    <w:rsid w:val="00E12813"/>
    <w:rsid w:val="00E1340D"/>
    <w:rsid w:val="00E13446"/>
    <w:rsid w:val="00E13549"/>
    <w:rsid w:val="00E157D3"/>
    <w:rsid w:val="00E161D7"/>
    <w:rsid w:val="00E16FF4"/>
    <w:rsid w:val="00E2073D"/>
    <w:rsid w:val="00E20AD5"/>
    <w:rsid w:val="00E20D85"/>
    <w:rsid w:val="00E210A5"/>
    <w:rsid w:val="00E21925"/>
    <w:rsid w:val="00E22E22"/>
    <w:rsid w:val="00E230D5"/>
    <w:rsid w:val="00E239AE"/>
    <w:rsid w:val="00E24584"/>
    <w:rsid w:val="00E24ADA"/>
    <w:rsid w:val="00E2513B"/>
    <w:rsid w:val="00E258EA"/>
    <w:rsid w:val="00E279F4"/>
    <w:rsid w:val="00E27E26"/>
    <w:rsid w:val="00E30D10"/>
    <w:rsid w:val="00E349D1"/>
    <w:rsid w:val="00E360DF"/>
    <w:rsid w:val="00E36623"/>
    <w:rsid w:val="00E37340"/>
    <w:rsid w:val="00E37CCC"/>
    <w:rsid w:val="00E40E2D"/>
    <w:rsid w:val="00E431B6"/>
    <w:rsid w:val="00E44EC5"/>
    <w:rsid w:val="00E4521A"/>
    <w:rsid w:val="00E45CF5"/>
    <w:rsid w:val="00E46A20"/>
    <w:rsid w:val="00E47686"/>
    <w:rsid w:val="00E47982"/>
    <w:rsid w:val="00E504D5"/>
    <w:rsid w:val="00E50568"/>
    <w:rsid w:val="00E505F5"/>
    <w:rsid w:val="00E5274D"/>
    <w:rsid w:val="00E54780"/>
    <w:rsid w:val="00E55DBF"/>
    <w:rsid w:val="00E5602B"/>
    <w:rsid w:val="00E5619A"/>
    <w:rsid w:val="00E567D6"/>
    <w:rsid w:val="00E57398"/>
    <w:rsid w:val="00E61029"/>
    <w:rsid w:val="00E61AEE"/>
    <w:rsid w:val="00E61C1A"/>
    <w:rsid w:val="00E62DC3"/>
    <w:rsid w:val="00E64402"/>
    <w:rsid w:val="00E64CAD"/>
    <w:rsid w:val="00E65C2E"/>
    <w:rsid w:val="00E67BDA"/>
    <w:rsid w:val="00E71A05"/>
    <w:rsid w:val="00E750DC"/>
    <w:rsid w:val="00E7513D"/>
    <w:rsid w:val="00E75CBE"/>
    <w:rsid w:val="00E75CD4"/>
    <w:rsid w:val="00E76F4A"/>
    <w:rsid w:val="00E7717B"/>
    <w:rsid w:val="00E776CA"/>
    <w:rsid w:val="00E77C2D"/>
    <w:rsid w:val="00E80A02"/>
    <w:rsid w:val="00E810D8"/>
    <w:rsid w:val="00E8348B"/>
    <w:rsid w:val="00E837BA"/>
    <w:rsid w:val="00E85484"/>
    <w:rsid w:val="00E8573C"/>
    <w:rsid w:val="00E869D2"/>
    <w:rsid w:val="00E90163"/>
    <w:rsid w:val="00E93739"/>
    <w:rsid w:val="00E93804"/>
    <w:rsid w:val="00E95861"/>
    <w:rsid w:val="00E9774B"/>
    <w:rsid w:val="00E9796D"/>
    <w:rsid w:val="00EA0992"/>
    <w:rsid w:val="00EA4A47"/>
    <w:rsid w:val="00EA6BFD"/>
    <w:rsid w:val="00EB1917"/>
    <w:rsid w:val="00EB2906"/>
    <w:rsid w:val="00EB47E3"/>
    <w:rsid w:val="00EB495E"/>
    <w:rsid w:val="00EB4AB6"/>
    <w:rsid w:val="00EB6BE5"/>
    <w:rsid w:val="00EB6EBC"/>
    <w:rsid w:val="00EB7F84"/>
    <w:rsid w:val="00EC164C"/>
    <w:rsid w:val="00EC21D4"/>
    <w:rsid w:val="00EC24B5"/>
    <w:rsid w:val="00EC24D7"/>
    <w:rsid w:val="00EC2E80"/>
    <w:rsid w:val="00EC2ED7"/>
    <w:rsid w:val="00EC4617"/>
    <w:rsid w:val="00EC4739"/>
    <w:rsid w:val="00EC498D"/>
    <w:rsid w:val="00EC59AD"/>
    <w:rsid w:val="00EC5FA2"/>
    <w:rsid w:val="00EC66C0"/>
    <w:rsid w:val="00EC7A39"/>
    <w:rsid w:val="00EC7AD2"/>
    <w:rsid w:val="00EC7BB4"/>
    <w:rsid w:val="00ED1DEE"/>
    <w:rsid w:val="00ED1F2D"/>
    <w:rsid w:val="00ED25A6"/>
    <w:rsid w:val="00ED323F"/>
    <w:rsid w:val="00ED4D95"/>
    <w:rsid w:val="00ED5EEF"/>
    <w:rsid w:val="00ED6317"/>
    <w:rsid w:val="00ED7E6A"/>
    <w:rsid w:val="00EE2D90"/>
    <w:rsid w:val="00EE382F"/>
    <w:rsid w:val="00EE4B01"/>
    <w:rsid w:val="00EE4ED2"/>
    <w:rsid w:val="00EE5610"/>
    <w:rsid w:val="00EE644A"/>
    <w:rsid w:val="00EE6A1A"/>
    <w:rsid w:val="00EE75AD"/>
    <w:rsid w:val="00EE7E8C"/>
    <w:rsid w:val="00EF014A"/>
    <w:rsid w:val="00EF2859"/>
    <w:rsid w:val="00EF3359"/>
    <w:rsid w:val="00EF55E5"/>
    <w:rsid w:val="00EF779A"/>
    <w:rsid w:val="00F00EE3"/>
    <w:rsid w:val="00F0101B"/>
    <w:rsid w:val="00F01420"/>
    <w:rsid w:val="00F01A35"/>
    <w:rsid w:val="00F0322C"/>
    <w:rsid w:val="00F03893"/>
    <w:rsid w:val="00F04B2C"/>
    <w:rsid w:val="00F04C32"/>
    <w:rsid w:val="00F052B5"/>
    <w:rsid w:val="00F061BC"/>
    <w:rsid w:val="00F071B4"/>
    <w:rsid w:val="00F0767D"/>
    <w:rsid w:val="00F07C62"/>
    <w:rsid w:val="00F07E6F"/>
    <w:rsid w:val="00F10342"/>
    <w:rsid w:val="00F11B2F"/>
    <w:rsid w:val="00F11D05"/>
    <w:rsid w:val="00F1256E"/>
    <w:rsid w:val="00F12B06"/>
    <w:rsid w:val="00F13B84"/>
    <w:rsid w:val="00F13BCB"/>
    <w:rsid w:val="00F160EA"/>
    <w:rsid w:val="00F164B1"/>
    <w:rsid w:val="00F17795"/>
    <w:rsid w:val="00F179FA"/>
    <w:rsid w:val="00F20DF5"/>
    <w:rsid w:val="00F22A3F"/>
    <w:rsid w:val="00F22C40"/>
    <w:rsid w:val="00F22F6B"/>
    <w:rsid w:val="00F2377E"/>
    <w:rsid w:val="00F239DE"/>
    <w:rsid w:val="00F23EF2"/>
    <w:rsid w:val="00F2421F"/>
    <w:rsid w:val="00F242B4"/>
    <w:rsid w:val="00F24657"/>
    <w:rsid w:val="00F25033"/>
    <w:rsid w:val="00F25E9E"/>
    <w:rsid w:val="00F26B33"/>
    <w:rsid w:val="00F27646"/>
    <w:rsid w:val="00F30604"/>
    <w:rsid w:val="00F30B6C"/>
    <w:rsid w:val="00F318AF"/>
    <w:rsid w:val="00F32FF3"/>
    <w:rsid w:val="00F334E6"/>
    <w:rsid w:val="00F33595"/>
    <w:rsid w:val="00F3521A"/>
    <w:rsid w:val="00F352F3"/>
    <w:rsid w:val="00F37131"/>
    <w:rsid w:val="00F410EC"/>
    <w:rsid w:val="00F41E87"/>
    <w:rsid w:val="00F431CF"/>
    <w:rsid w:val="00F44B80"/>
    <w:rsid w:val="00F44B95"/>
    <w:rsid w:val="00F4530D"/>
    <w:rsid w:val="00F45980"/>
    <w:rsid w:val="00F479FB"/>
    <w:rsid w:val="00F47B8D"/>
    <w:rsid w:val="00F47D58"/>
    <w:rsid w:val="00F53FC1"/>
    <w:rsid w:val="00F56047"/>
    <w:rsid w:val="00F576F0"/>
    <w:rsid w:val="00F60378"/>
    <w:rsid w:val="00F609AF"/>
    <w:rsid w:val="00F61578"/>
    <w:rsid w:val="00F62A90"/>
    <w:rsid w:val="00F630BA"/>
    <w:rsid w:val="00F65489"/>
    <w:rsid w:val="00F67C28"/>
    <w:rsid w:val="00F70301"/>
    <w:rsid w:val="00F707A3"/>
    <w:rsid w:val="00F71C03"/>
    <w:rsid w:val="00F7289A"/>
    <w:rsid w:val="00F7303B"/>
    <w:rsid w:val="00F7304A"/>
    <w:rsid w:val="00F73F0B"/>
    <w:rsid w:val="00F73F2C"/>
    <w:rsid w:val="00F750D5"/>
    <w:rsid w:val="00F7513E"/>
    <w:rsid w:val="00F75D0B"/>
    <w:rsid w:val="00F75DA2"/>
    <w:rsid w:val="00F7747A"/>
    <w:rsid w:val="00F802B5"/>
    <w:rsid w:val="00F812D4"/>
    <w:rsid w:val="00F81DB4"/>
    <w:rsid w:val="00F82060"/>
    <w:rsid w:val="00F8250E"/>
    <w:rsid w:val="00F82DB0"/>
    <w:rsid w:val="00F830FC"/>
    <w:rsid w:val="00F83933"/>
    <w:rsid w:val="00F8427C"/>
    <w:rsid w:val="00F84903"/>
    <w:rsid w:val="00F8493F"/>
    <w:rsid w:val="00F863A6"/>
    <w:rsid w:val="00F87E49"/>
    <w:rsid w:val="00F90AB4"/>
    <w:rsid w:val="00F90E31"/>
    <w:rsid w:val="00F91444"/>
    <w:rsid w:val="00F91A7C"/>
    <w:rsid w:val="00F94091"/>
    <w:rsid w:val="00F949F4"/>
    <w:rsid w:val="00F94F71"/>
    <w:rsid w:val="00F9508C"/>
    <w:rsid w:val="00F972F2"/>
    <w:rsid w:val="00F975D8"/>
    <w:rsid w:val="00FA1E93"/>
    <w:rsid w:val="00FA2A76"/>
    <w:rsid w:val="00FA45CD"/>
    <w:rsid w:val="00FA48A5"/>
    <w:rsid w:val="00FA528D"/>
    <w:rsid w:val="00FA63DF"/>
    <w:rsid w:val="00FA64C5"/>
    <w:rsid w:val="00FA7376"/>
    <w:rsid w:val="00FA7E30"/>
    <w:rsid w:val="00FB0FE4"/>
    <w:rsid w:val="00FB1581"/>
    <w:rsid w:val="00FB1F1F"/>
    <w:rsid w:val="00FB20F5"/>
    <w:rsid w:val="00FB45F4"/>
    <w:rsid w:val="00FB524B"/>
    <w:rsid w:val="00FC05C5"/>
    <w:rsid w:val="00FC1BF6"/>
    <w:rsid w:val="00FC2019"/>
    <w:rsid w:val="00FC2A07"/>
    <w:rsid w:val="00FC3B5E"/>
    <w:rsid w:val="00FC46BC"/>
    <w:rsid w:val="00FC498E"/>
    <w:rsid w:val="00FC4F1B"/>
    <w:rsid w:val="00FC7764"/>
    <w:rsid w:val="00FD2BB6"/>
    <w:rsid w:val="00FD2E0D"/>
    <w:rsid w:val="00FD4005"/>
    <w:rsid w:val="00FD4C3A"/>
    <w:rsid w:val="00FD5E10"/>
    <w:rsid w:val="00FD6327"/>
    <w:rsid w:val="00FD67F0"/>
    <w:rsid w:val="00FD6F7E"/>
    <w:rsid w:val="00FE0B00"/>
    <w:rsid w:val="00FE17EB"/>
    <w:rsid w:val="00FE2A76"/>
    <w:rsid w:val="00FE4D62"/>
    <w:rsid w:val="00FE55CF"/>
    <w:rsid w:val="00FF13E2"/>
    <w:rsid w:val="00FF1F7A"/>
    <w:rsid w:val="00FF388C"/>
    <w:rsid w:val="00FF44A4"/>
    <w:rsid w:val="00FF4CA1"/>
    <w:rsid w:val="00FF6555"/>
    <w:rsid w:val="00FF7137"/>
    <w:rsid w:val="00FF7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612FCA"/>
  <w15:chartTrackingRefBased/>
  <w15:docId w15:val="{FA05B23D-8C2E-485B-9436-3B9C44CAF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0"/>
    <w:next w:val="2"/>
    <w:link w:val="10"/>
    <w:uiPriority w:val="9"/>
    <w:qFormat/>
    <w:rsid w:val="00B35394"/>
    <w:pPr>
      <w:keepNext/>
      <w:keepLines/>
      <w:spacing w:beforeLines="50" w:before="50" w:afterLines="50" w:after="50" w:line="400" w:lineRule="exact"/>
      <w:jc w:val="center"/>
      <w:outlineLvl w:val="0"/>
    </w:pPr>
    <w:rPr>
      <w:rFonts w:ascii="Times New Roman" w:eastAsia="宋体" w:hAnsi="Times New Roman"/>
      <w:b/>
      <w:bCs/>
      <w:kern w:val="44"/>
      <w:sz w:val="32"/>
      <w:szCs w:val="44"/>
      <w14:ligatures w14:val="none"/>
    </w:rPr>
  </w:style>
  <w:style w:type="paragraph" w:styleId="2">
    <w:name w:val="heading 2"/>
    <w:basedOn w:val="a0"/>
    <w:next w:val="3"/>
    <w:link w:val="20"/>
    <w:uiPriority w:val="9"/>
    <w:unhideWhenUsed/>
    <w:qFormat/>
    <w:rsid w:val="00B35394"/>
    <w:pPr>
      <w:keepNext/>
      <w:keepLines/>
      <w:spacing w:beforeLines="50" w:before="50" w:afterLines="50" w:after="50" w:line="400" w:lineRule="exact"/>
      <w:jc w:val="left"/>
      <w:outlineLvl w:val="1"/>
    </w:pPr>
    <w:rPr>
      <w:rFonts w:ascii="Times New Roman" w:eastAsia="宋体" w:hAnsi="Times New Roman" w:cstheme="majorBidi"/>
      <w:b/>
      <w:sz w:val="24"/>
      <w:szCs w:val="32"/>
      <w14:ligatures w14:val="none"/>
    </w:rPr>
  </w:style>
  <w:style w:type="paragraph" w:styleId="3">
    <w:name w:val="heading 3"/>
    <w:next w:val="4"/>
    <w:link w:val="30"/>
    <w:uiPriority w:val="9"/>
    <w:unhideWhenUsed/>
    <w:qFormat/>
    <w:rsid w:val="00B35394"/>
    <w:pPr>
      <w:keepNext/>
      <w:keepLines/>
      <w:spacing w:beforeLines="50" w:before="50" w:afterLines="50" w:after="50" w:line="400" w:lineRule="exact"/>
      <w:outlineLvl w:val="2"/>
    </w:pPr>
    <w:rPr>
      <w:rFonts w:ascii="Times New Roman" w:eastAsia="宋体" w:hAnsi="Times New Roman"/>
      <w:b/>
      <w:bCs/>
      <w:sz w:val="24"/>
      <w:szCs w:val="32"/>
      <w14:ligatures w14:val="none"/>
    </w:rPr>
  </w:style>
  <w:style w:type="paragraph" w:styleId="4">
    <w:name w:val="heading 4"/>
    <w:basedOn w:val="a0"/>
    <w:next w:val="a"/>
    <w:link w:val="40"/>
    <w:uiPriority w:val="9"/>
    <w:unhideWhenUsed/>
    <w:qFormat/>
    <w:rsid w:val="00B35394"/>
    <w:pPr>
      <w:keepNext/>
      <w:keepLines/>
      <w:spacing w:beforeLines="50" w:before="50" w:afterLines="50" w:after="50" w:line="400" w:lineRule="exact"/>
      <w:outlineLvl w:val="3"/>
    </w:pPr>
    <w:rPr>
      <w:rFonts w:ascii="Times New Roman" w:eastAsia="宋体" w:hAnsi="Times New Roman" w:cstheme="majorBidi"/>
      <w:b/>
      <w:bCs/>
      <w:sz w:val="24"/>
      <w:szCs w:val="28"/>
      <w14:ligatures w14:val="none"/>
    </w:rPr>
  </w:style>
  <w:style w:type="paragraph" w:styleId="5">
    <w:name w:val="heading 5"/>
    <w:basedOn w:val="4"/>
    <w:next w:val="a"/>
    <w:link w:val="50"/>
    <w:uiPriority w:val="9"/>
    <w:unhideWhenUsed/>
    <w:qFormat/>
    <w:rsid w:val="00B35394"/>
    <w:pPr>
      <w:outlineLvl w:val="4"/>
    </w:pPr>
    <w:rPr>
      <w:b w:val="0"/>
      <w:bCs w:val="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B35394"/>
    <w:pPr>
      <w:tabs>
        <w:tab w:val="center" w:pos="4153"/>
        <w:tab w:val="right" w:pos="8306"/>
      </w:tabs>
      <w:snapToGrid w:val="0"/>
      <w:jc w:val="center"/>
    </w:pPr>
    <w:rPr>
      <w:sz w:val="18"/>
      <w:szCs w:val="18"/>
    </w:rPr>
  </w:style>
  <w:style w:type="character" w:customStyle="1" w:styleId="a5">
    <w:name w:val="页眉 字符"/>
    <w:basedOn w:val="a1"/>
    <w:link w:val="a4"/>
    <w:uiPriority w:val="99"/>
    <w:rsid w:val="00B35394"/>
    <w:rPr>
      <w:sz w:val="18"/>
      <w:szCs w:val="18"/>
    </w:rPr>
  </w:style>
  <w:style w:type="paragraph" w:styleId="a6">
    <w:name w:val="footer"/>
    <w:basedOn w:val="a"/>
    <w:link w:val="a7"/>
    <w:uiPriority w:val="99"/>
    <w:unhideWhenUsed/>
    <w:rsid w:val="00B35394"/>
    <w:pPr>
      <w:tabs>
        <w:tab w:val="center" w:pos="4153"/>
        <w:tab w:val="right" w:pos="8306"/>
      </w:tabs>
      <w:snapToGrid w:val="0"/>
      <w:jc w:val="left"/>
    </w:pPr>
    <w:rPr>
      <w:sz w:val="18"/>
      <w:szCs w:val="18"/>
    </w:rPr>
  </w:style>
  <w:style w:type="character" w:customStyle="1" w:styleId="a7">
    <w:name w:val="页脚 字符"/>
    <w:basedOn w:val="a1"/>
    <w:link w:val="a6"/>
    <w:uiPriority w:val="99"/>
    <w:rsid w:val="00B35394"/>
    <w:rPr>
      <w:sz w:val="18"/>
      <w:szCs w:val="18"/>
    </w:rPr>
  </w:style>
  <w:style w:type="character" w:customStyle="1" w:styleId="10">
    <w:name w:val="标题 1 字符"/>
    <w:basedOn w:val="a1"/>
    <w:link w:val="1"/>
    <w:uiPriority w:val="9"/>
    <w:rsid w:val="00B35394"/>
    <w:rPr>
      <w:rFonts w:ascii="Times New Roman" w:eastAsia="宋体" w:hAnsi="Times New Roman"/>
      <w:b/>
      <w:bCs/>
      <w:kern w:val="44"/>
      <w:sz w:val="32"/>
      <w:szCs w:val="44"/>
      <w14:ligatures w14:val="none"/>
    </w:rPr>
  </w:style>
  <w:style w:type="character" w:customStyle="1" w:styleId="20">
    <w:name w:val="标题 2 字符"/>
    <w:basedOn w:val="a1"/>
    <w:link w:val="2"/>
    <w:uiPriority w:val="9"/>
    <w:rsid w:val="00B35394"/>
    <w:rPr>
      <w:rFonts w:ascii="Times New Roman" w:eastAsia="宋体" w:hAnsi="Times New Roman" w:cstheme="majorBidi"/>
      <w:b/>
      <w:sz w:val="24"/>
      <w:szCs w:val="32"/>
      <w14:ligatures w14:val="none"/>
    </w:rPr>
  </w:style>
  <w:style w:type="character" w:customStyle="1" w:styleId="30">
    <w:name w:val="标题 3 字符"/>
    <w:basedOn w:val="a1"/>
    <w:link w:val="3"/>
    <w:uiPriority w:val="9"/>
    <w:rsid w:val="00B35394"/>
    <w:rPr>
      <w:rFonts w:ascii="Times New Roman" w:eastAsia="宋体" w:hAnsi="Times New Roman"/>
      <w:b/>
      <w:bCs/>
      <w:sz w:val="24"/>
      <w:szCs w:val="32"/>
      <w14:ligatures w14:val="none"/>
    </w:rPr>
  </w:style>
  <w:style w:type="character" w:customStyle="1" w:styleId="40">
    <w:name w:val="标题 4 字符"/>
    <w:basedOn w:val="a1"/>
    <w:link w:val="4"/>
    <w:uiPriority w:val="9"/>
    <w:rsid w:val="00B35394"/>
    <w:rPr>
      <w:rFonts w:ascii="Times New Roman" w:eastAsia="宋体" w:hAnsi="Times New Roman" w:cstheme="majorBidi"/>
      <w:b/>
      <w:bCs/>
      <w:sz w:val="24"/>
      <w:szCs w:val="28"/>
      <w14:ligatures w14:val="none"/>
    </w:rPr>
  </w:style>
  <w:style w:type="character" w:customStyle="1" w:styleId="50">
    <w:name w:val="标题 5 字符"/>
    <w:basedOn w:val="a1"/>
    <w:link w:val="5"/>
    <w:uiPriority w:val="9"/>
    <w:rsid w:val="00B35394"/>
    <w:rPr>
      <w:rFonts w:ascii="Times New Roman" w:eastAsia="宋体" w:hAnsi="Times New Roman" w:cstheme="majorBidi"/>
      <w:sz w:val="24"/>
      <w:szCs w:val="28"/>
      <w14:ligatures w14:val="none"/>
    </w:rPr>
  </w:style>
  <w:style w:type="paragraph" w:styleId="a0">
    <w:name w:val="No Spacing"/>
    <w:uiPriority w:val="1"/>
    <w:qFormat/>
    <w:rsid w:val="00B35394"/>
    <w:pPr>
      <w:widowControl w:val="0"/>
      <w:jc w:val="both"/>
    </w:pPr>
  </w:style>
  <w:style w:type="paragraph" w:styleId="a8">
    <w:name w:val="Normal (Web)"/>
    <w:basedOn w:val="a"/>
    <w:uiPriority w:val="99"/>
    <w:semiHidden/>
    <w:unhideWhenUsed/>
    <w:rsid w:val="00E05ADD"/>
    <w:pPr>
      <w:widowControl/>
      <w:spacing w:before="100" w:beforeAutospacing="1" w:after="100" w:afterAutospacing="1"/>
      <w:jc w:val="left"/>
    </w:pPr>
    <w:rPr>
      <w:rFonts w:ascii="宋体" w:eastAsia="宋体" w:hAnsi="宋体" w:cs="宋体"/>
      <w:kern w:val="0"/>
      <w:sz w:val="24"/>
      <w:szCs w:val="24"/>
      <w14:ligatures w14:val="none"/>
    </w:rPr>
  </w:style>
  <w:style w:type="paragraph" w:styleId="a9">
    <w:name w:val="endnote text"/>
    <w:basedOn w:val="a"/>
    <w:link w:val="aa"/>
    <w:uiPriority w:val="99"/>
    <w:unhideWhenUsed/>
    <w:rsid w:val="00683E3E"/>
    <w:pPr>
      <w:snapToGrid w:val="0"/>
      <w:jc w:val="left"/>
    </w:pPr>
  </w:style>
  <w:style w:type="character" w:customStyle="1" w:styleId="aa">
    <w:name w:val="尾注文本 字符"/>
    <w:basedOn w:val="a1"/>
    <w:link w:val="a9"/>
    <w:uiPriority w:val="99"/>
    <w:rsid w:val="00683E3E"/>
  </w:style>
  <w:style w:type="character" w:styleId="ab">
    <w:name w:val="endnote reference"/>
    <w:basedOn w:val="a1"/>
    <w:uiPriority w:val="99"/>
    <w:semiHidden/>
    <w:unhideWhenUsed/>
    <w:rsid w:val="00683E3E"/>
    <w:rPr>
      <w:vertAlign w:val="superscript"/>
    </w:rPr>
  </w:style>
  <w:style w:type="paragraph" w:styleId="ac">
    <w:name w:val="footnote text"/>
    <w:basedOn w:val="a"/>
    <w:link w:val="ad"/>
    <w:uiPriority w:val="99"/>
    <w:semiHidden/>
    <w:unhideWhenUsed/>
    <w:rsid w:val="00517851"/>
    <w:pPr>
      <w:snapToGrid w:val="0"/>
      <w:jc w:val="left"/>
    </w:pPr>
    <w:rPr>
      <w:sz w:val="18"/>
      <w:szCs w:val="18"/>
    </w:rPr>
  </w:style>
  <w:style w:type="character" w:customStyle="1" w:styleId="ad">
    <w:name w:val="脚注文本 字符"/>
    <w:basedOn w:val="a1"/>
    <w:link w:val="ac"/>
    <w:uiPriority w:val="99"/>
    <w:semiHidden/>
    <w:rsid w:val="00517851"/>
    <w:rPr>
      <w:sz w:val="18"/>
      <w:szCs w:val="18"/>
    </w:rPr>
  </w:style>
  <w:style w:type="character" w:styleId="ae">
    <w:name w:val="footnote reference"/>
    <w:basedOn w:val="a1"/>
    <w:uiPriority w:val="99"/>
    <w:semiHidden/>
    <w:unhideWhenUsed/>
    <w:rsid w:val="00517851"/>
    <w:rPr>
      <w:vertAlign w:val="superscript"/>
    </w:rPr>
  </w:style>
  <w:style w:type="character" w:styleId="af">
    <w:name w:val="Placeholder Text"/>
    <w:basedOn w:val="a1"/>
    <w:uiPriority w:val="99"/>
    <w:semiHidden/>
    <w:rsid w:val="00D542DB"/>
    <w:rPr>
      <w:color w:val="666666"/>
    </w:rPr>
  </w:style>
  <w:style w:type="character" w:customStyle="1" w:styleId="font01">
    <w:name w:val="font01"/>
    <w:basedOn w:val="a1"/>
    <w:rsid w:val="00B91081"/>
    <w:rPr>
      <w:rFonts w:ascii="宋体" w:eastAsia="宋体" w:hAnsi="宋体" w:hint="eastAsia"/>
      <w:b w:val="0"/>
      <w:bCs w:val="0"/>
      <w:i w:val="0"/>
      <w:iCs w:val="0"/>
      <w:strike w:val="0"/>
      <w:dstrike w:val="0"/>
      <w:color w:val="000000"/>
      <w:sz w:val="22"/>
      <w:szCs w:val="22"/>
      <w:u w:val="none"/>
      <w:effect w:val="none"/>
    </w:rPr>
  </w:style>
  <w:style w:type="character" w:customStyle="1" w:styleId="font11">
    <w:name w:val="font11"/>
    <w:basedOn w:val="a1"/>
    <w:rsid w:val="00B91081"/>
    <w:rPr>
      <w:rFonts w:ascii="Times New Roman" w:hAnsi="Times New Roman" w:cs="Times New Roman" w:hint="default"/>
      <w:b w:val="0"/>
      <w:bCs w:val="0"/>
      <w:i w:val="0"/>
      <w:iCs w:val="0"/>
      <w:strike w:val="0"/>
      <w:dstrike w:val="0"/>
      <w:color w:val="000000"/>
      <w:sz w:val="22"/>
      <w:szCs w:val="22"/>
      <w:u w:val="none"/>
      <w:effect w:val="none"/>
    </w:rPr>
  </w:style>
  <w:style w:type="paragraph" w:styleId="af0">
    <w:name w:val="Bibliography"/>
    <w:basedOn w:val="a"/>
    <w:next w:val="a"/>
    <w:uiPriority w:val="37"/>
    <w:unhideWhenUsed/>
    <w:rsid w:val="00621DF2"/>
    <w:pPr>
      <w:tabs>
        <w:tab w:val="left" w:pos="384"/>
      </w:tabs>
      <w:spacing w:line="480" w:lineRule="auto"/>
      <w:ind w:left="384" w:hanging="384"/>
    </w:pPr>
  </w:style>
  <w:style w:type="character" w:styleId="af1">
    <w:name w:val="Hyperlink"/>
    <w:basedOn w:val="a1"/>
    <w:uiPriority w:val="99"/>
    <w:unhideWhenUsed/>
    <w:rsid w:val="00D92935"/>
    <w:rPr>
      <w:color w:val="467886" w:themeColor="hyperlink"/>
      <w:u w:val="single"/>
    </w:rPr>
  </w:style>
  <w:style w:type="character" w:styleId="af2">
    <w:name w:val="Unresolved Mention"/>
    <w:basedOn w:val="a1"/>
    <w:uiPriority w:val="99"/>
    <w:semiHidden/>
    <w:unhideWhenUsed/>
    <w:rsid w:val="00D929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692179">
      <w:bodyDiv w:val="1"/>
      <w:marLeft w:val="0"/>
      <w:marRight w:val="0"/>
      <w:marTop w:val="0"/>
      <w:marBottom w:val="0"/>
      <w:divBdr>
        <w:top w:val="none" w:sz="0" w:space="0" w:color="auto"/>
        <w:left w:val="none" w:sz="0" w:space="0" w:color="auto"/>
        <w:bottom w:val="none" w:sz="0" w:space="0" w:color="auto"/>
        <w:right w:val="none" w:sz="0" w:space="0" w:color="auto"/>
      </w:divBdr>
    </w:div>
    <w:div w:id="233053454">
      <w:bodyDiv w:val="1"/>
      <w:marLeft w:val="0"/>
      <w:marRight w:val="0"/>
      <w:marTop w:val="0"/>
      <w:marBottom w:val="0"/>
      <w:divBdr>
        <w:top w:val="none" w:sz="0" w:space="0" w:color="auto"/>
        <w:left w:val="none" w:sz="0" w:space="0" w:color="auto"/>
        <w:bottom w:val="none" w:sz="0" w:space="0" w:color="auto"/>
        <w:right w:val="none" w:sz="0" w:space="0" w:color="auto"/>
      </w:divBdr>
    </w:div>
    <w:div w:id="233442800">
      <w:bodyDiv w:val="1"/>
      <w:marLeft w:val="0"/>
      <w:marRight w:val="0"/>
      <w:marTop w:val="0"/>
      <w:marBottom w:val="0"/>
      <w:divBdr>
        <w:top w:val="none" w:sz="0" w:space="0" w:color="auto"/>
        <w:left w:val="none" w:sz="0" w:space="0" w:color="auto"/>
        <w:bottom w:val="none" w:sz="0" w:space="0" w:color="auto"/>
        <w:right w:val="none" w:sz="0" w:space="0" w:color="auto"/>
      </w:divBdr>
    </w:div>
    <w:div w:id="257450234">
      <w:bodyDiv w:val="1"/>
      <w:marLeft w:val="0"/>
      <w:marRight w:val="0"/>
      <w:marTop w:val="0"/>
      <w:marBottom w:val="0"/>
      <w:divBdr>
        <w:top w:val="none" w:sz="0" w:space="0" w:color="auto"/>
        <w:left w:val="none" w:sz="0" w:space="0" w:color="auto"/>
        <w:bottom w:val="none" w:sz="0" w:space="0" w:color="auto"/>
        <w:right w:val="none" w:sz="0" w:space="0" w:color="auto"/>
      </w:divBdr>
    </w:div>
    <w:div w:id="280654972">
      <w:bodyDiv w:val="1"/>
      <w:marLeft w:val="0"/>
      <w:marRight w:val="0"/>
      <w:marTop w:val="0"/>
      <w:marBottom w:val="0"/>
      <w:divBdr>
        <w:top w:val="none" w:sz="0" w:space="0" w:color="auto"/>
        <w:left w:val="none" w:sz="0" w:space="0" w:color="auto"/>
        <w:bottom w:val="none" w:sz="0" w:space="0" w:color="auto"/>
        <w:right w:val="none" w:sz="0" w:space="0" w:color="auto"/>
      </w:divBdr>
    </w:div>
    <w:div w:id="301469215">
      <w:bodyDiv w:val="1"/>
      <w:marLeft w:val="0"/>
      <w:marRight w:val="0"/>
      <w:marTop w:val="0"/>
      <w:marBottom w:val="0"/>
      <w:divBdr>
        <w:top w:val="none" w:sz="0" w:space="0" w:color="auto"/>
        <w:left w:val="none" w:sz="0" w:space="0" w:color="auto"/>
        <w:bottom w:val="none" w:sz="0" w:space="0" w:color="auto"/>
        <w:right w:val="none" w:sz="0" w:space="0" w:color="auto"/>
      </w:divBdr>
    </w:div>
    <w:div w:id="310602808">
      <w:bodyDiv w:val="1"/>
      <w:marLeft w:val="0"/>
      <w:marRight w:val="0"/>
      <w:marTop w:val="0"/>
      <w:marBottom w:val="0"/>
      <w:divBdr>
        <w:top w:val="none" w:sz="0" w:space="0" w:color="auto"/>
        <w:left w:val="none" w:sz="0" w:space="0" w:color="auto"/>
        <w:bottom w:val="none" w:sz="0" w:space="0" w:color="auto"/>
        <w:right w:val="none" w:sz="0" w:space="0" w:color="auto"/>
      </w:divBdr>
    </w:div>
    <w:div w:id="343478824">
      <w:bodyDiv w:val="1"/>
      <w:marLeft w:val="0"/>
      <w:marRight w:val="0"/>
      <w:marTop w:val="0"/>
      <w:marBottom w:val="0"/>
      <w:divBdr>
        <w:top w:val="none" w:sz="0" w:space="0" w:color="auto"/>
        <w:left w:val="none" w:sz="0" w:space="0" w:color="auto"/>
        <w:bottom w:val="none" w:sz="0" w:space="0" w:color="auto"/>
        <w:right w:val="none" w:sz="0" w:space="0" w:color="auto"/>
      </w:divBdr>
    </w:div>
    <w:div w:id="370812543">
      <w:bodyDiv w:val="1"/>
      <w:marLeft w:val="0"/>
      <w:marRight w:val="0"/>
      <w:marTop w:val="0"/>
      <w:marBottom w:val="0"/>
      <w:divBdr>
        <w:top w:val="none" w:sz="0" w:space="0" w:color="auto"/>
        <w:left w:val="none" w:sz="0" w:space="0" w:color="auto"/>
        <w:bottom w:val="none" w:sz="0" w:space="0" w:color="auto"/>
        <w:right w:val="none" w:sz="0" w:space="0" w:color="auto"/>
      </w:divBdr>
      <w:divsChild>
        <w:div w:id="502354839">
          <w:marLeft w:val="0"/>
          <w:marRight w:val="0"/>
          <w:marTop w:val="0"/>
          <w:marBottom w:val="0"/>
          <w:divBdr>
            <w:top w:val="none" w:sz="0" w:space="0" w:color="auto"/>
            <w:left w:val="none" w:sz="0" w:space="0" w:color="auto"/>
            <w:bottom w:val="none" w:sz="0" w:space="0" w:color="auto"/>
            <w:right w:val="none" w:sz="0" w:space="0" w:color="auto"/>
          </w:divBdr>
        </w:div>
      </w:divsChild>
    </w:div>
    <w:div w:id="398334385">
      <w:bodyDiv w:val="1"/>
      <w:marLeft w:val="0"/>
      <w:marRight w:val="0"/>
      <w:marTop w:val="0"/>
      <w:marBottom w:val="0"/>
      <w:divBdr>
        <w:top w:val="none" w:sz="0" w:space="0" w:color="auto"/>
        <w:left w:val="none" w:sz="0" w:space="0" w:color="auto"/>
        <w:bottom w:val="none" w:sz="0" w:space="0" w:color="auto"/>
        <w:right w:val="none" w:sz="0" w:space="0" w:color="auto"/>
      </w:divBdr>
    </w:div>
    <w:div w:id="420874597">
      <w:bodyDiv w:val="1"/>
      <w:marLeft w:val="0"/>
      <w:marRight w:val="0"/>
      <w:marTop w:val="0"/>
      <w:marBottom w:val="0"/>
      <w:divBdr>
        <w:top w:val="none" w:sz="0" w:space="0" w:color="auto"/>
        <w:left w:val="none" w:sz="0" w:space="0" w:color="auto"/>
        <w:bottom w:val="none" w:sz="0" w:space="0" w:color="auto"/>
        <w:right w:val="none" w:sz="0" w:space="0" w:color="auto"/>
      </w:divBdr>
    </w:div>
    <w:div w:id="463424499">
      <w:bodyDiv w:val="1"/>
      <w:marLeft w:val="0"/>
      <w:marRight w:val="0"/>
      <w:marTop w:val="0"/>
      <w:marBottom w:val="0"/>
      <w:divBdr>
        <w:top w:val="none" w:sz="0" w:space="0" w:color="auto"/>
        <w:left w:val="none" w:sz="0" w:space="0" w:color="auto"/>
        <w:bottom w:val="none" w:sz="0" w:space="0" w:color="auto"/>
        <w:right w:val="none" w:sz="0" w:space="0" w:color="auto"/>
      </w:divBdr>
      <w:divsChild>
        <w:div w:id="572744692">
          <w:marLeft w:val="0"/>
          <w:marRight w:val="0"/>
          <w:marTop w:val="0"/>
          <w:marBottom w:val="0"/>
          <w:divBdr>
            <w:top w:val="none" w:sz="0" w:space="0" w:color="auto"/>
            <w:left w:val="none" w:sz="0" w:space="0" w:color="auto"/>
            <w:bottom w:val="none" w:sz="0" w:space="0" w:color="auto"/>
            <w:right w:val="none" w:sz="0" w:space="0" w:color="auto"/>
          </w:divBdr>
        </w:div>
      </w:divsChild>
    </w:div>
    <w:div w:id="623391463">
      <w:bodyDiv w:val="1"/>
      <w:marLeft w:val="0"/>
      <w:marRight w:val="0"/>
      <w:marTop w:val="0"/>
      <w:marBottom w:val="0"/>
      <w:divBdr>
        <w:top w:val="none" w:sz="0" w:space="0" w:color="auto"/>
        <w:left w:val="none" w:sz="0" w:space="0" w:color="auto"/>
        <w:bottom w:val="none" w:sz="0" w:space="0" w:color="auto"/>
        <w:right w:val="none" w:sz="0" w:space="0" w:color="auto"/>
      </w:divBdr>
    </w:div>
    <w:div w:id="643703174">
      <w:bodyDiv w:val="1"/>
      <w:marLeft w:val="0"/>
      <w:marRight w:val="0"/>
      <w:marTop w:val="0"/>
      <w:marBottom w:val="0"/>
      <w:divBdr>
        <w:top w:val="none" w:sz="0" w:space="0" w:color="auto"/>
        <w:left w:val="none" w:sz="0" w:space="0" w:color="auto"/>
        <w:bottom w:val="none" w:sz="0" w:space="0" w:color="auto"/>
        <w:right w:val="none" w:sz="0" w:space="0" w:color="auto"/>
      </w:divBdr>
    </w:div>
    <w:div w:id="660546828">
      <w:bodyDiv w:val="1"/>
      <w:marLeft w:val="0"/>
      <w:marRight w:val="0"/>
      <w:marTop w:val="0"/>
      <w:marBottom w:val="0"/>
      <w:divBdr>
        <w:top w:val="none" w:sz="0" w:space="0" w:color="auto"/>
        <w:left w:val="none" w:sz="0" w:space="0" w:color="auto"/>
        <w:bottom w:val="none" w:sz="0" w:space="0" w:color="auto"/>
        <w:right w:val="none" w:sz="0" w:space="0" w:color="auto"/>
      </w:divBdr>
    </w:div>
    <w:div w:id="663162387">
      <w:bodyDiv w:val="1"/>
      <w:marLeft w:val="0"/>
      <w:marRight w:val="0"/>
      <w:marTop w:val="0"/>
      <w:marBottom w:val="0"/>
      <w:divBdr>
        <w:top w:val="none" w:sz="0" w:space="0" w:color="auto"/>
        <w:left w:val="none" w:sz="0" w:space="0" w:color="auto"/>
        <w:bottom w:val="none" w:sz="0" w:space="0" w:color="auto"/>
        <w:right w:val="none" w:sz="0" w:space="0" w:color="auto"/>
      </w:divBdr>
    </w:div>
    <w:div w:id="690376721">
      <w:bodyDiv w:val="1"/>
      <w:marLeft w:val="0"/>
      <w:marRight w:val="0"/>
      <w:marTop w:val="0"/>
      <w:marBottom w:val="0"/>
      <w:divBdr>
        <w:top w:val="none" w:sz="0" w:space="0" w:color="auto"/>
        <w:left w:val="none" w:sz="0" w:space="0" w:color="auto"/>
        <w:bottom w:val="none" w:sz="0" w:space="0" w:color="auto"/>
        <w:right w:val="none" w:sz="0" w:space="0" w:color="auto"/>
      </w:divBdr>
    </w:div>
    <w:div w:id="696124375">
      <w:bodyDiv w:val="1"/>
      <w:marLeft w:val="0"/>
      <w:marRight w:val="0"/>
      <w:marTop w:val="0"/>
      <w:marBottom w:val="0"/>
      <w:divBdr>
        <w:top w:val="none" w:sz="0" w:space="0" w:color="auto"/>
        <w:left w:val="none" w:sz="0" w:space="0" w:color="auto"/>
        <w:bottom w:val="none" w:sz="0" w:space="0" w:color="auto"/>
        <w:right w:val="none" w:sz="0" w:space="0" w:color="auto"/>
      </w:divBdr>
    </w:div>
    <w:div w:id="742486055">
      <w:bodyDiv w:val="1"/>
      <w:marLeft w:val="0"/>
      <w:marRight w:val="0"/>
      <w:marTop w:val="0"/>
      <w:marBottom w:val="0"/>
      <w:divBdr>
        <w:top w:val="none" w:sz="0" w:space="0" w:color="auto"/>
        <w:left w:val="none" w:sz="0" w:space="0" w:color="auto"/>
        <w:bottom w:val="none" w:sz="0" w:space="0" w:color="auto"/>
        <w:right w:val="none" w:sz="0" w:space="0" w:color="auto"/>
      </w:divBdr>
    </w:div>
    <w:div w:id="775829856">
      <w:bodyDiv w:val="1"/>
      <w:marLeft w:val="0"/>
      <w:marRight w:val="0"/>
      <w:marTop w:val="0"/>
      <w:marBottom w:val="0"/>
      <w:divBdr>
        <w:top w:val="none" w:sz="0" w:space="0" w:color="auto"/>
        <w:left w:val="none" w:sz="0" w:space="0" w:color="auto"/>
        <w:bottom w:val="none" w:sz="0" w:space="0" w:color="auto"/>
        <w:right w:val="none" w:sz="0" w:space="0" w:color="auto"/>
      </w:divBdr>
    </w:div>
    <w:div w:id="779837069">
      <w:bodyDiv w:val="1"/>
      <w:marLeft w:val="0"/>
      <w:marRight w:val="0"/>
      <w:marTop w:val="0"/>
      <w:marBottom w:val="0"/>
      <w:divBdr>
        <w:top w:val="none" w:sz="0" w:space="0" w:color="auto"/>
        <w:left w:val="none" w:sz="0" w:space="0" w:color="auto"/>
        <w:bottom w:val="none" w:sz="0" w:space="0" w:color="auto"/>
        <w:right w:val="none" w:sz="0" w:space="0" w:color="auto"/>
      </w:divBdr>
    </w:div>
    <w:div w:id="784346623">
      <w:bodyDiv w:val="1"/>
      <w:marLeft w:val="0"/>
      <w:marRight w:val="0"/>
      <w:marTop w:val="0"/>
      <w:marBottom w:val="0"/>
      <w:divBdr>
        <w:top w:val="none" w:sz="0" w:space="0" w:color="auto"/>
        <w:left w:val="none" w:sz="0" w:space="0" w:color="auto"/>
        <w:bottom w:val="none" w:sz="0" w:space="0" w:color="auto"/>
        <w:right w:val="none" w:sz="0" w:space="0" w:color="auto"/>
      </w:divBdr>
    </w:div>
    <w:div w:id="786509325">
      <w:bodyDiv w:val="1"/>
      <w:marLeft w:val="0"/>
      <w:marRight w:val="0"/>
      <w:marTop w:val="0"/>
      <w:marBottom w:val="0"/>
      <w:divBdr>
        <w:top w:val="none" w:sz="0" w:space="0" w:color="auto"/>
        <w:left w:val="none" w:sz="0" w:space="0" w:color="auto"/>
        <w:bottom w:val="none" w:sz="0" w:space="0" w:color="auto"/>
        <w:right w:val="none" w:sz="0" w:space="0" w:color="auto"/>
      </w:divBdr>
    </w:div>
    <w:div w:id="890266227">
      <w:bodyDiv w:val="1"/>
      <w:marLeft w:val="0"/>
      <w:marRight w:val="0"/>
      <w:marTop w:val="0"/>
      <w:marBottom w:val="0"/>
      <w:divBdr>
        <w:top w:val="none" w:sz="0" w:space="0" w:color="auto"/>
        <w:left w:val="none" w:sz="0" w:space="0" w:color="auto"/>
        <w:bottom w:val="none" w:sz="0" w:space="0" w:color="auto"/>
        <w:right w:val="none" w:sz="0" w:space="0" w:color="auto"/>
      </w:divBdr>
    </w:div>
    <w:div w:id="925193240">
      <w:bodyDiv w:val="1"/>
      <w:marLeft w:val="0"/>
      <w:marRight w:val="0"/>
      <w:marTop w:val="0"/>
      <w:marBottom w:val="0"/>
      <w:divBdr>
        <w:top w:val="none" w:sz="0" w:space="0" w:color="auto"/>
        <w:left w:val="none" w:sz="0" w:space="0" w:color="auto"/>
        <w:bottom w:val="none" w:sz="0" w:space="0" w:color="auto"/>
        <w:right w:val="none" w:sz="0" w:space="0" w:color="auto"/>
      </w:divBdr>
    </w:div>
    <w:div w:id="1029113081">
      <w:bodyDiv w:val="1"/>
      <w:marLeft w:val="0"/>
      <w:marRight w:val="0"/>
      <w:marTop w:val="0"/>
      <w:marBottom w:val="0"/>
      <w:divBdr>
        <w:top w:val="none" w:sz="0" w:space="0" w:color="auto"/>
        <w:left w:val="none" w:sz="0" w:space="0" w:color="auto"/>
        <w:bottom w:val="none" w:sz="0" w:space="0" w:color="auto"/>
        <w:right w:val="none" w:sz="0" w:space="0" w:color="auto"/>
      </w:divBdr>
    </w:div>
    <w:div w:id="1049766521">
      <w:bodyDiv w:val="1"/>
      <w:marLeft w:val="0"/>
      <w:marRight w:val="0"/>
      <w:marTop w:val="0"/>
      <w:marBottom w:val="0"/>
      <w:divBdr>
        <w:top w:val="none" w:sz="0" w:space="0" w:color="auto"/>
        <w:left w:val="none" w:sz="0" w:space="0" w:color="auto"/>
        <w:bottom w:val="none" w:sz="0" w:space="0" w:color="auto"/>
        <w:right w:val="none" w:sz="0" w:space="0" w:color="auto"/>
      </w:divBdr>
    </w:div>
    <w:div w:id="1060641041">
      <w:bodyDiv w:val="1"/>
      <w:marLeft w:val="0"/>
      <w:marRight w:val="0"/>
      <w:marTop w:val="0"/>
      <w:marBottom w:val="0"/>
      <w:divBdr>
        <w:top w:val="none" w:sz="0" w:space="0" w:color="auto"/>
        <w:left w:val="none" w:sz="0" w:space="0" w:color="auto"/>
        <w:bottom w:val="none" w:sz="0" w:space="0" w:color="auto"/>
        <w:right w:val="none" w:sz="0" w:space="0" w:color="auto"/>
      </w:divBdr>
    </w:div>
    <w:div w:id="1091311829">
      <w:bodyDiv w:val="1"/>
      <w:marLeft w:val="0"/>
      <w:marRight w:val="0"/>
      <w:marTop w:val="0"/>
      <w:marBottom w:val="0"/>
      <w:divBdr>
        <w:top w:val="none" w:sz="0" w:space="0" w:color="auto"/>
        <w:left w:val="none" w:sz="0" w:space="0" w:color="auto"/>
        <w:bottom w:val="none" w:sz="0" w:space="0" w:color="auto"/>
        <w:right w:val="none" w:sz="0" w:space="0" w:color="auto"/>
      </w:divBdr>
      <w:divsChild>
        <w:div w:id="102922586">
          <w:marLeft w:val="0"/>
          <w:marRight w:val="0"/>
          <w:marTop w:val="0"/>
          <w:marBottom w:val="0"/>
          <w:divBdr>
            <w:top w:val="none" w:sz="0" w:space="0" w:color="auto"/>
            <w:left w:val="none" w:sz="0" w:space="0" w:color="auto"/>
            <w:bottom w:val="none" w:sz="0" w:space="0" w:color="auto"/>
            <w:right w:val="none" w:sz="0" w:space="0" w:color="auto"/>
          </w:divBdr>
        </w:div>
      </w:divsChild>
    </w:div>
    <w:div w:id="1122191871">
      <w:bodyDiv w:val="1"/>
      <w:marLeft w:val="0"/>
      <w:marRight w:val="0"/>
      <w:marTop w:val="0"/>
      <w:marBottom w:val="0"/>
      <w:divBdr>
        <w:top w:val="none" w:sz="0" w:space="0" w:color="auto"/>
        <w:left w:val="none" w:sz="0" w:space="0" w:color="auto"/>
        <w:bottom w:val="none" w:sz="0" w:space="0" w:color="auto"/>
        <w:right w:val="none" w:sz="0" w:space="0" w:color="auto"/>
      </w:divBdr>
    </w:div>
    <w:div w:id="1157265462">
      <w:bodyDiv w:val="1"/>
      <w:marLeft w:val="0"/>
      <w:marRight w:val="0"/>
      <w:marTop w:val="0"/>
      <w:marBottom w:val="0"/>
      <w:divBdr>
        <w:top w:val="none" w:sz="0" w:space="0" w:color="auto"/>
        <w:left w:val="none" w:sz="0" w:space="0" w:color="auto"/>
        <w:bottom w:val="none" w:sz="0" w:space="0" w:color="auto"/>
        <w:right w:val="none" w:sz="0" w:space="0" w:color="auto"/>
      </w:divBdr>
    </w:div>
    <w:div w:id="1251693344">
      <w:bodyDiv w:val="1"/>
      <w:marLeft w:val="0"/>
      <w:marRight w:val="0"/>
      <w:marTop w:val="0"/>
      <w:marBottom w:val="0"/>
      <w:divBdr>
        <w:top w:val="none" w:sz="0" w:space="0" w:color="auto"/>
        <w:left w:val="none" w:sz="0" w:space="0" w:color="auto"/>
        <w:bottom w:val="none" w:sz="0" w:space="0" w:color="auto"/>
        <w:right w:val="none" w:sz="0" w:space="0" w:color="auto"/>
      </w:divBdr>
      <w:divsChild>
        <w:div w:id="1079520794">
          <w:marLeft w:val="0"/>
          <w:marRight w:val="0"/>
          <w:marTop w:val="0"/>
          <w:marBottom w:val="0"/>
          <w:divBdr>
            <w:top w:val="none" w:sz="0" w:space="0" w:color="auto"/>
            <w:left w:val="none" w:sz="0" w:space="0" w:color="auto"/>
            <w:bottom w:val="none" w:sz="0" w:space="0" w:color="auto"/>
            <w:right w:val="none" w:sz="0" w:space="0" w:color="auto"/>
          </w:divBdr>
        </w:div>
      </w:divsChild>
    </w:div>
    <w:div w:id="1258098226">
      <w:bodyDiv w:val="1"/>
      <w:marLeft w:val="0"/>
      <w:marRight w:val="0"/>
      <w:marTop w:val="0"/>
      <w:marBottom w:val="0"/>
      <w:divBdr>
        <w:top w:val="none" w:sz="0" w:space="0" w:color="auto"/>
        <w:left w:val="none" w:sz="0" w:space="0" w:color="auto"/>
        <w:bottom w:val="none" w:sz="0" w:space="0" w:color="auto"/>
        <w:right w:val="none" w:sz="0" w:space="0" w:color="auto"/>
      </w:divBdr>
    </w:div>
    <w:div w:id="1265961343">
      <w:bodyDiv w:val="1"/>
      <w:marLeft w:val="0"/>
      <w:marRight w:val="0"/>
      <w:marTop w:val="0"/>
      <w:marBottom w:val="0"/>
      <w:divBdr>
        <w:top w:val="none" w:sz="0" w:space="0" w:color="auto"/>
        <w:left w:val="none" w:sz="0" w:space="0" w:color="auto"/>
        <w:bottom w:val="none" w:sz="0" w:space="0" w:color="auto"/>
        <w:right w:val="none" w:sz="0" w:space="0" w:color="auto"/>
      </w:divBdr>
    </w:div>
    <w:div w:id="1341079468">
      <w:bodyDiv w:val="1"/>
      <w:marLeft w:val="0"/>
      <w:marRight w:val="0"/>
      <w:marTop w:val="0"/>
      <w:marBottom w:val="0"/>
      <w:divBdr>
        <w:top w:val="none" w:sz="0" w:space="0" w:color="auto"/>
        <w:left w:val="none" w:sz="0" w:space="0" w:color="auto"/>
        <w:bottom w:val="none" w:sz="0" w:space="0" w:color="auto"/>
        <w:right w:val="none" w:sz="0" w:space="0" w:color="auto"/>
      </w:divBdr>
    </w:div>
    <w:div w:id="1346710996">
      <w:bodyDiv w:val="1"/>
      <w:marLeft w:val="0"/>
      <w:marRight w:val="0"/>
      <w:marTop w:val="0"/>
      <w:marBottom w:val="0"/>
      <w:divBdr>
        <w:top w:val="none" w:sz="0" w:space="0" w:color="auto"/>
        <w:left w:val="none" w:sz="0" w:space="0" w:color="auto"/>
        <w:bottom w:val="none" w:sz="0" w:space="0" w:color="auto"/>
        <w:right w:val="none" w:sz="0" w:space="0" w:color="auto"/>
      </w:divBdr>
    </w:div>
    <w:div w:id="1353258697">
      <w:bodyDiv w:val="1"/>
      <w:marLeft w:val="0"/>
      <w:marRight w:val="0"/>
      <w:marTop w:val="0"/>
      <w:marBottom w:val="0"/>
      <w:divBdr>
        <w:top w:val="none" w:sz="0" w:space="0" w:color="auto"/>
        <w:left w:val="none" w:sz="0" w:space="0" w:color="auto"/>
        <w:bottom w:val="none" w:sz="0" w:space="0" w:color="auto"/>
        <w:right w:val="none" w:sz="0" w:space="0" w:color="auto"/>
      </w:divBdr>
    </w:div>
    <w:div w:id="1369645957">
      <w:bodyDiv w:val="1"/>
      <w:marLeft w:val="0"/>
      <w:marRight w:val="0"/>
      <w:marTop w:val="0"/>
      <w:marBottom w:val="0"/>
      <w:divBdr>
        <w:top w:val="none" w:sz="0" w:space="0" w:color="auto"/>
        <w:left w:val="none" w:sz="0" w:space="0" w:color="auto"/>
        <w:bottom w:val="none" w:sz="0" w:space="0" w:color="auto"/>
        <w:right w:val="none" w:sz="0" w:space="0" w:color="auto"/>
      </w:divBdr>
      <w:divsChild>
        <w:div w:id="1753773602">
          <w:marLeft w:val="0"/>
          <w:marRight w:val="0"/>
          <w:marTop w:val="0"/>
          <w:marBottom w:val="0"/>
          <w:divBdr>
            <w:top w:val="none" w:sz="0" w:space="0" w:color="auto"/>
            <w:left w:val="none" w:sz="0" w:space="0" w:color="auto"/>
            <w:bottom w:val="none" w:sz="0" w:space="0" w:color="auto"/>
            <w:right w:val="none" w:sz="0" w:space="0" w:color="auto"/>
          </w:divBdr>
        </w:div>
      </w:divsChild>
    </w:div>
    <w:div w:id="1478644463">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sChild>
        <w:div w:id="2139519822">
          <w:marLeft w:val="0"/>
          <w:marRight w:val="0"/>
          <w:marTop w:val="0"/>
          <w:marBottom w:val="0"/>
          <w:divBdr>
            <w:top w:val="none" w:sz="0" w:space="0" w:color="auto"/>
            <w:left w:val="none" w:sz="0" w:space="0" w:color="auto"/>
            <w:bottom w:val="none" w:sz="0" w:space="0" w:color="auto"/>
            <w:right w:val="none" w:sz="0" w:space="0" w:color="auto"/>
          </w:divBdr>
        </w:div>
      </w:divsChild>
    </w:div>
    <w:div w:id="1507554547">
      <w:bodyDiv w:val="1"/>
      <w:marLeft w:val="0"/>
      <w:marRight w:val="0"/>
      <w:marTop w:val="0"/>
      <w:marBottom w:val="0"/>
      <w:divBdr>
        <w:top w:val="none" w:sz="0" w:space="0" w:color="auto"/>
        <w:left w:val="none" w:sz="0" w:space="0" w:color="auto"/>
        <w:bottom w:val="none" w:sz="0" w:space="0" w:color="auto"/>
        <w:right w:val="none" w:sz="0" w:space="0" w:color="auto"/>
      </w:divBdr>
    </w:div>
    <w:div w:id="1553804412">
      <w:bodyDiv w:val="1"/>
      <w:marLeft w:val="0"/>
      <w:marRight w:val="0"/>
      <w:marTop w:val="0"/>
      <w:marBottom w:val="0"/>
      <w:divBdr>
        <w:top w:val="none" w:sz="0" w:space="0" w:color="auto"/>
        <w:left w:val="none" w:sz="0" w:space="0" w:color="auto"/>
        <w:bottom w:val="none" w:sz="0" w:space="0" w:color="auto"/>
        <w:right w:val="none" w:sz="0" w:space="0" w:color="auto"/>
      </w:divBdr>
    </w:div>
    <w:div w:id="1561286364">
      <w:bodyDiv w:val="1"/>
      <w:marLeft w:val="0"/>
      <w:marRight w:val="0"/>
      <w:marTop w:val="0"/>
      <w:marBottom w:val="0"/>
      <w:divBdr>
        <w:top w:val="none" w:sz="0" w:space="0" w:color="auto"/>
        <w:left w:val="none" w:sz="0" w:space="0" w:color="auto"/>
        <w:bottom w:val="none" w:sz="0" w:space="0" w:color="auto"/>
        <w:right w:val="none" w:sz="0" w:space="0" w:color="auto"/>
      </w:divBdr>
    </w:div>
    <w:div w:id="1577203431">
      <w:bodyDiv w:val="1"/>
      <w:marLeft w:val="0"/>
      <w:marRight w:val="0"/>
      <w:marTop w:val="0"/>
      <w:marBottom w:val="0"/>
      <w:divBdr>
        <w:top w:val="none" w:sz="0" w:space="0" w:color="auto"/>
        <w:left w:val="none" w:sz="0" w:space="0" w:color="auto"/>
        <w:bottom w:val="none" w:sz="0" w:space="0" w:color="auto"/>
        <w:right w:val="none" w:sz="0" w:space="0" w:color="auto"/>
      </w:divBdr>
    </w:div>
    <w:div w:id="1613709133">
      <w:bodyDiv w:val="1"/>
      <w:marLeft w:val="0"/>
      <w:marRight w:val="0"/>
      <w:marTop w:val="0"/>
      <w:marBottom w:val="0"/>
      <w:divBdr>
        <w:top w:val="none" w:sz="0" w:space="0" w:color="auto"/>
        <w:left w:val="none" w:sz="0" w:space="0" w:color="auto"/>
        <w:bottom w:val="none" w:sz="0" w:space="0" w:color="auto"/>
        <w:right w:val="none" w:sz="0" w:space="0" w:color="auto"/>
      </w:divBdr>
    </w:div>
    <w:div w:id="1632132000">
      <w:bodyDiv w:val="1"/>
      <w:marLeft w:val="0"/>
      <w:marRight w:val="0"/>
      <w:marTop w:val="0"/>
      <w:marBottom w:val="0"/>
      <w:divBdr>
        <w:top w:val="none" w:sz="0" w:space="0" w:color="auto"/>
        <w:left w:val="none" w:sz="0" w:space="0" w:color="auto"/>
        <w:bottom w:val="none" w:sz="0" w:space="0" w:color="auto"/>
        <w:right w:val="none" w:sz="0" w:space="0" w:color="auto"/>
      </w:divBdr>
    </w:div>
    <w:div w:id="1656959313">
      <w:bodyDiv w:val="1"/>
      <w:marLeft w:val="0"/>
      <w:marRight w:val="0"/>
      <w:marTop w:val="0"/>
      <w:marBottom w:val="0"/>
      <w:divBdr>
        <w:top w:val="none" w:sz="0" w:space="0" w:color="auto"/>
        <w:left w:val="none" w:sz="0" w:space="0" w:color="auto"/>
        <w:bottom w:val="none" w:sz="0" w:space="0" w:color="auto"/>
        <w:right w:val="none" w:sz="0" w:space="0" w:color="auto"/>
      </w:divBdr>
    </w:div>
    <w:div w:id="1685546204">
      <w:bodyDiv w:val="1"/>
      <w:marLeft w:val="0"/>
      <w:marRight w:val="0"/>
      <w:marTop w:val="0"/>
      <w:marBottom w:val="0"/>
      <w:divBdr>
        <w:top w:val="none" w:sz="0" w:space="0" w:color="auto"/>
        <w:left w:val="none" w:sz="0" w:space="0" w:color="auto"/>
        <w:bottom w:val="none" w:sz="0" w:space="0" w:color="auto"/>
        <w:right w:val="none" w:sz="0" w:space="0" w:color="auto"/>
      </w:divBdr>
    </w:div>
    <w:div w:id="1734622397">
      <w:bodyDiv w:val="1"/>
      <w:marLeft w:val="0"/>
      <w:marRight w:val="0"/>
      <w:marTop w:val="0"/>
      <w:marBottom w:val="0"/>
      <w:divBdr>
        <w:top w:val="none" w:sz="0" w:space="0" w:color="auto"/>
        <w:left w:val="none" w:sz="0" w:space="0" w:color="auto"/>
        <w:bottom w:val="none" w:sz="0" w:space="0" w:color="auto"/>
        <w:right w:val="none" w:sz="0" w:space="0" w:color="auto"/>
      </w:divBdr>
    </w:div>
    <w:div w:id="1761028140">
      <w:bodyDiv w:val="1"/>
      <w:marLeft w:val="0"/>
      <w:marRight w:val="0"/>
      <w:marTop w:val="0"/>
      <w:marBottom w:val="0"/>
      <w:divBdr>
        <w:top w:val="none" w:sz="0" w:space="0" w:color="auto"/>
        <w:left w:val="none" w:sz="0" w:space="0" w:color="auto"/>
        <w:bottom w:val="none" w:sz="0" w:space="0" w:color="auto"/>
        <w:right w:val="none" w:sz="0" w:space="0" w:color="auto"/>
      </w:divBdr>
    </w:div>
    <w:div w:id="1787772636">
      <w:bodyDiv w:val="1"/>
      <w:marLeft w:val="0"/>
      <w:marRight w:val="0"/>
      <w:marTop w:val="0"/>
      <w:marBottom w:val="0"/>
      <w:divBdr>
        <w:top w:val="none" w:sz="0" w:space="0" w:color="auto"/>
        <w:left w:val="none" w:sz="0" w:space="0" w:color="auto"/>
        <w:bottom w:val="none" w:sz="0" w:space="0" w:color="auto"/>
        <w:right w:val="none" w:sz="0" w:space="0" w:color="auto"/>
      </w:divBdr>
    </w:div>
    <w:div w:id="1804349204">
      <w:bodyDiv w:val="1"/>
      <w:marLeft w:val="0"/>
      <w:marRight w:val="0"/>
      <w:marTop w:val="0"/>
      <w:marBottom w:val="0"/>
      <w:divBdr>
        <w:top w:val="none" w:sz="0" w:space="0" w:color="auto"/>
        <w:left w:val="none" w:sz="0" w:space="0" w:color="auto"/>
        <w:bottom w:val="none" w:sz="0" w:space="0" w:color="auto"/>
        <w:right w:val="none" w:sz="0" w:space="0" w:color="auto"/>
      </w:divBdr>
    </w:div>
    <w:div w:id="1869485143">
      <w:bodyDiv w:val="1"/>
      <w:marLeft w:val="0"/>
      <w:marRight w:val="0"/>
      <w:marTop w:val="0"/>
      <w:marBottom w:val="0"/>
      <w:divBdr>
        <w:top w:val="none" w:sz="0" w:space="0" w:color="auto"/>
        <w:left w:val="none" w:sz="0" w:space="0" w:color="auto"/>
        <w:bottom w:val="none" w:sz="0" w:space="0" w:color="auto"/>
        <w:right w:val="none" w:sz="0" w:space="0" w:color="auto"/>
      </w:divBdr>
    </w:div>
    <w:div w:id="1943609414">
      <w:bodyDiv w:val="1"/>
      <w:marLeft w:val="0"/>
      <w:marRight w:val="0"/>
      <w:marTop w:val="0"/>
      <w:marBottom w:val="0"/>
      <w:divBdr>
        <w:top w:val="none" w:sz="0" w:space="0" w:color="auto"/>
        <w:left w:val="none" w:sz="0" w:space="0" w:color="auto"/>
        <w:bottom w:val="none" w:sz="0" w:space="0" w:color="auto"/>
        <w:right w:val="none" w:sz="0" w:space="0" w:color="auto"/>
      </w:divBdr>
    </w:div>
    <w:div w:id="2020964667">
      <w:bodyDiv w:val="1"/>
      <w:marLeft w:val="0"/>
      <w:marRight w:val="0"/>
      <w:marTop w:val="0"/>
      <w:marBottom w:val="0"/>
      <w:divBdr>
        <w:top w:val="none" w:sz="0" w:space="0" w:color="auto"/>
        <w:left w:val="none" w:sz="0" w:space="0" w:color="auto"/>
        <w:bottom w:val="none" w:sz="0" w:space="0" w:color="auto"/>
        <w:right w:val="none" w:sz="0" w:space="0" w:color="auto"/>
      </w:divBdr>
    </w:div>
    <w:div w:id="2072456155">
      <w:bodyDiv w:val="1"/>
      <w:marLeft w:val="0"/>
      <w:marRight w:val="0"/>
      <w:marTop w:val="0"/>
      <w:marBottom w:val="0"/>
      <w:divBdr>
        <w:top w:val="none" w:sz="0" w:space="0" w:color="auto"/>
        <w:left w:val="none" w:sz="0" w:space="0" w:color="auto"/>
        <w:bottom w:val="none" w:sz="0" w:space="0" w:color="auto"/>
        <w:right w:val="none" w:sz="0" w:space="0" w:color="auto"/>
      </w:divBdr>
    </w:div>
    <w:div w:id="212730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andscan.ornl.gov/"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cidb.cn/en/detail?dataSetId=700894282ab745d0b420fe0844c924ae&amp;version=V2" TargetMode="External"/><Relationship Id="rId2" Type="http://schemas.openxmlformats.org/officeDocument/2006/relationships/numbering" Target="numbering.xml"/><Relationship Id="rId16" Type="http://schemas.openxmlformats.org/officeDocument/2006/relationships/hyperlink" Target="https://www.renewables.ninja/" TargetMode="External"/><Relationship Id="rId20" Type="http://schemas.openxmlformats.org/officeDocument/2006/relationships/hyperlink" Target="https://github.com/LeventRRR/Island-energy-optimization.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sgf-ui.ceda.ac.uk/cog/search/cmip6-ced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B4E54-B623-4A33-A7AB-00CABE797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8032</TotalTime>
  <Pages>24</Pages>
  <Words>15608</Words>
  <Characters>102389</Characters>
  <Application>Microsoft Office Word</Application>
  <DocSecurity>0</DocSecurity>
  <Lines>1796</Lines>
  <Paragraphs>522</Paragraphs>
  <ScaleCrop>false</ScaleCrop>
  <Company/>
  <LinksUpToDate>false</LinksUpToDate>
  <CharactersWithSpaces>117475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vent Le</dc:creator>
  <cp:keywords/>
  <dc:description/>
  <cp:lastModifiedBy>Churui Huang</cp:lastModifiedBy>
  <cp:revision>2043</cp:revision>
  <dcterms:created xsi:type="dcterms:W3CDTF">2024-11-27T14:44:00Z</dcterms:created>
  <dcterms:modified xsi:type="dcterms:W3CDTF">2025-09-01T04:41:00Z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id="0vCe9Dk2"/&gt;&lt;style id="http://www.zotero.org/styles/nature-communications" hasBibliography="1" bibliographyStyleHasBeenSet="1"/&gt;&lt;prefs&gt;&lt;pref name="fieldType" value="Field"/&gt;&lt;/prefs&gt;&lt;/data&gt;</vt:lpwstr>
  </property>
</Properties>
</file>