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9"/>
        <w:tblW w:w="96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19"/>
        <w:gridCol w:w="4219"/>
      </w:tblGrid>
      <w:tr>
        <w:trPr/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"/>
              <w:spacing w:before="0" w:after="0"/>
              <w:rPr>
                <w:sz w:val="30"/>
              </w:rPr>
            </w:pPr>
            <w:r>
              <w:rPr>
                <w:kern w:val="0"/>
                <w:lang w:eastAsia="en-US" w:bidi="ar-SA"/>
              </w:rPr>
              <w:drawing>
                <wp:inline distT="0" distB="0" distL="0" distR="0">
                  <wp:extent cx="3304540" cy="1286510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4540" cy="128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before="0" w:after="0"/>
              <w:ind w:firstLine="709" w:left="290"/>
              <w:jc w:val="center"/>
              <w:rPr>
                <w:sz w:val="30"/>
              </w:rPr>
            </w:pPr>
            <w:r>
              <w:rPr>
                <w:rFonts w:eastAsia="Aptos" w:cs="Arial"/>
                <w:kern w:val="0"/>
                <w:sz w:val="3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jc w:val="right"/>
        <w:rPr>
          <w:rFonts w:cs="Times New Roman"/>
        </w:rPr>
      </w:pPr>
      <w:r>
        <w:rPr>
          <w:rFonts w:cs="Times New Roman"/>
        </w:rPr>
      </w:r>
    </w:p>
    <w:sdt>
      <w:sdtPr>
        <w:docPartObj>
          <w:docPartGallery w:val="Cover Pages"/>
          <w:docPartUnique w:val="true"/>
        </w:docPartObj>
        <w:id w:val="326794676"/>
      </w:sdtPr>
      <w:sdtContent>
        <w:p>
          <w:pPr>
            <w:pStyle w:val="Normal"/>
            <w:jc w:val="right"/>
            <w:rPr>
              <w:rFonts w:cs="Times New Roman"/>
            </w:rPr>
          </w:pPr>
          <w:r>
            <w:rPr>
              <w:rFonts w:cs="Times New Roman"/>
            </w:rPr>
          </w:r>
        </w:p>
        <w:p>
          <w:pPr>
            <w:pStyle w:val="Normal"/>
            <w:jc w:val="right"/>
            <w:rPr>
              <w:rFonts w:eastAsia="Arial Unicode MS" w:cs="Times New Roman"/>
              <w:sz w:val="72"/>
              <w:szCs w:val="72"/>
            </w:rPr>
          </w:pPr>
          <w:r>
            <w:rPr>
              <w:rFonts w:eastAsia="Arial Unicode MS" w:cs="Times New Roman"/>
              <w:sz w:val="72"/>
              <w:szCs w:val="72"/>
            </w:rPr>
          </w:r>
        </w:p>
        <w:p>
          <w:pPr>
            <w:pStyle w:val="Normal"/>
            <w:jc w:val="right"/>
            <w:rPr>
              <w:rFonts w:eastAsia="Arial Unicode MS" w:cs="Times New Roman"/>
              <w:sz w:val="72"/>
              <w:szCs w:val="72"/>
            </w:rPr>
          </w:pPr>
          <w:r>
            <w:rPr>
              <w:rFonts w:eastAsia="Arial Unicode MS" w:cs="Times New Roman"/>
              <w:sz w:val="72"/>
              <w:szCs w:val="72"/>
            </w:rPr>
          </w:r>
        </w:p>
        <w:p>
          <w:pPr>
            <w:pStyle w:val="Normal"/>
            <w:spacing w:lineRule="auto" w:line="240"/>
            <w:ind w:hanging="0"/>
            <w:jc w:val="center"/>
            <w:rPr>
              <w:rFonts w:eastAsia="Arial Unicode MS" w:cs="Times New Roman"/>
              <w:sz w:val="56"/>
              <w:szCs w:val="56"/>
            </w:rPr>
          </w:pPr>
          <w:r>
            <w:rPr>
              <w:rFonts w:eastAsia="Arial Unicode MS" w:cs="Times New Roman"/>
              <w:sz w:val="56"/>
              <w:szCs w:val="56"/>
            </w:rPr>
            <w:t>КОНКУРСНОЕ ЗАДАНИЕ КОМПЕТЕНЦИИ</w:t>
          </w:r>
        </w:p>
        <w:p>
          <w:pPr>
            <w:pStyle w:val="Normal"/>
            <w:ind w:hanging="0"/>
            <w:jc w:val="center"/>
            <w:rPr>
              <w:rFonts w:eastAsia="Arial Unicode MS" w:cs="Times New Roman"/>
              <w:b/>
              <w:sz w:val="56"/>
              <w:szCs w:val="56"/>
            </w:rPr>
          </w:pPr>
          <w:r>
            <w:rPr>
              <w:rFonts w:eastAsia="Arial Unicode MS" w:cs="Times New Roman"/>
              <w:b/>
              <w:sz w:val="56"/>
              <w:szCs w:val="56"/>
            </w:rPr>
            <w:t>«Разработчик мобильных игр»</w:t>
          </w:r>
        </w:p>
        <w:p>
          <w:pPr>
            <w:pStyle w:val="Normal"/>
            <w:spacing w:lineRule="auto" w:line="240"/>
            <w:jc w:val="center"/>
            <w:rPr>
              <w:rFonts w:eastAsia="Arial Unicode MS" w:cs="Times New Roman"/>
              <w:b/>
              <w:bCs/>
              <w:sz w:val="36"/>
              <w:szCs w:val="36"/>
            </w:rPr>
          </w:pPr>
          <w:r>
            <w:rPr>
              <w:rFonts w:eastAsia="Arial Unicode MS" w:cs="Times New Roman"/>
              <w:b/>
              <w:bCs/>
              <w:sz w:val="36"/>
              <w:szCs w:val="36"/>
            </w:rPr>
          </w:r>
        </w:p>
      </w:sdtContent>
    </w:sdt>
    <w:p>
      <w:pPr>
        <w:pStyle w:val="Normal"/>
        <w:jc w:val="center"/>
        <w:rPr>
          <w:rFonts w:eastAsia="Arial Unicode MS" w:cs="Times New Roman"/>
          <w:sz w:val="36"/>
          <w:szCs w:val="36"/>
        </w:rPr>
      </w:pPr>
      <w:r>
        <w:rPr>
          <w:rFonts w:eastAsia="Arial Unicode MS" w:cs="Times New Roman"/>
          <w:sz w:val="36"/>
          <w:szCs w:val="36"/>
        </w:rPr>
        <w:t xml:space="preserve">____________________ этап Чемпионата по профессиональному мастерству «Профессионалы» </w:t>
      </w:r>
    </w:p>
    <w:p>
      <w:pPr>
        <w:pStyle w:val="Normal"/>
        <w:spacing w:lineRule="auto" w:line="240"/>
        <w:jc w:val="center"/>
        <w:rPr>
          <w:rFonts w:eastAsia="Arial Unicode MS" w:cs="Times New Roman"/>
          <w:sz w:val="36"/>
          <w:szCs w:val="36"/>
        </w:rPr>
      </w:pPr>
      <w:r>
        <w:rPr>
          <w:rFonts w:eastAsia="Arial Unicode MS" w:cs="Times New Roman"/>
          <w:sz w:val="36"/>
          <w:szCs w:val="36"/>
        </w:rPr>
        <w:t>______________________</w:t>
      </w:r>
    </w:p>
    <w:p>
      <w:pPr>
        <w:pStyle w:val="Normal"/>
        <w:jc w:val="center"/>
        <w:rPr>
          <w:rFonts w:cs="Times New Roman"/>
          <w:lang w:bidi="en-US"/>
        </w:rPr>
      </w:pPr>
      <w:r>
        <w:rPr>
          <w:rFonts w:eastAsia="Arial Unicode MS" w:cs="Times New Roman"/>
          <w:sz w:val="20"/>
          <w:szCs w:val="20"/>
        </w:rPr>
        <w:t>регион проведения</w:t>
      </w:r>
    </w:p>
    <w:p>
      <w:pPr>
        <w:pStyle w:val="Normal"/>
        <w:rPr>
          <w:rFonts w:cs="Times New Roman"/>
          <w:lang w:bidi="en-US"/>
        </w:rPr>
      </w:pPr>
      <w:r>
        <w:rPr>
          <w:rFonts w:cs="Times New Roman"/>
          <w:lang w:bidi="en-US"/>
        </w:rPr>
      </w:r>
    </w:p>
    <w:p>
      <w:pPr>
        <w:pStyle w:val="Normal"/>
        <w:rPr>
          <w:rFonts w:cs="Times New Roman"/>
          <w:lang w:bidi="en-US"/>
        </w:rPr>
      </w:pPr>
      <w:r>
        <w:rPr>
          <w:rFonts w:cs="Times New Roman"/>
          <w:lang w:bidi="en-US"/>
        </w:rPr>
      </w:r>
    </w:p>
    <w:p>
      <w:pPr>
        <w:pStyle w:val="Normal"/>
        <w:rPr>
          <w:rFonts w:cs="Times New Roman"/>
          <w:lang w:bidi="en-US"/>
        </w:rPr>
      </w:pPr>
      <w:r>
        <w:rPr>
          <w:rFonts w:cs="Times New Roman"/>
          <w:lang w:bidi="en-US"/>
        </w:rPr>
      </w:r>
    </w:p>
    <w:p>
      <w:pPr>
        <w:pStyle w:val="Normal"/>
        <w:rPr>
          <w:rFonts w:cs="Times New Roman"/>
          <w:lang w:bidi="en-US"/>
        </w:rPr>
      </w:pPr>
      <w:r>
        <w:rPr>
          <w:rFonts w:cs="Times New Roman"/>
          <w:lang w:bidi="en-US"/>
        </w:rPr>
      </w:r>
    </w:p>
    <w:p>
      <w:pPr>
        <w:pStyle w:val="Normal"/>
        <w:rPr>
          <w:rFonts w:cs="Times New Roman"/>
          <w:lang w:bidi="en-US"/>
        </w:rPr>
      </w:pPr>
      <w:r>
        <w:rPr>
          <w:rFonts w:cs="Times New Roman"/>
          <w:lang w:bidi="en-US"/>
        </w:rPr>
      </w:r>
    </w:p>
    <w:p>
      <w:pPr>
        <w:pStyle w:val="Normal"/>
        <w:rPr>
          <w:rFonts w:cs="Times New Roman"/>
          <w:lang w:bidi="en-US"/>
        </w:rPr>
      </w:pPr>
      <w:r>
        <w:rPr>
          <w:rFonts w:cs="Times New Roman"/>
          <w:lang w:bidi="en-US"/>
        </w:rPr>
      </w:r>
    </w:p>
    <w:p>
      <w:pPr>
        <w:pStyle w:val="Normal"/>
        <w:rPr>
          <w:rFonts w:cs="Times New Roman"/>
          <w:lang w:bidi="en-US"/>
        </w:rPr>
      </w:pPr>
      <w:r>
        <w:rPr>
          <w:rFonts w:cs="Times New Roman"/>
          <w:lang w:bidi="en-US"/>
        </w:rPr>
      </w:r>
    </w:p>
    <w:p>
      <w:pPr>
        <w:pStyle w:val="Normal"/>
        <w:jc w:val="center"/>
        <w:rPr/>
      </w:pPr>
      <w:r>
        <w:rPr>
          <w:rFonts w:cs="Times New Roman"/>
          <w:lang w:bidi="en-US"/>
        </w:rPr>
        <w:t>2025 г.</w:t>
      </w:r>
      <w:r>
        <w:br w:type="page"/>
      </w:r>
    </w:p>
    <w:tbl>
      <w:tblPr>
        <w:tblStyle w:val="af9"/>
        <w:tblW w:w="10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69"/>
        <w:gridCol w:w="4680"/>
      </w:tblGrid>
      <w:tr>
        <w:trPr/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BodyText"/>
              <w:pageBreakBefore/>
              <w:spacing w:before="0" w:after="0"/>
              <w:rPr>
                <w:sz w:val="30"/>
                <w:lang w:val="ru-RU"/>
              </w:rPr>
            </w:pPr>
            <w:r>
              <w:rPr>
                <w:kern w:val="0"/>
                <w:sz w:val="30"/>
                <w:lang w:val="ru-RU" w:eastAsia="en-US" w:bidi="ar-SA"/>
              </w:rPr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ind w:firstLine="709" w:left="290"/>
              <w:jc w:val="center"/>
              <w:rPr>
                <w:sz w:val="30"/>
              </w:rPr>
            </w:pPr>
            <w:r>
              <w:rPr>
                <w:rFonts w:eastAsia="Aptos" w:cs="Arial"/>
                <w:kern w:val="0"/>
                <w:sz w:val="3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59"/>
        <w:rPr/>
      </w:pPr>
      <w:r>
        <w:rPr/>
        <w:t>Конкурсное задание разработано экспертным сообществом и утверждено Менеджером компетенции,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мастерству.</w:t>
      </w:r>
    </w:p>
    <w:p>
      <w:pPr>
        <w:pStyle w:val="Normal"/>
        <w:spacing w:lineRule="auto" w:line="259"/>
        <w:rPr/>
      </w:pPr>
      <w:r>
        <w:rPr/>
      </w:r>
    </w:p>
    <w:p>
      <w:pPr>
        <w:pStyle w:val="Normal"/>
        <w:spacing w:lineRule="auto" w:line="259"/>
        <w:ind w:hanging="0"/>
        <w:jc w:val="center"/>
        <w:rPr>
          <w:b/>
          <w:bCs/>
        </w:rPr>
      </w:pPr>
      <w:r>
        <w:rPr>
          <w:b/>
          <w:bCs/>
        </w:rPr>
        <w:t>Конкурсное задание включает в себя следующие разделы:</w:t>
      </w:r>
    </w:p>
    <w:sdt>
      <w:sdtPr>
        <w:docPartObj>
          <w:docPartGallery w:val="Table of Contents"/>
          <w:docPartUnique w:val="true"/>
        </w:docPartObj>
        <w:id w:val="816004659"/>
      </w:sdtPr>
      <w:sdtContent>
        <w:p>
          <w:pPr>
            <w:pStyle w:val="TOCHeading"/>
            <w:rPr/>
          </w:pPr>
          <w:r>
            <w:rPr/>
          </w:r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rPr>
              <w:webHidden/>
              <w:rStyle w:val="Style16"/>
            </w:rPr>
            <w:instrText xml:space="preserve"> TOC \z \o "1-3" \u \h</w:instrText>
          </w:r>
          <w:r>
            <w:rPr>
              <w:webHidden/>
              <w:rStyle w:val="Style16"/>
            </w:rPr>
            <w:fldChar w:fldCharType="separate"/>
          </w:r>
          <w:hyperlink w:anchor="_Toc165770537" w:tgtFrame="#_Toc1657705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_Toc165770537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Используемые сокращение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38" w:tgtFrame="#_Toc1657705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_Toc165770538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1. ОСНОВНЫЕ ТРЕБОВАНИЯ КОМПЕТЕНЦИИ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39" w:tgtFrame="#_Toc16577053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_Toc165770539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1.1. Общие сведения о требованиях компетенции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0" w:tgtFrame="#_Toc16577054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1.2. Перечень профессиональных задач специалиста по компетенции «Разработчик мобильных игр»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1" w:tgtFrame="#_Toc16577054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1.3. Требования к схеме оценки</w:t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2" w:tgtFrame="#_Toc1657705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1.4. Спецификация оценки компетенции</w:t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3" w:tgtFrame="#_Toc16577054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1.5. Конкурсное задание</w:t>
              <w:tab/>
              <w:t>24</w:t>
            </w:r>
            <w:r>
              <w:rPr>
                <w:webHidden/>
              </w:rPr>
              <w:fldChar w:fldCharType="end"/>
            </w:r>
          </w:hyperlink>
          <w:bookmarkStart w:id="0" w:name="_GoBack"/>
          <w:bookmarkEnd w:id="0"/>
        </w:p>
        <w:p>
          <w:pPr>
            <w:pStyle w:val="TOC2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4" w:tgtFrame="#_Toc16577054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1.5.1. Разработка/выбор конкурсного задания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5" w:tgtFrame="#_Toc1657705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1.5.2. Структура модулей конкурсного задания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6" w:tgtFrame="#_Toc1657705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2. СПЕЦИАЛЬНЫЕ ПРАВИЛА КОМПЕТЕНЦИИ</w:t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7" w:tgtFrame="#_Toc1657705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2.1. Личные инструменты конкурсанта</w:t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8" w:tgtFrame="#_Toc16577054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2.2. Материалы, оборудование и инструменты запрещенные на площадке</w:t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28" w:leader="dot"/>
            </w:tabs>
            <w:ind w:hanging="0"/>
            <w:rPr>
              <w:rFonts w:ascii="Aptos" w:hAnsi="Aptos" w:eastAsia="Arial" w:asciiTheme="minorHAnsi" w:eastAsiaTheme="minorEastAsia" w:hAnsiTheme="minorHAnsi"/>
              <w:sz w:val="22"/>
              <w:lang w:eastAsia="ru-RU"/>
            </w:rPr>
          </w:pPr>
          <w:hyperlink w:anchor="_Toc165770549" w:tgtFrame="#_Toc1657705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_Toc165770549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6"/>
              </w:rPr>
              <w:t>3. ПРИЛОЖЕНИЯ</w:t>
              <w:tab/>
              <w:t>30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6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360" w:before="0" w:after="0"/>
        <w:ind w:firstLine="709"/>
        <w:jc w:val="both"/>
        <w:rPr>
          <w:rFonts w:ascii="Times New Roman" w:hAnsi="Times New Roman"/>
          <w:sz w:val="28"/>
        </w:rPr>
      </w:pPr>
      <w:r>
        <w:rPr>
          <w:sz w:val="28"/>
        </w:rPr>
      </w:r>
    </w:p>
    <w:p>
      <w:pPr>
        <w:pStyle w:val="Normal"/>
        <w:spacing w:lineRule="auto" w:line="259"/>
        <w:rPr/>
      </w:pPr>
      <w:r>
        <w:rPr/>
      </w:r>
    </w:p>
    <w:p>
      <w:pPr>
        <w:pStyle w:val="Normal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1" w:name="_Toc165770537"/>
      <w:r>
        <w:rPr/>
        <w:t>Используемые сокращение</w:t>
      </w:r>
      <w:bookmarkEnd w:id="1"/>
    </w:p>
    <w:p>
      <w:pPr>
        <w:pStyle w:val="Normal"/>
        <w:spacing w:lineRule="auto" w:line="259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szCs w:val="28"/>
        </w:rPr>
      </w:pPr>
      <w:r>
        <w:rPr>
          <w:szCs w:val="28"/>
          <w:lang w:val="en-US"/>
        </w:rPr>
        <w:t>IDE</w:t>
      </w:r>
      <w:r>
        <w:rPr>
          <w:szCs w:val="28"/>
        </w:rPr>
        <w:t xml:space="preserve"> – обобщенное название среды разработки.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</w:rPr>
      </w:pPr>
      <w:r>
        <w:rPr>
          <w:color w:themeColor="text1" w:val="000000"/>
          <w:szCs w:val="28"/>
        </w:rPr>
        <w:t>БД – База данных.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szCs w:val="28"/>
        </w:rPr>
      </w:pPr>
      <w:r>
        <w:rPr>
          <w:szCs w:val="28"/>
        </w:rPr>
        <w:t>Билд – готовая сборка проекта.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</w:rPr>
      </w:pPr>
      <w:r>
        <w:rPr>
          <w:color w:themeColor="text1" w:val="000000"/>
          <w:szCs w:val="28"/>
          <w:highlight w:val="white"/>
        </w:rPr>
        <w:t xml:space="preserve">Геймплей </w:t>
      </w:r>
      <w:r>
        <w:rPr>
          <w:szCs w:val="28"/>
        </w:rPr>
        <w:t>–</w:t>
      </w:r>
      <w:r>
        <w:rPr>
          <w:color w:themeColor="text1" w:val="000000"/>
          <w:szCs w:val="28"/>
          <w:highlight w:val="white"/>
        </w:rPr>
        <w:t xml:space="preserve"> компонент игры, отвечающий за взаимодействие игры и игрока</w:t>
      </w:r>
      <w:r>
        <w:rPr>
          <w:color w:themeColor="text1" w:val="000000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  <w:highlight w:val="white"/>
        </w:rPr>
      </w:pPr>
      <w:r>
        <w:rPr>
          <w:color w:themeColor="text1" w:val="000000"/>
          <w:szCs w:val="28"/>
          <w:highlight w:val="white"/>
        </w:rPr>
        <w:t xml:space="preserve">ГДД </w:t>
      </w:r>
      <w:r>
        <w:rPr>
          <w:szCs w:val="28"/>
        </w:rPr>
        <w:t xml:space="preserve">– </w:t>
      </w:r>
      <w:r>
        <w:rPr>
          <w:color w:themeColor="text1" w:val="000000"/>
          <w:szCs w:val="28"/>
          <w:highlight w:val="white"/>
        </w:rPr>
        <w:t>геймдизайн документ.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szCs w:val="28"/>
        </w:rPr>
      </w:pPr>
      <w:r>
        <w:rPr>
          <w:szCs w:val="28"/>
        </w:rPr>
        <w:t>Игровой движок – базовое программное обеспечение любого мультимедийного устройства.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</w:rPr>
      </w:pPr>
      <w:r>
        <w:rPr>
          <w:color w:themeColor="text1" w:val="000000"/>
          <w:szCs w:val="28"/>
          <w:highlight w:val="white"/>
        </w:rPr>
        <w:t xml:space="preserve">КЗ </w:t>
      </w:r>
      <w:r>
        <w:rPr>
          <w:szCs w:val="28"/>
        </w:rPr>
        <w:t>–</w:t>
      </w:r>
      <w:r>
        <w:rPr>
          <w:color w:themeColor="text1" w:val="000000"/>
          <w:szCs w:val="28"/>
          <w:highlight w:val="white"/>
        </w:rPr>
        <w:t xml:space="preserve"> конкурсное задание</w:t>
      </w:r>
      <w:r>
        <w:rPr>
          <w:color w:themeColor="text1" w:val="000000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</w:rPr>
      </w:pPr>
      <w:r>
        <w:rPr>
          <w:color w:themeColor="text1" w:val="000000"/>
          <w:szCs w:val="28"/>
          <w:highlight w:val="white"/>
        </w:rPr>
        <w:t>КО – критерии оценки</w:t>
      </w:r>
      <w:r>
        <w:rPr>
          <w:color w:themeColor="text1" w:val="000000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</w:rPr>
      </w:pPr>
      <w:r>
        <w:rPr>
          <w:color w:themeColor="text1" w:val="000000"/>
          <w:szCs w:val="28"/>
        </w:rPr>
        <w:t xml:space="preserve">Механика </w:t>
      </w:r>
      <w:r>
        <w:rPr>
          <w:szCs w:val="28"/>
        </w:rPr>
        <w:t>–</w:t>
      </w:r>
      <w:r>
        <w:rPr>
          <w:color w:themeColor="text1" w:val="000000"/>
          <w:szCs w:val="28"/>
        </w:rPr>
        <w:t xml:space="preserve"> </w:t>
      </w:r>
      <w:r>
        <w:rPr>
          <w:color w:themeColor="text1" w:val="000000"/>
          <w:szCs w:val="28"/>
          <w:highlight w:val="white"/>
        </w:rPr>
        <w:t>набор правил и способов, реализующий определённым образом некоторую часть интерактивного взаимодействия игрока и игры</w:t>
      </w:r>
      <w:r>
        <w:rPr>
          <w:color w:themeColor="text1" w:val="000000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</w:rPr>
      </w:pPr>
      <w:r>
        <w:rPr>
          <w:color w:themeColor="text1" w:val="000000"/>
          <w:szCs w:val="28"/>
          <w:highlight w:val="white"/>
        </w:rPr>
        <w:t>ТК – требования компетенции</w:t>
      </w:r>
      <w:r>
        <w:rPr>
          <w:color w:themeColor="text1" w:val="000000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</w:rPr>
      </w:pPr>
      <w:r>
        <w:rPr>
          <w:color w:themeColor="text1" w:val="000000"/>
          <w:szCs w:val="28"/>
          <w:highlight w:val="white"/>
        </w:rPr>
        <w:t>ПЗ – план застройки</w:t>
      </w:r>
      <w:r>
        <w:rPr>
          <w:color w:themeColor="text1" w:val="000000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259"/>
        <w:ind w:hanging="360" w:left="567"/>
        <w:rPr>
          <w:color w:val="000000"/>
          <w:szCs w:val="28"/>
        </w:rPr>
      </w:pPr>
      <w:r>
        <w:rPr>
          <w:color w:themeColor="text1" w:val="000000"/>
          <w:szCs w:val="28"/>
        </w:rPr>
        <w:t>Питч - короткая презентация идеи перед значимыми людьми (инвесторами).</w:t>
      </w:r>
    </w:p>
    <w:p>
      <w:pPr>
        <w:pStyle w:val="Normal"/>
        <w:spacing w:lineRule="auto" w:line="259"/>
        <w:ind w:hanging="0" w:left="207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0"/>
        <w:ind w:hanging="0"/>
        <w:jc w:val="center"/>
        <w:rPr/>
      </w:pPr>
      <w:bookmarkStart w:id="2" w:name="_Toc165770538"/>
      <w:r>
        <w:rPr/>
        <w:t>1. Основные требования компетенции</w:t>
      </w:r>
      <w:bookmarkEnd w:id="2"/>
    </w:p>
    <w:p>
      <w:pPr>
        <w:pStyle w:val="Heading1"/>
        <w:ind w:hanging="0"/>
        <w:jc w:val="center"/>
        <w:rPr/>
      </w:pPr>
      <w:bookmarkStart w:id="3" w:name="_Toc165770539"/>
      <w:r>
        <w:rPr/>
        <w:t>1.1. Общие сведения о требованиях компетенции</w:t>
      </w:r>
      <w:bookmarkEnd w:id="3"/>
    </w:p>
    <w:p>
      <w:pPr>
        <w:pStyle w:val="Normal"/>
        <w:ind w:hanging="0"/>
        <w:rPr/>
      </w:pPr>
      <w:r>
        <w:rPr/>
      </w:r>
    </w:p>
    <w:p>
      <w:pPr>
        <w:pStyle w:val="Normal"/>
        <w:rPr/>
      </w:pPr>
      <w:r>
        <w:rPr/>
        <w:t xml:space="preserve">Требования компетенции  «Разработчик мобильных игр» определяют знания, умения, навыки и трудовые функции, которые лежат в основе наиболее актуальных требований работодателей отрасли. </w:t>
      </w:r>
    </w:p>
    <w:p>
      <w:pPr>
        <w:pStyle w:val="Normal"/>
        <w:rPr/>
      </w:pPr>
      <w:r>
        <w:rPr/>
        <w:t xml:space="preserve">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профессии. </w:t>
      </w:r>
    </w:p>
    <w:p>
      <w:pPr>
        <w:pStyle w:val="Normal"/>
        <w:rPr/>
      </w:pPr>
      <w:r>
        <w:rPr/>
        <w:t>Требования компетенции являются руководством для подготовки конкурентоспособных, высококвалифицированных специалистов / рабочих и участия их в конкурсах профессионального мастерства.</w:t>
      </w:r>
    </w:p>
    <w:p>
      <w:pPr>
        <w:pStyle w:val="Normal"/>
        <w:rPr/>
      </w:pPr>
      <w:r>
        <w:rPr/>
        <w:t xml:space="preserve">В соревнованиях по компетенции проверка знаний, умений, навыков и трудовых функций осуществляется посредством оценки выполнения практической работы. </w:t>
      </w:r>
    </w:p>
    <w:p>
      <w:pPr>
        <w:pStyle w:val="Normal"/>
        <w:rPr/>
      </w:pPr>
      <w:r>
        <w:rPr/>
        <w:t>Требования компетенции разделены на четкие разделы с номерами и заголовками, каждому разделу назначен процент относительной важности, сумма которых составляет 100.</w:t>
      </w:r>
    </w:p>
    <w:p>
      <w:pPr>
        <w:pStyle w:val="Normal"/>
        <w:rPr/>
      </w:pPr>
      <w:r>
        <w:rPr/>
      </w:r>
    </w:p>
    <w:p>
      <w:pPr>
        <w:pStyle w:val="Heading1"/>
        <w:ind w:hanging="0"/>
        <w:jc w:val="center"/>
        <w:rPr/>
      </w:pPr>
      <w:bookmarkStart w:id="4" w:name="_Toc165770540"/>
      <w:r>
        <w:rPr/>
        <w:t>1.2. Перечень профессиональных задач специалиста по компетенции «Разработчик мобильных игр»</w:t>
      </w:r>
      <w:bookmarkEnd w:id="4"/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sz w:val="24"/>
          <w:szCs w:val="20"/>
        </w:rPr>
        <w:t>Таблица №1. Перечень профессиональных задач специалиста</w:t>
      </w:r>
    </w:p>
    <w:tbl>
      <w:tblPr>
        <w:tblStyle w:val="af9"/>
        <w:tblW w:w="98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7846"/>
        <w:gridCol w:w="1457"/>
      </w:tblGrid>
      <w:tr>
        <w:trPr/>
        <w:tc>
          <w:tcPr>
            <w:tcW w:w="561" w:type="dxa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Aptos" w:cs="Times New Roman"/>
                <w:b/>
                <w:bCs/>
                <w:color w:themeColor="background1" w:val="FFFFFF"/>
                <w:kern w:val="0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7846" w:type="dxa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Aptos" w:cs="Times New Roman"/>
                <w:b/>
                <w:bCs/>
                <w:color w:themeColor="background1" w:val="FFFFFF"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457" w:type="dxa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color w:themeColor="background1" w:val="FFFFFF"/>
                <w:kern w:val="0"/>
                <w:sz w:val="24"/>
                <w:szCs w:val="20"/>
                <w:lang w:val="ru-RU" w:eastAsia="en-US" w:bidi="ar-SA"/>
              </w:rPr>
              <w:t>Важность в %</w:t>
            </w:r>
          </w:p>
        </w:tc>
      </w:tr>
      <w:tr>
        <w:trPr/>
        <w:tc>
          <w:tcPr>
            <w:tcW w:w="561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784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Организация и управление работой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- Специалист должен знать и понимать: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Виды современных игровых платформ, жанров компьютерных игр, понимание о категоризации аудитории и основных участников рынка, методы анализа рынка;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Компоненты компьютерных игр и этапы ее разработки;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Модели разработки компьютерных игр, системы расчета бюджетов, сроков и требуемых специалистов;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Модели расчета прибыли исходя из различных систем монетизации, понимание о тестировании и фокус-тестировании, понимание структуры и задач издательства и оперирования;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Номенклатуру документации, используемой дизайнерами игр;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Современные тренды дизайна и проектирование интерфейсов;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Способы монетизации;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работы в различных графических редакторах (растровый, векторный, трехмерный);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требования к визуальным элементам компьютерных игр;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алгоритмизации поставленных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Алгоритмы решения типичных задач, области и способы их применения;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Синтаксис выбранного языка программирования, особенности программирования на этом языке, стандартные библиотеки языка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разработки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и технологии проектирования и использования баз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Технологии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Особенности выбранной среды программирования и системы управления базами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Компоненты программно-технических архитектур, существующие приложения и интерфейсы взаимодействия с ними;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Инструментарий для создания и актуализации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повышения читаемости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Системы кодировки символов, форматы хранения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документы (стандарты и регламенты), определяющие требования к оформлению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Установленный регламент использования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отладки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Типы и форматы сообщений об ошибках, предупреждений; Современные компиляторы, отладчики и оптимизаторы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Сообщения о состоянии аппаратных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автоматической и автоматизированной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виды диагностических данных проверки работоспособности компьютерного программного обеспечения и способы их представления;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Языки, утилиты и среды программирования и средства пакетного выполнения процедур;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Типовые метрики компьютерного программного обеспечения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методы измерения и оценки характеристик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создания и документирования контрольных примеров и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Правила, алгоритмы и технологии создания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Требования к структуре и форматам хранения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Среды проверки работоспособности и отладки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Государственные стандарты испытания автоматизированных систем;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существующей программно-технической архитектуры;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современных и перспективных средств разработки программных продуктов, технических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разработки компьютерного программного обеспечения и технологии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формализации функциональных спецификаций;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формализации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Принципы построения и виды архитектуры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Типовые решения, библиотеки программных модулей, шаблоны, классы объектов, используемые при разработке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документы (стандарты), определяющие требования к технической документации на компьютерное программное обеспечение;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баз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программных интерфейсов;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Основная терминология по тестированию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термины и сокращения, используемые в технической документации и принятые в организации;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Процедуры обеспечения безопасности при выполнении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Область применения инструментальных средств для выполнения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Особенности основных операционных систем;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Классификация видов и типов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Техники проектирования и комбинаторики тестов;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работы необходимых приложений;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Системы автоматизированного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Стандарты оформления программного кода для используемых языков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Жизненный цикл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Тестовые данные, обеспечивающие проверку безопасности ПО;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- Специалист должен уметь: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Осуществлять процесс оценки рынка компьютерных игр, его участников и аудитории;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Формулировать цели и задачи конечного игрового продукта;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Формировать блок целей и задач разработки, состав команды проекта, планировать процессы, оценивать требуемые сроки и ресурсы;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Рассчитывать возможную прибыль, планировать активности, связанные с оценкой качества (тестирование идеи);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Проектировать игровые интерфейсы, включая выстраивание системы монетизации игры;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Создавать визуальные элементы компьютерной игры в различных графических редакторах (растровый, векторный, трехмерный);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методы и приемы формализации поставленных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методы и приемы алгоритмизации поставленных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алгоритмы решения типовых задач в соответствующих областях;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Осуществлять коммуникации с заинтересованными сторонами;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выбранные языки программирования для написания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среду программирования и средства системы управления базами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возможности имеющейся технической и/или программной архитектуры;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нормативно-технические документы (стандарты и регламенты), определяющие требования к оформлению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инструментарий для создания и актуализации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систему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действия, соответствующие установленному регламенту используемой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ошибки в программном коде;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приемы отладки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Интерпретировать сообщения об ошибках, предупреждения, записи технологических журналов;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современные компиляции, отладчики и оптимизаторы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сбор и систематизацию требований к компьютерному программному обеспечению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взаимосвязи и документировать требования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анализ исполнения требований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Вырабатывать варианты реализации требований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оценку и обоснование рекомендуемых решений;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Выбирать средства реализации требований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Вырабатывать варианты реализации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оценку и обоснование рекомендуемых решений;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существующие типовые решения и шаблоны проектирования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средства проектирования компьютерного программного обеспечения, структур данных, баз данных, программных интерфейсов;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командные средства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существующие стандарты для разработки технической документации на компьютерное программное обеспечение;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Писать программный код процедур проверки работоспособности компьютерного программного обеспечения на выбранном языке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среду программирования для разработки процедур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Разрабатывать и оформлять контрольные примеры для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Разрабатывать процедуры генерации тестовых наборов данных с заданными характеристиками;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Подготавливать наборы данных, используемых в процессе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командные средства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средства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Интерпретировать диагностические данные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Анализировать значения полученных характеристик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Устанавливать корректную последовательность операций при выполнении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недостающую информацию для выполнения тестирования ПО в заданном объеме;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Подготавливать необходимые средства и ресурсы для выполнения задания по тестированию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Составлять отчет о результатах подготовки к выполнению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Документировать тесты в соответствии с требованиями организации;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Разрабатывать скрипты и/или программные модули для автоматизации тестирования ПО, в том числе для проверки информационной безопасности разрабатываемого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Оформлять тестовые случаи;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различные техники проектирования тестов (тест-дизайна);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универсальные языки моделирования (сценариев);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языки программирования для написания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специализированное ПО для создания автотестов;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стандарты оформления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Анализировать тестовые случаи на предмет полноты учета покрытия;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8,40</w:t>
            </w:r>
          </w:p>
        </w:tc>
      </w:tr>
      <w:tr>
        <w:trPr/>
        <w:tc>
          <w:tcPr>
            <w:tcW w:w="561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784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Программирование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- Специалист должен знать и понимать: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Особенности получения пользовательского опыта и эмоции;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Игровые инструменты и механики;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Игровой цикл, целеполагание и время в игре;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Дизайн игрового пространства;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Принципы игровой экономики, баланс и сложность;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Способы повествования через окружение и другие приемы нарративного дизайна;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Особенности процесса создания мира (сеттинга), персонажей, сюжета и других элементов истории игры;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работы с игровым движком;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игровые механики;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Синтаксис выбранного языка программирования, особенности программирования на этом языке, стандартные библиотеки языка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формализации поставленных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формализации функциональных спецификаций;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алгоритмизации поставленных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Алгоритмы решения типичных задач, области и способы их применения;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Синтаксис выбранного языка программирования, особенности программирования на этом языке, стандартные библиотеки языка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разработки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и технологии проектирования и использования баз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Технологии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Особенности выбранной среды программирования и системы управления базами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Компоненты программно-технических архитектур, существующие приложения и интерфейсы взаимодействия с ними;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Инструментарий для создания и актуализации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повышения читаемости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Системы кодировки символов, форматы хранения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документы (стандарты и регламенты), определяющие требования к оформлению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Установленный регламент использования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отладки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Типы и форматы сообщений об ошибках, предупреждений;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Современные компиляторы, отладчики и оптимизаторы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Сообщения о состоянии аппаратных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автоматической и автоматизированной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виды диагностических данных проверки работоспособности компьютерного программного обеспечения и способы их представления;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Языки, утилиты и среды программирования и средства пакетного выполнения процедур;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Типовые метрики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методы измерения и оценки характеристик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создания и документирования контрольных примеров и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Правила, алгоритмы и технологии создания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Требования к структуре и форматам хранения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Среды проверки работоспособности и отладки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Государственные стандарты испытания автоматизированных систем;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существующей программно-технической архитектуры;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современных и перспективных средств разработки программных продуктов, технических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разработки компьютерного программного обеспечения и технологии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и технологии проектирования и использования баз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формализации функциональных спецификаций;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формализации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Принципы построения и виды архитектуры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Типовые решения, библиотеки программных модулей, шаблоны, классы объектов, используемые при разработке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документы (стандарты), определяющие требования к технической документации на компьютерное программное обеспечение;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баз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программных интерфейсов;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Основная терминология по тестированию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термины и сокращения, используемые в технической документации и принятые в организации;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Процедуры обеспечения безопасности при выполнении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Область применения инструментальных средств для выполнения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Особенности основных операционных систем;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Классификация видов и типов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Техники проектирования и комбинаторики тестов;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работы необходимых приложений;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Системы автоматизированного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Стандарты оформления программного кода для используемых языков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Жизненный цикл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Тестовые данные, обеспечивающие проверку безопасности ПО;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- Специалист должен уметь: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Создавать дизайн игрового пространства: формировать игровую экономику, осуществлять баланс ресурсов и игровой сложности, выстраивать игровой процесс для достижения желаемых пользовательских эмоций и требуемого опыта;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Создавать игровой мир (сеттинг), персонажей, сюжет и другие элементы истории игры;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Выстраивать повествование через окружение и применять другие приемы нарративного дизайна;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Разрабатывать компьютерные игры на игровом движке;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Осуществлять процесс оценки рынка компьютерных игр, его участников и аудитории;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Формулировать цели и задачи конечного игрового продукта;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Формировать блок целей и задач разработки, состав команды проекта, планировать процессы, оценивать требуемые сроки и ресурсы;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Рассчитывать возможную прибыль, планировать активности, связанные с оценкой качества (тестирование идеи);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методы и приемы формализации поставленных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методы и приемы алгоритмизации поставленных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алгоритмы решения типовых задач в соответствующих областях;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Осуществлять коммуникации с заинтересованными сторонами;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выбранные языки программирования для написания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среду программирования и средства системы управления базами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возможности имеющейся технической и/или программной архитектуры;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нормативно-технические документы (стандарты и регламенты), определяющие требования к оформлению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инструментарий для создания и актуализации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ошибки в программном коде;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приемы отладки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Интерпретировать сообщения об ошибках, предупреждения, записи технологических журналов;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современные компиляции, отладчики и оптимизаторы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систему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действия, соответствующие установленному регламенту используемой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сбор и систематизацию требований к компьютерному программному обеспечению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взаимосвязи и документировать требования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анализ исполнения требований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Вырабатывать варианты реализации требований к компьютерному программному обеспечению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оценку и обоснование рекомендуемых решений;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Выбирать средства реализации требований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оценку и обоснование рекомендуемых решений;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существующие типовые решения и шаблоны проектирования компьютерного программного обеспечения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средства проектирования компьютерного программного обеспечения, структур данных, баз данных, программных интерфейсов;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командные средства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существующие стандарты для разработки технической документации на компьютерное программное обеспечение;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Писать программный код процедур проверки работоспособности компьютерного программного обеспечения на выбранном языке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среду программирования для разработки процедур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Разрабатывать и оформлять контрольные примеры для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Разрабатывать процедуры генерации тестовых наборов данных с заданными характеристиками;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Подготавливать наборы данных, используемых в процессе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командные средства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средства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Интерпретировать диагностические данные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Анализировать значения полученных характеристик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Устанавливать корректную последовательность операций при выполнении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недостающую информацию для выполнения тестирования ПО в заданном объеме;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Подготавливать необходимые средства и ресурсы для выполнения задания по тестированию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Составлять отчет о результатах подготовки к выполнению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Документировать тесты в соответствии с требованиями организации;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Разрабатывать скрипты и/или программные модули для автоматизации тестирования ПО, в том числе для проверки информационной безопасности разрабатываемого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Оформлять тестовые случаи;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различные техники проектирования тестов (тест-дизайна);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универсальные языки моделирования (сценариев);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языки программирования для написания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специализированное ПО для создания автотестов;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стандарты оформления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Анализировать тестовые случаи на предмет полноты учета покрытия;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64,35</w:t>
            </w:r>
          </w:p>
        </w:tc>
      </w:tr>
      <w:tr>
        <w:trPr/>
        <w:tc>
          <w:tcPr>
            <w:tcW w:w="561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784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Оптимизация и тестирование игры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- Специалист должен знать и понимать: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отладки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Типы и форматы сообщений об ошибках, предупреждений;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работы с игровым движком;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игровые механики;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Установленный регламент использования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формализации функциональных спецификаций;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Принципы построения и виды архитектуры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Типовые решения, библиотеки программных модулей, шаблоны, классы объектов, используемые при разработке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документы (стандарты), определяющие требования к технической документации на компьютерное программное обеспечение;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баз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формализации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программных интерфейсов;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Синтаксис выбранного языка программирования, особенности программирования на этом языке, стандартные библиотеки языка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разработки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Методологии и технологии проектирования и использования баз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Технологии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Особенности выбранной среды программирования и системы управления базами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Компоненты программно-технических архитектур, существующие приложения и интерфейсы взаимодействия с ними;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Инструментарий для создания и актуализации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повышения читаемости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Системы кодировки символов, форматы хранения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документы (стандарты и регламенты), определяющие требования к оформлению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Установленный регламент использования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отладки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Типы и форматы сообщений об ошибках, предупреждений;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Современные компиляторы, отладчики и оптимизаторы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Сообщения о состоянии аппаратных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автоматической и автоматизированной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виды диагностических данных проверки работоспособности компьютерного программного обеспечения и способы их представления;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Типовые метрики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методы измерения и оценки характеристик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создания и документирования контрольных примеров и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Правила, алгоритмы и технологии создания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Требования к структуре и форматам хранения тестовых наборов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Среды проверки работоспособности и отладки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Государственные стандарты испытания автоматизированных систем;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рефакторинга, оптимизации и инспекции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программирования и среды разработки;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документы (стандарты и регламенты), регламентирующие требования к программному коду, порядок отражения изменений в системе управления версиями, порядок отражения результатов рефакторинга, оптимизации и инспекции в коллективной базе знаний;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отладки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Типичные ошибки, возникающие при разработке компьютерного программного обеспечения, методы их диагностики и исправления;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сборки модулей в программный проект в средах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сборки модулей в программный проект в средах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проверки работоспособности программных проектов;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Языки, утилиты и среды программирования, средства пакетного выполнения процедур;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настройки программного проекта в средах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сборки и интеграции программных модулей и компонентов;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сборки и интеграции программных модулей и компонентов;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Интерфейсы взаимодействия программного продукта с внешней средой;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Интерфейсы взаимодействия внутренних модулей программного продукта;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проверки работоспособности выпусков программных продуктов;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Основная терминология по тестированию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термины и сокращения, используемые в технической документации и принятые в организации;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Процедуры обеспечения безопасности при выполнении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Область применения инструментальных средств для выполнения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Особенности основных операционных систем;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Классификация видов и типов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Техники проектирования и комбинаторики тестов;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работы необходимых приложений;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Системы автоматизированного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Стандарты оформления программного кода для используемых языков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Жизненный цикл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Тестовые данные, обеспечивающие проверку безопасности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термины и сокращения, используемые в технической документации и принятые в организации;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актуальные средства генерации тестовых данных и области их применения;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работы с базами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обработки первичной информации/источников первичной информации;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Форматы представления тестовых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материалы по вопросам испытания и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термины и сокращения, используемые в технической документации и принятые в организации;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работы в операционной системе, в которой производится тестирование, на уровне, необходимом для тестирования ПО соответствующего типа;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теории алгоритмов и дискретной математики в объеме полученного профессионального образования;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Синтаксис языка программирования тестируемого ПО, особенности программирования на этом языке, стандартные библиотеки языка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Стандарты оформления кода для используемых языков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алгоритмизации и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Жизненный цикл программного продукта;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Архитектура тестируемой системы;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Основы работы в операционной системе, в которой производится тестирование, на уровне, необходимом для тестирования разработанного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Техники тестирования ПО, базирующиеся на интуиции и опыте инженера;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Техники тестирования ПО, базирующиеся на спецификации;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Техники тестирования ПО, ориентированные на код;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Тестирование ПО, ориентированное на дефекты;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Техники тестирования ПО, базирующиеся на условиях использования;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Тестирование ПО, базирующееся на надежности инженерного процесса;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Техники тестирования ПО, базирующиеся на природе приложения;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Принципы регрессионного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Алгоритмы решения типовых задач, области и способы их применения;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Основные термины и сокращения, используемые в технической документации и принятые в организации;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- Специалист должен уметь: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выбранные языки программирования для написания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среду программирования и средства системы управления базами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возможности имеющейся технической и/или программной архитектуры;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нормативно-технические документы (стандарты и регламенты), определяющие требования к оформлению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инструментарий для создания и актуализации исходных текстов программ;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систему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действия, соответствующие установленному регламенту используемой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ошибки в программном коде;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приемы отладки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Интерпретировать сообщения об ошибках, предупреждения, записи технологических журналов;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современные компиляции, отладчики и оптимизаторы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Писать программный код процедур проверки работоспособности компьютерного программного обеспечения на выбранном языке программирования;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среду программирования для разработки процедур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средства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Интерпретировать диагностические данные проверки работоспособности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Анализировать значения полученных характеристик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методы, средства рефакторинга, оптимизации и инспекции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инструментальные средства коллективной работы над программным кодом;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Публиковать результаты рефакторинга, оптимизации и инспекции в коллективной базе знаний;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систему управления версиями для регистрации произведенных изменений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процедуры сборки однородных (одноязыковых) программных модулей в программный проект в средах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Производить настройки параметров программного проекта и осуществлять запуск процедур сборки;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проверку работоспособности программного проекта;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процедуры сборки программных модулей и компонентов в программный продукт;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Производить настройки параметров программного продукта и осуществлять запуск процедур сборки;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проверку работоспособности программного продукта;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командные средства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Создавать резервные копии программ и данных, выполнять восстановление, обеспечивать целостность программного продукта и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сбор и систематизацию требований к компьютерному программному обеспечению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взаимосвязи и документировать требования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анализ исполнения требований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Вырабатывать варианты реализации требований к компьютерному программному обеспечению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оценку и обоснование рекомендуемых решений;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систему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действия, соответствующие установленному регламенту используемой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Вырабатывать варианты реализации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существующие типовые решения и шаблоны проектирования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средства проектирования компьютерного программного обеспечения, структур данных, баз данных, программных интерфейсов;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командные средства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существующие стандарты для разработки технической документации на компьютерное программное обеспечение;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Выбирать средства реализации требований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оценку и обоснование рекомендуемых решений;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Осуществлять коммуникации с заинтересованными сторонами;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Устанавливать корректную последовательность операций при выполнении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Выявлять недостающую информацию для выполнения тестирования ПО в заданном объеме;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Подготавливать необходимые средства и ресурсы для выполнения задания по тестированию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Составлять отчет о результатах подготовки к выполнению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Документировать тесты в соответствии с требованиями организации;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Разрабатывать скрипты и/или программные модули для автоматизации тестирования ПО, в том числе для проверки информационной безопасности разрабатываемого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Оформлять тестовые случаи;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различные техники проектирования тестов (тест-дизайна);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универсальные языки моделирования (сценариев);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языки программирования для написания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специализированное ПО для создания автотестов;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стандарты оформления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Анализировать тестовые случаи на предмет полноты учета покрытия;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Работать с инструментами подготовки тестовых данных; Выбирать необходимые генераторы тестовых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генераторы тестовых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Получать и использовать информацию, необходимую для выполнения задания на тестирование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Составлять отчет о подготовке тестовых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модульные тесты с использованием инструментов тестирования, в том числе автоматизированного тестирования;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системы контроля дефектов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Составлять сценарии поведения пользователей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интеграционное и модульное тестирование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специальное ПО для автоматизированного тестирования ПО при необходимости;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системы автоматизированного тестирования ПО;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Находить и использовать информацию, необходимую для восстановления тестов после сбоя;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Взаимодействовать с командой разработчиков при восстановлении системы после сбоя;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языки программирования для написания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системы автоматизированного тестирования ПО;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13,50</w:t>
            </w:r>
          </w:p>
        </w:tc>
      </w:tr>
      <w:tr>
        <w:trPr/>
        <w:tc>
          <w:tcPr>
            <w:tcW w:w="561" w:type="dxa"/>
            <w:tcBorders/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784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eastAsia="Aptos" w:cs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Питч игры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- Специалист должен знать и понимать: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Возможности используемой системы управления версиями и вспомогательных инструментальных программных средств;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Установленный регламент использования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Языки формализации функциональных спецификаций;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Принципы построения и виды архитектуры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Типовые решения, библиотеки программных модулей, шаблоны, классы объектов, используемые при разработке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Нормативно-технические документы (стандарты), определяющие требования к технической документации на компьютерное программное обеспечение;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баз данных;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приемы формализации задач;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Методы и средства проектирования программных интерфейсов;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- Специалист должен уметь: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выбранную систему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вспомогательные инструментальные программные средства для обработки исходного текста программного кода;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Выполнять действия, соответствующие установленному регламенту используемой системы управления версиями;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Вырабатывать варианты реализации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существующие типовые решения и шаблоны проектирования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методы и средства проектирования компьютерного программного обеспечения, структур данных, баз данных, программных интерфейсов;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Использовать командные средства разработки компьютерного программного обеспечения;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Применять существующие стандарты для разработки технической документации на компьютерное программное обеспечение;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Выбирать средства реализации требований к компьютерному программному обеспечению;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Проводить оценку и обоснование рекомендуемых решений;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Осуществлять коммуникации с заинтересованными сторонами;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40" w:before="0" w:after="0"/>
              <w:contextualSpacing/>
              <w:rPr>
                <w:rFonts w:cs="Times New Roman"/>
                <w:sz w:val="24"/>
                <w:szCs w:val="24"/>
              </w:rPr>
            </w:pPr>
            <w:r>
              <w:rPr>
                <w:rFonts w:eastAsia="Aptos" w:cs="Times New Roman"/>
                <w:kern w:val="0"/>
                <w:sz w:val="24"/>
                <w:szCs w:val="24"/>
                <w:lang w:val="ru-RU" w:eastAsia="en-US" w:bidi="ar-SA"/>
              </w:rPr>
              <w:t>Составлять дизайнерскую документацию для компьютерных игр;</w:t>
            </w:r>
          </w:p>
        </w:tc>
        <w:tc>
          <w:tcPr>
            <w:tcW w:w="145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13,75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ind w:hanging="0"/>
        <w:jc w:val="center"/>
        <w:rPr/>
      </w:pPr>
      <w:bookmarkStart w:id="5" w:name="_Toc165770541"/>
      <w:r>
        <w:rPr/>
        <w:t>1.3. Требования к схеме оценки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>
          <w:szCs w:val="28"/>
        </w:rPr>
      </w:pPr>
      <w:r>
        <w:rPr>
          <w:szCs w:val="28"/>
        </w:rPr>
        <w:t>Сумма баллов, присуждаемых по каждому аспекту, должна попадать в диапазон баллов, определенных для каждого раздела компетенции, обозначенных в требованиях и указанных в таблице №2.</w:t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Normal"/>
        <w:jc w:val="right"/>
        <w:rPr>
          <w:i/>
          <w:i/>
          <w:szCs w:val="28"/>
        </w:rPr>
      </w:pPr>
      <w:r>
        <w:rPr>
          <w:i/>
          <w:szCs w:val="28"/>
        </w:rPr>
        <w:t>Таблица №2</w:t>
      </w:r>
    </w:p>
    <w:p>
      <w:pPr>
        <w:pStyle w:val="Normal"/>
        <w:jc w:val="center"/>
        <w:rPr>
          <w:b/>
          <w:szCs w:val="28"/>
        </w:rPr>
      </w:pPr>
      <w:r>
        <w:rPr>
          <w:b/>
          <w:szCs w:val="28"/>
        </w:rPr>
        <w:t>Матрица пересчета требований компетенции в критерии оценки</w:t>
      </w:r>
    </w:p>
    <w:tbl>
      <w:tblPr>
        <w:tblStyle w:val="11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53"/>
        <w:gridCol w:w="326"/>
        <w:gridCol w:w="867"/>
        <w:gridCol w:w="868"/>
        <w:gridCol w:w="867"/>
        <w:gridCol w:w="869"/>
        <w:gridCol w:w="867"/>
        <w:gridCol w:w="868"/>
        <w:gridCol w:w="2052"/>
      </w:tblGrid>
      <w:tr>
        <w:trPr>
          <w:trHeight w:val="1152" w:hRule="atLeast"/>
        </w:trPr>
        <w:tc>
          <w:tcPr>
            <w:tcW w:w="7585" w:type="dxa"/>
            <w:gridSpan w:val="8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sz w:val="22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0"/>
                <w:lang w:val="ru-RU" w:eastAsia="ru-RU" w:bidi="ar-SA"/>
              </w:rPr>
              <w:t>Критерий/Модуль</w:t>
            </w:r>
          </w:p>
        </w:tc>
        <w:tc>
          <w:tcPr>
            <w:tcW w:w="2052" w:type="dxa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sz w:val="22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0"/>
                <w:lang w:val="ru-RU" w:eastAsia="ru-RU" w:bidi="ar-SA"/>
              </w:rPr>
              <w:t>Итого баллов за раздел ТРЕБОВАНИЙ КОМПЕТЕНЦИИ</w:t>
            </w:r>
          </w:p>
        </w:tc>
      </w:tr>
      <w:tr>
        <w:trPr>
          <w:trHeight w:val="50" w:hRule="atLeast"/>
        </w:trPr>
        <w:tc>
          <w:tcPr>
            <w:tcW w:w="2053" w:type="dxa"/>
            <w:vMerge w:val="restart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sz w:val="22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0"/>
                <w:lang w:val="ru-RU" w:eastAsia="ru-RU" w:bidi="ar-SA"/>
              </w:rPr>
              <w:t>Разделы ТРЕБОВАНИЙ КОМПЕТЕНЦИИ</w:t>
            </w:r>
          </w:p>
        </w:tc>
        <w:tc>
          <w:tcPr>
            <w:tcW w:w="326" w:type="dxa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color w:val="FFFFFF"/>
                <w:sz w:val="22"/>
              </w:rPr>
            </w:pPr>
            <w:r>
              <w:rPr>
                <w:rFonts w:eastAsia="Times New Roman" w:cs="Times New Roman"/>
                <w:color w:val="FFFFFF"/>
                <w:kern w:val="0"/>
                <w:sz w:val="22"/>
                <w:szCs w:val="20"/>
                <w:lang w:val="ru-RU" w:eastAsia="ru-RU" w:bidi="ar-SA"/>
              </w:rPr>
            </w:r>
          </w:p>
        </w:tc>
        <w:tc>
          <w:tcPr>
            <w:tcW w:w="867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color w:val="FFFFFF"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color w:val="FFFFFF"/>
                <w:kern w:val="0"/>
                <w:sz w:val="22"/>
                <w:szCs w:val="20"/>
                <w:lang w:val="en-US" w:eastAsia="ru-RU" w:bidi="ar-SA"/>
              </w:rPr>
              <w:t>A</w:t>
            </w:r>
          </w:p>
        </w:tc>
        <w:tc>
          <w:tcPr>
            <w:tcW w:w="868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color w:val="FFFFFF"/>
                <w:sz w:val="22"/>
              </w:rPr>
            </w:pPr>
            <w:r>
              <w:rPr>
                <w:rFonts w:eastAsia="Times New Roman" w:cs="Times New Roman"/>
                <w:b/>
                <w:color w:val="FFFFFF"/>
                <w:kern w:val="0"/>
                <w:sz w:val="22"/>
                <w:szCs w:val="20"/>
                <w:lang w:val="ru-RU" w:eastAsia="ru-RU" w:bidi="ar-SA"/>
              </w:rPr>
              <w:t>Б</w:t>
            </w:r>
          </w:p>
        </w:tc>
        <w:tc>
          <w:tcPr>
            <w:tcW w:w="867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color w:val="FFFFFF"/>
                <w:sz w:val="22"/>
              </w:rPr>
            </w:pPr>
            <w:r>
              <w:rPr>
                <w:rFonts w:eastAsia="Times New Roman" w:cs="Times New Roman"/>
                <w:b/>
                <w:color w:val="FFFFFF"/>
                <w:kern w:val="0"/>
                <w:sz w:val="22"/>
                <w:szCs w:val="20"/>
                <w:lang w:val="ru-RU" w:eastAsia="ru-RU" w:bidi="ar-SA"/>
              </w:rPr>
              <w:t>В</w:t>
            </w:r>
          </w:p>
        </w:tc>
        <w:tc>
          <w:tcPr>
            <w:tcW w:w="869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color w:val="FFFFFF"/>
                <w:sz w:val="22"/>
              </w:rPr>
            </w:pPr>
            <w:r>
              <w:rPr>
                <w:rFonts w:eastAsia="Times New Roman" w:cs="Times New Roman"/>
                <w:b/>
                <w:color w:val="FFFFFF"/>
                <w:kern w:val="0"/>
                <w:sz w:val="22"/>
                <w:szCs w:val="20"/>
                <w:lang w:val="ru-RU" w:eastAsia="ru-RU" w:bidi="ar-SA"/>
              </w:rPr>
              <w:t>Г</w:t>
            </w:r>
          </w:p>
        </w:tc>
        <w:tc>
          <w:tcPr>
            <w:tcW w:w="867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 w:left="-214" w:right="-111"/>
              <w:jc w:val="center"/>
              <w:rPr>
                <w:b/>
                <w:color w:val="FFFFFF"/>
                <w:sz w:val="22"/>
              </w:rPr>
            </w:pPr>
            <w:r>
              <w:rPr>
                <w:rFonts w:eastAsia="Times New Roman" w:cs="Times New Roman"/>
                <w:b/>
                <w:color w:themeColor="background1" w:val="FFFFFF"/>
                <w:kern w:val="0"/>
                <w:sz w:val="22"/>
                <w:szCs w:val="20"/>
                <w:lang w:val="ru-RU" w:eastAsia="ru-RU" w:bidi="ar-SA"/>
              </w:rPr>
              <w:t>Д</w:t>
            </w:r>
          </w:p>
        </w:tc>
        <w:tc>
          <w:tcPr>
            <w:tcW w:w="868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176" w:right="-211"/>
              <w:jc w:val="center"/>
              <w:rPr>
                <w:b/>
                <w:color w:val="FFFFFF"/>
                <w:sz w:val="22"/>
              </w:rPr>
            </w:pPr>
            <w:r>
              <w:rPr>
                <w:rFonts w:eastAsia="Times New Roman" w:cs="Times New Roman"/>
                <w:b/>
                <w:color w:themeColor="background1" w:val="FFFFFF"/>
                <w:kern w:val="0"/>
                <w:sz w:val="22"/>
                <w:szCs w:val="20"/>
                <w:lang w:val="ru-RU" w:eastAsia="ru-RU" w:bidi="ar-SA"/>
              </w:rPr>
              <w:t>Е</w:t>
            </w:r>
          </w:p>
        </w:tc>
        <w:tc>
          <w:tcPr>
            <w:tcW w:w="2052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176" w:right="172"/>
              <w:jc w:val="center"/>
              <w:rPr>
                <w:b/>
                <w:sz w:val="22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0"/>
                <w:lang w:val="ru-RU" w:eastAsia="ru-RU" w:bidi="ar-SA"/>
              </w:rPr>
            </w:r>
          </w:p>
        </w:tc>
      </w:tr>
      <w:tr>
        <w:trPr>
          <w:trHeight w:val="50" w:hRule="atLeast"/>
        </w:trPr>
        <w:tc>
          <w:tcPr>
            <w:tcW w:w="2053" w:type="dxa"/>
            <w:vMerge w:val="continue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sz w:val="22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0"/>
                <w:lang w:val="ru-RU" w:eastAsia="ru-RU" w:bidi="ar-SA"/>
              </w:rPr>
            </w:r>
          </w:p>
        </w:tc>
        <w:tc>
          <w:tcPr>
            <w:tcW w:w="326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color w:val="FFFFFF"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color w:val="FFFFFF"/>
                <w:kern w:val="0"/>
                <w:sz w:val="22"/>
                <w:szCs w:val="20"/>
                <w:lang w:val="en-US" w:eastAsia="ru-RU" w:bidi="ar-SA"/>
              </w:rPr>
              <w:t>1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6,00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0,60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1,80</w:t>
            </w:r>
          </w:p>
        </w:tc>
        <w:tc>
          <w:tcPr>
            <w:tcW w:w="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-</w:t>
            </w:r>
          </w:p>
        </w:tc>
        <w:tc>
          <w:tcPr>
            <w:tcW w:w="8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-</w:t>
            </w:r>
          </w:p>
        </w:tc>
        <w:tc>
          <w:tcPr>
            <w:tcW w:w="86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-</w:t>
            </w:r>
          </w:p>
        </w:tc>
        <w:tc>
          <w:tcPr>
            <w:tcW w:w="2052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8,40</w:t>
            </w:r>
          </w:p>
        </w:tc>
      </w:tr>
      <w:tr>
        <w:trPr>
          <w:trHeight w:val="50" w:hRule="atLeast"/>
        </w:trPr>
        <w:tc>
          <w:tcPr>
            <w:tcW w:w="2053" w:type="dxa"/>
            <w:vMerge w:val="continue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sz w:val="22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0"/>
                <w:lang w:val="ru-RU" w:eastAsia="ru-RU" w:bidi="ar-SA"/>
              </w:rPr>
            </w:r>
          </w:p>
        </w:tc>
        <w:tc>
          <w:tcPr>
            <w:tcW w:w="326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color w:val="FFFFFF"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color w:val="FFFFFF"/>
                <w:kern w:val="0"/>
                <w:sz w:val="22"/>
                <w:szCs w:val="20"/>
                <w:lang w:val="en-US" w:eastAsia="ru-RU" w:bidi="ar-SA"/>
              </w:rPr>
              <w:t>2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-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12,40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43,70</w:t>
            </w:r>
          </w:p>
        </w:tc>
        <w:tc>
          <w:tcPr>
            <w:tcW w:w="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8,25</w:t>
            </w:r>
          </w:p>
        </w:tc>
        <w:tc>
          <w:tcPr>
            <w:tcW w:w="8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-</w:t>
            </w:r>
          </w:p>
        </w:tc>
        <w:tc>
          <w:tcPr>
            <w:tcW w:w="86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-</w:t>
            </w:r>
          </w:p>
        </w:tc>
        <w:tc>
          <w:tcPr>
            <w:tcW w:w="2052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64,35</w:t>
            </w:r>
          </w:p>
        </w:tc>
      </w:tr>
      <w:tr>
        <w:trPr>
          <w:trHeight w:val="50" w:hRule="atLeast"/>
        </w:trPr>
        <w:tc>
          <w:tcPr>
            <w:tcW w:w="2053" w:type="dxa"/>
            <w:vMerge w:val="continue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sz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326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color w:val="FFFFFF"/>
                <w:sz w:val="20"/>
              </w:rPr>
            </w:pPr>
            <w:r>
              <w:rPr>
                <w:rFonts w:eastAsia="Times New Roman" w:cs="Times New Roman"/>
                <w:b/>
                <w:color w:val="FFFFFF"/>
                <w:kern w:val="0"/>
                <w:sz w:val="20"/>
                <w:szCs w:val="20"/>
                <w:lang w:val="ru-RU" w:eastAsia="ru-RU" w:bidi="ar-SA"/>
              </w:rPr>
              <w:t>3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6,00</w:t>
            </w:r>
          </w:p>
        </w:tc>
        <w:tc>
          <w:tcPr>
            <w:tcW w:w="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</w:t>
            </w:r>
          </w:p>
        </w:tc>
        <w:tc>
          <w:tcPr>
            <w:tcW w:w="8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5,50</w:t>
            </w:r>
          </w:p>
        </w:tc>
        <w:tc>
          <w:tcPr>
            <w:tcW w:w="86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2,00</w:t>
            </w:r>
          </w:p>
        </w:tc>
        <w:tc>
          <w:tcPr>
            <w:tcW w:w="2052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13,50</w:t>
            </w:r>
          </w:p>
        </w:tc>
      </w:tr>
      <w:tr>
        <w:trPr>
          <w:trHeight w:val="50" w:hRule="atLeast"/>
        </w:trPr>
        <w:tc>
          <w:tcPr>
            <w:tcW w:w="2053" w:type="dxa"/>
            <w:vMerge w:val="continue"/>
            <w:tcBorders/>
            <w:shd w:color="auto" w:fill="92D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sz w:val="20"/>
              </w:rPr>
            </w:pPr>
            <w:r>
              <w:rPr>
                <w:rFonts w:eastAsia="Times New Roman" w:cs="Times New Roman"/>
                <w:b/>
                <w:kern w:val="0"/>
                <w:sz w:val="20"/>
                <w:szCs w:val="20"/>
                <w:lang w:val="ru-RU" w:eastAsia="ru-RU" w:bidi="ar-SA"/>
              </w:rPr>
            </w:r>
          </w:p>
        </w:tc>
        <w:tc>
          <w:tcPr>
            <w:tcW w:w="326" w:type="dxa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color w:val="FFFFFF"/>
                <w:sz w:val="20"/>
              </w:rPr>
            </w:pPr>
            <w:r>
              <w:rPr>
                <w:rFonts w:eastAsia="Times New Roman" w:cs="Times New Roman"/>
                <w:b/>
                <w:color w:val="FFFFFF"/>
                <w:kern w:val="0"/>
                <w:sz w:val="20"/>
                <w:szCs w:val="20"/>
                <w:lang w:val="ru-RU" w:eastAsia="ru-RU" w:bidi="ar-SA"/>
              </w:rPr>
              <w:t>4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</w:t>
            </w:r>
          </w:p>
        </w:tc>
        <w:tc>
          <w:tcPr>
            <w:tcW w:w="8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</w:t>
            </w:r>
          </w:p>
        </w:tc>
        <w:tc>
          <w:tcPr>
            <w:tcW w:w="8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</w:t>
            </w:r>
          </w:p>
        </w:tc>
        <w:tc>
          <w:tcPr>
            <w:tcW w:w="867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-</w:t>
            </w:r>
          </w:p>
        </w:tc>
        <w:tc>
          <w:tcPr>
            <w:tcW w:w="868" w:type="dxa"/>
            <w:tcBorders/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0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val="ru-RU" w:eastAsia="ru-RU" w:bidi="ar-SA"/>
              </w:rPr>
              <w:t>13,75</w:t>
            </w:r>
          </w:p>
        </w:tc>
        <w:tc>
          <w:tcPr>
            <w:tcW w:w="2052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13,75</w:t>
            </w:r>
          </w:p>
        </w:tc>
      </w:tr>
      <w:tr>
        <w:trPr>
          <w:trHeight w:val="50" w:hRule="atLeast"/>
        </w:trPr>
        <w:tc>
          <w:tcPr>
            <w:tcW w:w="2379" w:type="dxa"/>
            <w:gridSpan w:val="2"/>
            <w:tcBorders/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0"/>
                <w:lang w:val="ru-RU" w:eastAsia="ru-RU" w:bidi="ar-SA"/>
              </w:rPr>
              <w:t>Итого баллов за критерий/модуль</w:t>
            </w:r>
          </w:p>
        </w:tc>
        <w:tc>
          <w:tcPr>
            <w:tcW w:w="86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6,00</w:t>
            </w:r>
          </w:p>
        </w:tc>
        <w:tc>
          <w:tcPr>
            <w:tcW w:w="868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13,00</w:t>
            </w:r>
          </w:p>
        </w:tc>
        <w:tc>
          <w:tcPr>
            <w:tcW w:w="86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51,50</w:t>
            </w:r>
          </w:p>
        </w:tc>
        <w:tc>
          <w:tcPr>
            <w:tcW w:w="869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sz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0"/>
                <w:lang w:val="ru-RU" w:eastAsia="ru-RU" w:bidi="ar-SA"/>
              </w:rPr>
              <w:t>8,25</w:t>
            </w:r>
          </w:p>
        </w:tc>
        <w:tc>
          <w:tcPr>
            <w:tcW w:w="867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Cs/>
                <w:sz w:val="22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0"/>
                <w:lang w:val="ru-RU" w:eastAsia="ru-RU" w:bidi="ar-SA"/>
              </w:rPr>
              <w:t>5,50</w:t>
            </w:r>
          </w:p>
        </w:tc>
        <w:tc>
          <w:tcPr>
            <w:tcW w:w="868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Cs/>
                <w:sz w:val="22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0"/>
                <w:lang w:val="ru-RU" w:eastAsia="ru-RU" w:bidi="ar-SA"/>
              </w:rPr>
              <w:t>15,75</w:t>
            </w:r>
          </w:p>
        </w:tc>
        <w:tc>
          <w:tcPr>
            <w:tcW w:w="2052" w:type="dxa"/>
            <w:tcBorders/>
            <w:shd w:color="auto"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hanging="0"/>
              <w:jc w:val="center"/>
              <w:rPr>
                <w:b/>
                <w:sz w:val="22"/>
              </w:rPr>
            </w:pPr>
            <w:r>
              <w:rPr>
                <w:rFonts w:eastAsia="Times New Roman" w:cs="Times New Roman"/>
                <w:b/>
                <w:kern w:val="0"/>
                <w:sz w:val="22"/>
                <w:szCs w:val="20"/>
                <w:lang w:val="ru-RU" w:eastAsia="ru-RU" w:bidi="ar-SA"/>
              </w:rPr>
              <w:t>100</w:t>
            </w:r>
          </w:p>
        </w:tc>
      </w:tr>
    </w:tbl>
    <w:p>
      <w:pPr>
        <w:pStyle w:val="Normal"/>
        <w:rPr>
          <w:szCs w:val="28"/>
        </w:rPr>
      </w:pPr>
      <w:r>
        <w:rPr>
          <w:szCs w:val="28"/>
        </w:rPr>
      </w:r>
    </w:p>
    <w:p>
      <w:pPr>
        <w:pStyle w:val="Heading1"/>
        <w:keepNext w:val="false"/>
        <w:keepLines w:val="false"/>
        <w:widowControl w:val="false"/>
        <w:ind w:hanging="0"/>
        <w:jc w:val="center"/>
        <w:rPr/>
      </w:pPr>
      <w:bookmarkStart w:id="6" w:name="_Toc165770542"/>
      <w:r>
        <w:rPr/>
        <w:t>1.4. Спецификация оценки компетенции</w:t>
      </w:r>
      <w:bookmarkEnd w:id="6"/>
    </w:p>
    <w:p>
      <w:pPr>
        <w:pStyle w:val="Normal"/>
        <w:widowControl w:val="false"/>
        <w:rPr/>
      </w:pPr>
      <w:r>
        <w:rPr/>
      </w:r>
    </w:p>
    <w:p>
      <w:pPr>
        <w:pStyle w:val="Normal"/>
        <w:rPr>
          <w:szCs w:val="28"/>
        </w:rPr>
      </w:pPr>
      <w:r>
        <w:rPr/>
        <w:t>Оценка Конкурсного задания будет основываться на критериях, указанных в таблице №3.</w:t>
      </w:r>
    </w:p>
    <w:p>
      <w:pPr>
        <w:pStyle w:val="Normal"/>
        <w:jc w:val="right"/>
        <w:rPr>
          <w:i/>
          <w:i/>
          <w:szCs w:val="28"/>
        </w:rPr>
      </w:pPr>
      <w:r>
        <w:rPr>
          <w:i/>
          <w:szCs w:val="28"/>
        </w:rPr>
        <w:t>Таблица №3</w:t>
      </w:r>
    </w:p>
    <w:p>
      <w:pPr>
        <w:pStyle w:val="Normal"/>
        <w:jc w:val="center"/>
        <w:rPr>
          <w:b/>
          <w:szCs w:val="28"/>
        </w:rPr>
      </w:pPr>
      <w:r>
        <w:rPr>
          <w:b/>
          <w:szCs w:val="28"/>
        </w:rPr>
        <w:t>Оценка конкурсного задания</w:t>
      </w:r>
    </w:p>
    <w:tbl>
      <w:tblPr>
        <w:tblStyle w:val="af9"/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4"/>
        <w:gridCol w:w="2976"/>
        <w:gridCol w:w="6209"/>
      </w:tblGrid>
      <w:tr>
        <w:trPr/>
        <w:tc>
          <w:tcPr>
            <w:tcW w:w="3680" w:type="dxa"/>
            <w:gridSpan w:val="2"/>
            <w:tcBorders/>
            <w:shd w:color="auto" w:fill="92D050" w:val="clea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kern w:val="0"/>
                <w:sz w:val="24"/>
                <w:szCs w:val="20"/>
                <w:lang w:val="ru-RU" w:eastAsia="en-US" w:bidi="ar-SA"/>
              </w:rPr>
              <w:t>Критерий</w:t>
            </w:r>
          </w:p>
        </w:tc>
        <w:tc>
          <w:tcPr>
            <w:tcW w:w="6209" w:type="dxa"/>
            <w:tcBorders/>
            <w:shd w:color="auto" w:fill="92D050" w:val="clear"/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b/>
                <w:bCs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kern w:val="0"/>
                <w:sz w:val="24"/>
                <w:szCs w:val="20"/>
                <w:lang w:val="ru-RU" w:eastAsia="en-US" w:bidi="ar-SA"/>
              </w:rPr>
              <w:t>Методика проверки навыков в критерии</w:t>
            </w:r>
          </w:p>
        </w:tc>
      </w:tr>
      <w:tr>
        <w:trPr/>
        <w:tc>
          <w:tcPr>
            <w:tcW w:w="704" w:type="dxa"/>
            <w:tcBorders/>
            <w:shd w:color="auto" w:fill="00B050" w:val="clear"/>
          </w:tcPr>
          <w:p>
            <w:pPr>
              <w:pStyle w:val="Normal"/>
              <w:widowControl/>
              <w:spacing w:before="0" w:after="0"/>
              <w:ind w:hanging="0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color w:themeColor="background1" w:val="FFFFFF"/>
                <w:kern w:val="0"/>
                <w:sz w:val="24"/>
                <w:szCs w:val="20"/>
                <w:lang w:val="ru-RU" w:eastAsia="en-US" w:bidi="ar-SA"/>
              </w:rPr>
              <w:t>А</w:t>
            </w:r>
          </w:p>
        </w:tc>
        <w:tc>
          <w:tcPr>
            <w:tcW w:w="2976" w:type="dxa"/>
            <w:tcBorders/>
            <w:shd w:color="auto" w:fill="92D050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kern w:val="0"/>
                <w:sz w:val="24"/>
                <w:szCs w:val="20"/>
                <w:lang w:val="ru-RU" w:eastAsia="en-US" w:bidi="ar-SA"/>
              </w:rPr>
              <w:t>Разработка игрового арта (моделей, интерфейсов). Импорт и настройка игровых моделей</w:t>
            </w:r>
          </w:p>
        </w:tc>
        <w:tc>
          <w:tcPr>
            <w:tcW w:w="62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 xml:space="preserve">Умение разрабатывать игрой арт (модели, интерфейсы): 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>оценивается насколько хорошо разработчик создает визуальные элементы игры, включая персонажей, окружение и интерфейсы. Это включает в себя умение работать с различными стилями и техниками, а также адаптировать арт под концепцию игры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Творческий подход: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оригинально и креативно разработчик подходит к созданию игрового арта. Важно, чтобы визуальные элементы были не только эстетически привлекательными, но и соответствовали игровому процессу и атмосфере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Оптимизация графики: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эффективно разработчик оптимизирует артовые элементы для использования в игре. Это включает в себя создание текстур, которые обеспечивают высокое качество изображения при минимальной нагрузке на производительность, а также правильное использование полигонов и других ресурсов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Умение импортировать модели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>: оценивается, насколько хорошо разработчик может импортировать модели в игровой движок или среду разработки. Это включает в себя умение работать с форматами файлов, правильно масштабировать и располагать модели в игровом пространстве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Техническая грамотность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>: оценивается, насколько хорошо разработчик следует техническим правилам и стандартам при импортировании моделей. Важно, чтобы модели имели правильные настройки, оптимизированы для игрового движка и соответствовали требованиям проекта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Интеграция моделей в игру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>: оценивается, насколько хорошо модели интегрированы в игровой процесс и взаимодействуют с другими элементами игры. Разработчик должен проявить умение правильно настроить коллизии, физику, анимации и другие параметры моделей</w:t>
            </w:r>
          </w:p>
        </w:tc>
      </w:tr>
      <w:tr>
        <w:trPr/>
        <w:tc>
          <w:tcPr>
            <w:tcW w:w="704" w:type="dxa"/>
            <w:tcBorders/>
            <w:shd w:color="auto" w:fill="00B050" w:val="clear"/>
          </w:tcPr>
          <w:p>
            <w:pPr>
              <w:pStyle w:val="Normal"/>
              <w:widowControl/>
              <w:spacing w:before="0" w:after="0"/>
              <w:ind w:hanging="0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color w:themeColor="background1" w:val="FFFFFF"/>
                <w:kern w:val="0"/>
                <w:sz w:val="24"/>
                <w:szCs w:val="20"/>
                <w:lang w:val="ru-RU" w:eastAsia="en-US" w:bidi="ar-SA"/>
              </w:rPr>
              <w:t>Б</w:t>
            </w:r>
          </w:p>
        </w:tc>
        <w:tc>
          <w:tcPr>
            <w:tcW w:w="2976" w:type="dxa"/>
            <w:tcBorders/>
            <w:shd w:color="auto" w:fill="92D050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  <w:sz w:val="24"/>
                <w:szCs w:val="20"/>
              </w:rPr>
            </w:pPr>
            <w:bookmarkStart w:id="7" w:name="_Hlk157711395"/>
            <w:r>
              <w:rPr>
                <w:rFonts w:eastAsia="Aptos" w:cs="Arial"/>
                <w:b/>
                <w:bCs/>
                <w:kern w:val="0"/>
                <w:sz w:val="24"/>
                <w:szCs w:val="20"/>
                <w:lang w:val="ru-RU" w:eastAsia="en-US" w:bidi="ar-SA"/>
              </w:rPr>
              <w:t>Разработка пользовательского интерфейса</w:t>
            </w:r>
            <w:bookmarkEnd w:id="7"/>
          </w:p>
        </w:tc>
        <w:tc>
          <w:tcPr>
            <w:tcW w:w="62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Интуитивность и доступность: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хорошо пользовательское взаимодействие интуитивно понятно и доступно для всех пользователей. Разработчик должен учитывать уровень сложности и простоту использования интерфейса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Визуальное оформление: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хорошо интерфейс соответствует дизайну.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Функциональность: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хорошо интерфейс выполняет свои функции и предоставляет нужные пользователю возможности. Разработчик должен гарантировать корректную работу кнопок, полей ввода, меню и других элементов интерфейса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  <w:u w:val="single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Тестирование: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разработчик активно тестирует интерфейс и исправляет обнаруженные ошибки и проблемы. Разработчик должен проверить работу интерфейса на различных устройствах и сценариях использования</w:t>
            </w:r>
          </w:p>
        </w:tc>
      </w:tr>
      <w:tr>
        <w:trPr/>
        <w:tc>
          <w:tcPr>
            <w:tcW w:w="704" w:type="dxa"/>
            <w:tcBorders/>
            <w:shd w:color="auto" w:fill="00B050" w:val="clear"/>
          </w:tcPr>
          <w:p>
            <w:pPr>
              <w:pStyle w:val="Normal"/>
              <w:widowControl/>
              <w:spacing w:before="0" w:after="0"/>
              <w:ind w:hanging="0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color w:themeColor="background1" w:val="FFFFFF"/>
                <w:kern w:val="0"/>
                <w:sz w:val="24"/>
                <w:szCs w:val="20"/>
                <w:lang w:val="ru-RU" w:eastAsia="en-US" w:bidi="ar-SA"/>
              </w:rPr>
              <w:t>В</w:t>
            </w:r>
          </w:p>
        </w:tc>
        <w:tc>
          <w:tcPr>
            <w:tcW w:w="2976" w:type="dxa"/>
            <w:tcBorders/>
            <w:shd w:color="auto" w:fill="92D050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  <w:sz w:val="24"/>
                <w:szCs w:val="20"/>
              </w:rPr>
            </w:pPr>
            <w:bookmarkStart w:id="8" w:name="_Hlk157711436"/>
            <w:r>
              <w:rPr>
                <w:rFonts w:eastAsia="Aptos" w:cs="Arial"/>
                <w:b/>
                <w:bCs/>
                <w:kern w:val="0"/>
                <w:sz w:val="24"/>
                <w:szCs w:val="20"/>
                <w:lang w:val="ru-RU" w:eastAsia="en-US" w:bidi="ar-SA"/>
              </w:rPr>
              <w:t>Реализация игровых механик</w:t>
            </w:r>
            <w:bookmarkEnd w:id="8"/>
          </w:p>
        </w:tc>
        <w:tc>
          <w:tcPr>
            <w:tcW w:w="62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Функциональность: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хорошо разработчик реализовал игровые механики согласно требованиям и дизайну игры. Важно проверить, что все механики работают должным образом и взаимодействуют между собой без ошибок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Играбельность: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комфортно и удобно играть с использованием реализованных игровых механик. Разработчик должен учесть эргономику управления и реализовать удобные интерфейсы, чтобы игроки могли легко освоиться в игре и наслаждаться процессом игры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Интуитивность: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понятны и легко усваиваемы игровые механики. Разработчик должен использовать ясные инструкции, подсказки и туториалы, чтобы игроки могли быстро понять, как работает игра и как использовать различные механики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Техническая реализация: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хорошо разработчик реализовал игровые механики технически. Разработчик должен обеспечить стабильную работу игры, гладкость анимаций и оптимизацию производительности для различных платформ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Тестирование: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разработчик активно тестирует игровые механики и исправляет обнаруженные ошибки и проблемы. Разработчик должен проверить игру на различных уровнях сложности и на разных устройствах, чтобы убедиться в ее качестве и надежности</w:t>
            </w:r>
          </w:p>
        </w:tc>
      </w:tr>
      <w:tr>
        <w:trPr/>
        <w:tc>
          <w:tcPr>
            <w:tcW w:w="704" w:type="dxa"/>
            <w:tcBorders/>
            <w:shd w:color="auto" w:fill="00B050" w:val="clear"/>
          </w:tcPr>
          <w:p>
            <w:pPr>
              <w:pStyle w:val="Normal"/>
              <w:widowControl/>
              <w:spacing w:before="0" w:after="0"/>
              <w:ind w:hanging="0"/>
              <w:rPr>
                <w:b/>
                <w:bCs/>
                <w:color w:val="FFFFFF"/>
              </w:rPr>
            </w:pPr>
            <w:r>
              <w:rPr>
                <w:rFonts w:eastAsia="Aptos" w:cs="Arial"/>
                <w:b/>
                <w:bCs/>
                <w:color w:themeColor="background1" w:val="FFFFFF"/>
                <w:kern w:val="0"/>
                <w:szCs w:val="22"/>
                <w:lang w:val="ru-RU" w:eastAsia="en-US" w:bidi="ar-SA"/>
              </w:rPr>
              <w:t>Г</w:t>
            </w:r>
          </w:p>
        </w:tc>
        <w:tc>
          <w:tcPr>
            <w:tcW w:w="2976" w:type="dxa"/>
            <w:tcBorders/>
            <w:shd w:color="auto" w:fill="92D050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  <w:sz w:val="24"/>
                <w:szCs w:val="20"/>
              </w:rPr>
            </w:pPr>
            <w:bookmarkStart w:id="9" w:name="_Hlk157711414"/>
            <w:r>
              <w:rPr>
                <w:rFonts w:eastAsia="Aptos" w:cs="Arial"/>
                <w:b/>
                <w:bCs/>
                <w:kern w:val="0"/>
                <w:sz w:val="24"/>
                <w:szCs w:val="20"/>
                <w:lang w:val="ru-RU" w:eastAsia="en-US" w:bidi="ar-SA"/>
              </w:rPr>
              <w:t>Хранение данных</w:t>
            </w:r>
            <w:bookmarkEnd w:id="9"/>
          </w:p>
        </w:tc>
        <w:tc>
          <w:tcPr>
            <w:tcW w:w="62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Соответствие требованиям: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система удовлетворяет требованиям бизнеса и пользователей по хранению данных. Разработчик должен предоставить функциональность, необходимую для корректной работы и обработки данных, а также учитывать требования законодательства и политик безопасности.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Отказоустойчивость: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система готова к сбоям и восстанавливается после них. Разработчик должен предусмотреть механизмы репликации и резервного копирования данных, а также обеспечить возможность быстрого восстановления системы в случае сбоя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Тестирование: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разработчик активно тестирует систему хранения данных и исправляет обнаруженные ошибки и проблемы.</w:t>
            </w:r>
          </w:p>
        </w:tc>
      </w:tr>
      <w:tr>
        <w:trPr/>
        <w:tc>
          <w:tcPr>
            <w:tcW w:w="704" w:type="dxa"/>
            <w:tcBorders/>
            <w:shd w:color="auto" w:fill="00B050" w:val="clear"/>
          </w:tcPr>
          <w:p>
            <w:pPr>
              <w:pStyle w:val="Normal"/>
              <w:widowControl/>
              <w:spacing w:before="0" w:after="0"/>
              <w:ind w:hanging="0"/>
              <w:rPr>
                <w:b/>
                <w:bCs/>
                <w:color w:val="FFFFFF"/>
              </w:rPr>
            </w:pPr>
            <w:r>
              <w:rPr>
                <w:rFonts w:eastAsia="Aptos" w:cs="Arial"/>
                <w:b/>
                <w:bCs/>
                <w:color w:themeColor="background1" w:val="FFFFFF"/>
                <w:kern w:val="0"/>
                <w:szCs w:val="22"/>
                <w:lang w:val="ru-RU" w:eastAsia="en-US" w:bidi="ar-SA"/>
              </w:rPr>
              <w:t>Д</w:t>
            </w:r>
          </w:p>
        </w:tc>
        <w:tc>
          <w:tcPr>
            <w:tcW w:w="2976" w:type="dxa"/>
            <w:tcBorders/>
            <w:shd w:color="auto" w:fill="92D050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kern w:val="0"/>
                <w:sz w:val="24"/>
                <w:szCs w:val="20"/>
                <w:lang w:val="ru-RU" w:eastAsia="en-US" w:bidi="ar-SA"/>
              </w:rPr>
              <w:t>Оптимизация и тестирование игры</w:t>
            </w:r>
          </w:p>
        </w:tc>
        <w:tc>
          <w:tcPr>
            <w:tcW w:w="62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Оптимизация: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игра оценивается по степени интересности и увлекательности геймплея, а также по возможности успешного прохождения,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Тестирование: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разработчик умеет собирать готовый продукт.</w:t>
            </w:r>
          </w:p>
        </w:tc>
      </w:tr>
      <w:tr>
        <w:trPr/>
        <w:tc>
          <w:tcPr>
            <w:tcW w:w="704" w:type="dxa"/>
            <w:tcBorders/>
            <w:shd w:color="auto" w:fill="00B050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  <w:color w:val="FFFFFF"/>
                <w:sz w:val="24"/>
                <w:szCs w:val="20"/>
              </w:rPr>
            </w:pPr>
            <w:r>
              <w:rPr>
                <w:rFonts w:eastAsia="Aptos" w:cs="Arial"/>
                <w:b/>
                <w:bCs/>
                <w:color w:themeColor="background1" w:val="FFFFFF"/>
                <w:kern w:val="0"/>
                <w:sz w:val="24"/>
                <w:szCs w:val="20"/>
                <w:lang w:val="ru-RU" w:eastAsia="en-US" w:bidi="ar-SA"/>
              </w:rPr>
              <w:t>Е</w:t>
            </w:r>
          </w:p>
        </w:tc>
        <w:tc>
          <w:tcPr>
            <w:tcW w:w="2976" w:type="dxa"/>
            <w:tcBorders/>
            <w:shd w:color="auto" w:fill="92D050" w:val="clear"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  <w:sz w:val="24"/>
                <w:szCs w:val="20"/>
              </w:rPr>
            </w:pPr>
            <w:bookmarkStart w:id="10" w:name="_Hlk157712295"/>
            <w:r>
              <w:rPr>
                <w:rFonts w:eastAsia="Aptos" w:cs="Arial"/>
                <w:b/>
                <w:bCs/>
                <w:kern w:val="0"/>
                <w:sz w:val="24"/>
                <w:szCs w:val="20"/>
                <w:lang w:val="ru-RU" w:eastAsia="en-US" w:bidi="ar-SA"/>
              </w:rPr>
              <w:t>Питч игры</w:t>
            </w:r>
            <w:bookmarkEnd w:id="10"/>
          </w:p>
        </w:tc>
        <w:tc>
          <w:tcPr>
            <w:tcW w:w="6209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Цель презентации: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хорошо разработчик презентует основную идею и цель игры. Презентация должна быть понятной, информативной и привлекательной для аудитории.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Информация о игре: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разработчик предоставляет достаточную информацию о геймплее, сюжете, механиках и особенностях игры. Презентация должна дать полное представление о том, что игроки могут ожидать от игры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Демонстрация игрового процесса: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хорошо разработчик демонстрирует основные игровые моменты и механики. Презентация должна включать геймплейный ролик или пример игры в действии, чтобы позволить зрителям увидеть, как выглядит игра в реальности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Уникальные особенности: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разработчик подчеркивает уникальные особенности и характеристики игры. Презентация должна отразить те аспекты игры, которые делают ее особой и интересной для потенциальных игроков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sz w:val="24"/>
                <w:szCs w:val="20"/>
              </w:rPr>
            </w:pPr>
            <w:r>
              <w:rPr>
                <w:rFonts w:eastAsia="Aptos" w:cs="Arial"/>
                <w:kern w:val="0"/>
                <w:sz w:val="24"/>
                <w:szCs w:val="20"/>
                <w:u w:val="single"/>
                <w:lang w:val="ru-RU" w:eastAsia="en-US" w:bidi="ar-SA"/>
              </w:rPr>
              <w:t>Профессионализм и убедительность:</w:t>
            </w:r>
            <w:r>
              <w:rPr>
                <w:rFonts w:eastAsia="Aptos" w:cs="Arial"/>
                <w:kern w:val="0"/>
                <w:sz w:val="24"/>
                <w:szCs w:val="20"/>
                <w:lang w:val="ru-RU" w:eastAsia="en-US" w:bidi="ar-SA"/>
              </w:rPr>
              <w:t xml:space="preserve"> оценивается, насколько разработчик представляет игру профессионально и убедительно. Презентация должна быть хорошо организованной, четкой и информативной, чтобы вызывать доверие у аудитории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jc w:val="center"/>
        <w:rPr/>
      </w:pPr>
      <w:bookmarkStart w:id="11" w:name="_Toc165770543"/>
      <w:r>
        <w:rPr/>
        <w:t>1.5. Конкурсное задание</w:t>
      </w:r>
      <w:bookmarkEnd w:id="11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Cs/>
        </w:rPr>
        <w:t>Общая продолжительность конкурсного задания:</w:t>
      </w:r>
      <w:r>
        <w:rPr/>
        <w:t xml:space="preserve"> 16 часов</w:t>
      </w:r>
    </w:p>
    <w:p>
      <w:pPr>
        <w:pStyle w:val="Normal"/>
        <w:rPr/>
      </w:pPr>
      <w:r>
        <w:rPr>
          <w:bCs/>
        </w:rPr>
        <w:t>Количество конкурсных дней:</w:t>
      </w:r>
      <w:r>
        <w:rPr/>
        <w:t xml:space="preserve"> 3 день</w:t>
      </w:r>
    </w:p>
    <w:p>
      <w:pPr>
        <w:pStyle w:val="Normal"/>
        <w:rPr/>
      </w:pPr>
      <w:r>
        <w:rPr/>
        <w:t>Вне зависимости от количества модулей, КЗ должно включать оценку по каждому из разделов требований компетенции.</w:t>
      </w:r>
    </w:p>
    <w:p>
      <w:pPr>
        <w:pStyle w:val="Normal"/>
        <w:rPr/>
      </w:pPr>
      <w:r>
        <w:rPr/>
        <w:t>Оценка знаний участника должна проводиться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квалификации.</w:t>
      </w:r>
    </w:p>
    <w:p>
      <w:pPr>
        <w:pStyle w:val="Heading2"/>
        <w:jc w:val="center"/>
        <w:rPr/>
      </w:pPr>
      <w:r>
        <w:rPr/>
      </w:r>
      <w:bookmarkStart w:id="12" w:name="_Toc165770544"/>
      <w:bookmarkStart w:id="13" w:name="_Toc165770544"/>
    </w:p>
    <w:p>
      <w:pPr>
        <w:pStyle w:val="Heading2"/>
        <w:jc w:val="center"/>
        <w:rPr/>
      </w:pPr>
      <w:bookmarkStart w:id="14" w:name="_Toc165770544"/>
      <w:r>
        <w:rPr/>
        <w:t>1.5.1. Разработка/выбор конкурсного задания</w:t>
      </w:r>
      <w:bookmarkEnd w:id="14"/>
    </w:p>
    <w:p>
      <w:pPr>
        <w:pStyle w:val="Normal"/>
        <w:rPr/>
      </w:pPr>
      <w:r>
        <w:rPr/>
        <w:t>Конкурсное задание состоит из 6 модулей, включает обязательную к выполнению часть (инвариант) – 5 модулей: Разработка пользовательского интерфейса; Реализация игровых механик; Хранение данных; Оптимизация и тестирование игры; Питч игры; и вариативная часть – 1 модуля: Разработка игрового арта (моделей, интерфейсов). Импорт и настройка игровых моделей.</w:t>
      </w:r>
    </w:p>
    <w:p>
      <w:pPr>
        <w:pStyle w:val="Normal"/>
        <w:rPr/>
      </w:pPr>
      <w:r>
        <w:rPr/>
        <w:t>Общее количество баллов конкурсного задания составляет 100.</w:t>
      </w:r>
    </w:p>
    <w:p>
      <w:pPr>
        <w:pStyle w:val="Heading2"/>
        <w:keepNext w:val="false"/>
        <w:keepLines w:val="false"/>
        <w:widowControl w:val="false"/>
        <w:jc w:val="center"/>
        <w:rPr>
          <w:szCs w:val="28"/>
        </w:rPr>
      </w:pPr>
      <w:r>
        <w:rPr>
          <w:szCs w:val="28"/>
        </w:rPr>
      </w:r>
      <w:bookmarkStart w:id="15" w:name="_Toc165770545"/>
      <w:bookmarkStart w:id="16" w:name="_Toc165770545"/>
    </w:p>
    <w:p>
      <w:pPr>
        <w:pStyle w:val="Heading2"/>
        <w:keepNext w:val="false"/>
        <w:keepLines w:val="false"/>
        <w:widowControl w:val="false"/>
        <w:jc w:val="center"/>
        <w:rPr>
          <w:szCs w:val="28"/>
        </w:rPr>
      </w:pPr>
      <w:bookmarkStart w:id="17" w:name="_Toc165770545"/>
      <w:r>
        <w:rPr>
          <w:szCs w:val="28"/>
        </w:rPr>
        <w:t>1.5.2. Структура модулей конкурсного задания</w:t>
      </w:r>
      <w:bookmarkEnd w:id="17"/>
    </w:p>
    <w:p>
      <w:pPr>
        <w:pStyle w:val="Normal"/>
        <w:widowControl w:val="false"/>
        <w:rPr/>
      </w:pPr>
      <w:r>
        <w:rPr/>
      </w:r>
    </w:p>
    <w:p>
      <w:pPr>
        <w:pStyle w:val="Normal"/>
        <w:rPr/>
      </w:pPr>
      <w:r>
        <w:rPr>
          <w:b/>
          <w:bCs/>
        </w:rPr>
        <w:t>Введение:</w:t>
      </w:r>
      <w:r>
        <w:rPr/>
        <w:t xml:space="preserve"> в рамках Чемпионата конкурсантам предстоит разработать игру для мобильных устройств (смартфона). Они подготовят проект к разработке, создадут игровой арт (модели, интерфейсы), разработают пользовательский интерфейс, реализуют игровые механики, </w:t>
      </w:r>
      <w:r>
        <w:rPr>
          <w:rFonts w:eastAsia="Times New Roman" w:cs="Times New Roman"/>
          <w:bCs/>
          <w:iCs/>
          <w:szCs w:val="28"/>
        </w:rPr>
        <w:t>соберут и протестируют работоспособность сборки, а также представят свою игру в формате</w:t>
      </w:r>
      <w:r>
        <w:rPr/>
        <w:t xml:space="preserve"> питча.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А.</w:t>
      </w:r>
      <w:r>
        <w:rPr/>
        <w:t xml:space="preserve"> </w:t>
      </w:r>
      <w:r>
        <w:rPr>
          <w:rFonts w:eastAsia="Times New Roman" w:cs="Times New Roman"/>
          <w:b/>
          <w:bCs/>
          <w:szCs w:val="28"/>
          <w:lang w:eastAsia="ru-RU"/>
        </w:rPr>
        <w:t xml:space="preserve">Разработка игрового арта (моделей, интерфейсов). Импорт и настройка игровых моделей </w:t>
      </w:r>
      <w:r>
        <w:rPr>
          <w:rFonts w:eastAsia="Times New Roman" w:cs="Times New Roman"/>
          <w:b/>
          <w:color w:val="000000"/>
          <w:szCs w:val="28"/>
          <w:lang w:eastAsia="ru-RU"/>
        </w:rPr>
        <w:t>(вариатив)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2 часа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>Задание:</w:t>
      </w:r>
      <w:r>
        <w:rPr>
          <w:rFonts w:eastAsia="Times New Roman" w:cs="Times New Roman"/>
          <w:bCs/>
          <w:iCs/>
          <w:szCs w:val="28"/>
        </w:rPr>
        <w:t xml:space="preserve"> Конкурсанту необходимо разработать игровой арт (модели, интерфейсы) и выполнить все подготовительные действия перед началом работы.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На основе представленного ГДД необходимо разработать следующие элементы:</w:t>
      </w:r>
    </w:p>
    <w:p>
      <w:pPr>
        <w:pStyle w:val="ListParagraph"/>
        <w:numPr>
          <w:ilvl w:val="0"/>
          <w:numId w:val="5"/>
        </w:num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3D модели:</w:t>
      </w:r>
    </w:p>
    <w:p>
      <w:pPr>
        <w:pStyle w:val="ListParagraph"/>
        <w:widowControl w:val="false"/>
        <w:numPr>
          <w:ilvl w:val="0"/>
          <w:numId w:val="4"/>
        </w:numPr>
        <w:ind w:firstLine="1072" w:left="0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Космический спутник: Разработать модель разрушенного искусственного спутника, который станет начальной точкой для игрока. Спутник должен быть реалистично поврежден и включать детали, такие как солнечные панели и антенны.</w:t>
      </w:r>
    </w:p>
    <w:p>
      <w:pPr>
        <w:pStyle w:val="ListParagraph"/>
        <w:widowControl w:val="false"/>
        <w:numPr>
          <w:ilvl w:val="0"/>
          <w:numId w:val="4"/>
        </w:numPr>
        <w:ind w:firstLine="1072" w:left="0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Космическая станция: Разработать модель космической станции, к которой игрок должен добраться. Станция должна быть детализирована и включать функциональные элементы (например, шлюзы, окна).</w:t>
      </w:r>
    </w:p>
    <w:p>
      <w:pPr>
        <w:pStyle w:val="ListParagraph"/>
        <w:numPr>
          <w:ilvl w:val="0"/>
          <w:numId w:val="5"/>
        </w:numPr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Игровой арт:</w:t>
      </w:r>
    </w:p>
    <w:p>
      <w:pPr>
        <w:pStyle w:val="ListParagraph"/>
        <w:widowControl w:val="false"/>
        <w:numPr>
          <w:ilvl w:val="0"/>
          <w:numId w:val="4"/>
        </w:numPr>
        <w:ind w:firstLine="1072" w:left="0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Арт для рекламных материалов: Разработать постер для игры, который может быть использован в маркетинговых материалах, включая обложки, баннеры и изображения для социальных сетей.</w:t>
      </w:r>
    </w:p>
    <w:p>
      <w:pPr>
        <w:pStyle w:val="Normal"/>
        <w:widowControl w:val="false"/>
        <w:rPr>
          <w:bCs/>
          <w:highlight w:val="white"/>
        </w:rPr>
      </w:pPr>
      <w:r>
        <w:rPr>
          <w:highlight w:val="white"/>
        </w:rPr>
        <w:t>На рабочем столе создать папку с названием номера конкурсанта (Например 05). Создать проект с названием «Spaceexpedition».</w:t>
      </w:r>
    </w:p>
    <w:p>
      <w:pPr>
        <w:pStyle w:val="Normal"/>
        <w:spacing w:before="0" w:after="0"/>
        <w:ind w:firstLine="708"/>
        <w:contextualSpacing/>
        <w:rPr/>
      </w:pPr>
      <w:r>
        <w:rPr/>
        <w:t>Внутри проекта необходимо создать архитектуру папок и подпапок для дальнейшей работы в зависимости от применяемых паттернов разработки.</w:t>
      </w:r>
    </w:p>
    <w:p>
      <w:pPr>
        <w:pStyle w:val="Normal"/>
        <w:rPr/>
      </w:pPr>
      <w:r>
        <w:rPr/>
        <w:t>Импортировать ресурсы и разложить их по папкам, при необходимости изменить названия и настроить их.</w:t>
      </w:r>
    </w:p>
    <w:p>
      <w:pPr>
        <w:pStyle w:val="Normal"/>
        <w:rPr/>
      </w:pPr>
      <w:r>
        <w:rPr/>
        <w:t>Разработать логотип игры, используя графический редактор.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</w:r>
    </w:p>
    <w:p>
      <w:pPr>
        <w:pStyle w:val="Normal"/>
        <w:spacing w:lineRule="auto" w:line="276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Б.</w:t>
      </w:r>
      <w:r>
        <w:rPr>
          <w:rFonts w:eastAsia="Times New Roman" w:cs="Times New Roman"/>
          <w:b/>
          <w:color w:val="000000"/>
          <w:szCs w:val="28"/>
          <w:lang w:eastAsia="ru-RU"/>
        </w:rPr>
        <w:t xml:space="preserve"> Разработка пользовательского интерфейса (инвариант)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2 часа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>Задание:</w:t>
      </w:r>
      <w:r>
        <w:rPr>
          <w:rFonts w:eastAsia="Times New Roman" w:cs="Times New Roman"/>
          <w:bCs/>
          <w:iCs/>
          <w:szCs w:val="28"/>
        </w:rPr>
        <w:t xml:space="preserve"> Конкурсанту необходимо разработать все окна, согласно ГДД. 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Дизайн окон должен быть идентичным и необходимый для верстки функционал должен быть реализован.</w:t>
      </w:r>
    </w:p>
    <w:p>
      <w:pPr>
        <w:pStyle w:val="Normal"/>
        <w:rPr>
          <w:rFonts w:eastAsia="Times New Roman" w:cs="Times New Roman"/>
          <w:szCs w:val="28"/>
        </w:rPr>
      </w:pPr>
      <w:r>
        <w:rPr>
          <w:rFonts w:eastAsia="Times New Roman" w:cs="Times New Roman"/>
          <w:bCs/>
          <w:iCs/>
          <w:szCs w:val="28"/>
        </w:rPr>
        <w:t xml:space="preserve">Весь интерфейс должен быть разработан на объектах </w:t>
      </w:r>
      <w:r>
        <w:rPr>
          <w:rFonts w:eastAsia="Times New Roman" w:cs="Times New Roman"/>
          <w:bCs/>
          <w:iCs/>
          <w:szCs w:val="28"/>
          <w:lang w:val="en-US"/>
        </w:rPr>
        <w:t>UI</w:t>
      </w:r>
      <w:r>
        <w:rPr>
          <w:rFonts w:eastAsia="Times New Roman" w:cs="Times New Roman"/>
          <w:bCs/>
          <w:iCs/>
          <w:szCs w:val="28"/>
        </w:rPr>
        <w:t xml:space="preserve"> с использованием </w:t>
      </w:r>
      <w:r>
        <w:rPr>
          <w:rFonts w:eastAsia="Times New Roman" w:cs="Times New Roman"/>
          <w:bCs/>
          <w:iCs/>
          <w:szCs w:val="28"/>
          <w:lang w:val="en-US"/>
        </w:rPr>
        <w:t>Canvas</w:t>
      </w:r>
      <w:r>
        <w:rPr>
          <w:rFonts w:eastAsia="Times New Roman" w:cs="Times New Roman"/>
          <w:bCs/>
          <w:iCs/>
          <w:szCs w:val="28"/>
        </w:rPr>
        <w:t>. Также не должны использоваться стандартные шрифты.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spacing w:lineRule="auto" w:line="276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В.</w:t>
      </w:r>
      <w:r>
        <w:rPr/>
        <w:t xml:space="preserve"> </w:t>
      </w:r>
      <w:r>
        <w:rPr>
          <w:rFonts w:eastAsia="Times New Roman" w:cs="Times New Roman"/>
          <w:b/>
          <w:bCs/>
          <w:szCs w:val="28"/>
          <w:lang w:eastAsia="ru-RU"/>
        </w:rPr>
        <w:t>Реализация игровых механик</w:t>
      </w:r>
      <w:r>
        <w:rPr>
          <w:rFonts w:eastAsia="Times New Roman" w:cs="Times New Roman"/>
          <w:b/>
          <w:color w:val="000000"/>
          <w:szCs w:val="28"/>
          <w:lang w:eastAsia="ru-RU"/>
        </w:rPr>
        <w:t xml:space="preserve"> (инвариант)</w:t>
      </w:r>
    </w:p>
    <w:p>
      <w:pPr>
        <w:pStyle w:val="Normal"/>
        <w:widowControl w:val="false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8 часов</w:t>
      </w:r>
    </w:p>
    <w:p>
      <w:pPr>
        <w:pStyle w:val="Normal"/>
        <w:widowControl w:val="false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 xml:space="preserve">Задание: </w:t>
      </w:r>
      <w:r>
        <w:rPr>
          <w:rFonts w:eastAsia="Times New Roman" w:cs="Times New Roman"/>
          <w:bCs/>
          <w:iCs/>
          <w:szCs w:val="28"/>
        </w:rPr>
        <w:t>Конкурсанту необходимо реализовать игровые механики, указанные в ГДД, а также реализовать юнит-тесты.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Также должны отсутствовать закомментированные блоки кода, наименование классов и переменных должны отражать их назначения, стиль наименования должен соответствовать стандартам.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Должны присутствовать комментарии summary у каждого класса и содержать полное описание передаваемых параметров.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  <w:t>Скрипты должны быть структурированы.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</w:r>
    </w:p>
    <w:p>
      <w:pPr>
        <w:pStyle w:val="Normal"/>
        <w:spacing w:lineRule="auto" w:line="276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Г.</w:t>
      </w:r>
      <w:r>
        <w:rPr/>
        <w:t xml:space="preserve"> </w:t>
      </w:r>
      <w:r>
        <w:rPr>
          <w:rFonts w:eastAsia="Times New Roman" w:cs="Times New Roman"/>
          <w:b/>
          <w:bCs/>
          <w:szCs w:val="28"/>
          <w:lang w:eastAsia="ru-RU"/>
        </w:rPr>
        <w:t>Хранение данных</w:t>
      </w:r>
      <w:r>
        <w:rPr>
          <w:rFonts w:eastAsia="Times New Roman" w:cs="Times New Roman"/>
          <w:b/>
          <w:color w:val="000000"/>
          <w:szCs w:val="28"/>
          <w:lang w:eastAsia="ru-RU"/>
        </w:rPr>
        <w:t xml:space="preserve"> (инвариант)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1 час</w:t>
      </w:r>
    </w:p>
    <w:p>
      <w:pPr>
        <w:pStyle w:val="Normal"/>
        <w:rPr/>
      </w:pPr>
      <w:r>
        <w:rPr>
          <w:rFonts w:eastAsia="Times New Roman" w:cs="Times New Roman"/>
          <w:b/>
          <w:bCs/>
          <w:iCs/>
          <w:szCs w:val="28"/>
        </w:rPr>
        <w:t xml:space="preserve">Задание: </w:t>
      </w:r>
      <w:r>
        <w:rPr/>
        <w:t>Конкурсант должен реализовать сохранение аспектов игрового процесса согласно ГДД.</w:t>
      </w:r>
    </w:p>
    <w:p>
      <w:pPr>
        <w:pStyle w:val="Normal"/>
        <w:rPr>
          <w:rFonts w:eastAsia="Times New Roman" w:cs="Times New Roman"/>
          <w:b/>
          <w:bCs/>
          <w:iCs/>
          <w:szCs w:val="28"/>
        </w:rPr>
      </w:pPr>
      <w:r>
        <w:rPr>
          <w:rFonts w:eastAsia="Times New Roman" w:cs="Times New Roman"/>
          <w:b/>
          <w:bCs/>
          <w:iCs/>
          <w:szCs w:val="28"/>
        </w:rPr>
        <w:t>Модуль Д. Оптимизация и тестирование игры (инвариант)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выполнение модуля:</w:t>
      </w:r>
      <w:r>
        <w:rPr>
          <w:rFonts w:eastAsia="Times New Roman" w:cs="Times New Roman"/>
          <w:bCs/>
          <w:iCs/>
          <w:szCs w:val="28"/>
        </w:rPr>
        <w:t xml:space="preserve"> 1 час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Задание:</w:t>
      </w:r>
      <w:r>
        <w:rPr>
          <w:rFonts w:eastAsia="Times New Roman" w:cs="Times New Roman"/>
          <w:bCs/>
          <w:iCs/>
          <w:szCs w:val="28"/>
        </w:rPr>
        <w:t xml:space="preserve"> Конкурсанту требуется устранить ошибки, чтобы обеспечить выполнение основных задач в игре, а также собрать и протестировать работоспособность сборки.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Cs/>
          <w:iCs/>
          <w:szCs w:val="28"/>
        </w:rPr>
      </w:r>
    </w:p>
    <w:p>
      <w:pPr>
        <w:pStyle w:val="Normal"/>
        <w:spacing w:lineRule="auto" w:line="276"/>
        <w:jc w:val="left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Модуль Е.</w:t>
      </w:r>
      <w:r>
        <w:rPr/>
        <w:t xml:space="preserve"> </w:t>
      </w:r>
      <w:r>
        <w:rPr>
          <w:rFonts w:eastAsia="Times New Roman" w:cs="Times New Roman"/>
          <w:b/>
          <w:bCs/>
          <w:szCs w:val="28"/>
          <w:lang w:eastAsia="ru-RU"/>
        </w:rPr>
        <w:t>Питч игры (</w:t>
      </w:r>
      <w:r>
        <w:rPr>
          <w:rFonts w:eastAsia="Times New Roman" w:cs="Times New Roman"/>
          <w:b/>
          <w:color w:val="000000"/>
          <w:szCs w:val="28"/>
          <w:lang w:eastAsia="ru-RU"/>
        </w:rPr>
        <w:t>инвариант</w:t>
      </w:r>
      <w:r>
        <w:rPr>
          <w:rFonts w:eastAsia="Times New Roman" w:cs="Times New Roman"/>
          <w:b/>
          <w:bCs/>
          <w:szCs w:val="28"/>
          <w:lang w:eastAsia="ru-RU"/>
        </w:rPr>
        <w:t>)</w:t>
      </w:r>
    </w:p>
    <w:p>
      <w:pPr>
        <w:pStyle w:val="Normal"/>
        <w:rPr>
          <w:rFonts w:eastAsia="Times New Roman" w:cs="Times New Roman"/>
          <w:bCs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Время на выполнения модуля:</w:t>
      </w:r>
      <w:r>
        <w:rPr>
          <w:rFonts w:eastAsia="Times New Roman" w:cs="Times New Roman"/>
          <w:bCs/>
          <w:iCs/>
          <w:szCs w:val="28"/>
        </w:rPr>
        <w:t xml:space="preserve"> 2 часа</w:t>
      </w:r>
    </w:p>
    <w:p>
      <w:pPr>
        <w:pStyle w:val="Normal"/>
        <w:rPr>
          <w:rFonts w:eastAsia="Times New Roman" w:cs="Times New Roman"/>
          <w:b/>
          <w:iCs/>
          <w:szCs w:val="28"/>
        </w:rPr>
      </w:pPr>
      <w:r>
        <w:rPr>
          <w:rFonts w:eastAsia="Times New Roman" w:cs="Times New Roman"/>
          <w:b/>
          <w:iCs/>
          <w:szCs w:val="28"/>
        </w:rPr>
        <w:t>Защита модуля 5 минут на конкурсанта</w:t>
      </w:r>
    </w:p>
    <w:p>
      <w:pPr>
        <w:pStyle w:val="Normal"/>
        <w:rPr>
          <w:bCs/>
        </w:rPr>
      </w:pPr>
      <w:r>
        <w:rPr>
          <w:rFonts w:eastAsia="Times New Roman" w:cs="Times New Roman"/>
          <w:b/>
          <w:iCs/>
          <w:szCs w:val="28"/>
        </w:rPr>
        <w:t>Задание:</w:t>
      </w:r>
      <w:r>
        <w:rPr>
          <w:rFonts w:eastAsia="Times New Roman" w:cs="Times New Roman"/>
          <w:bCs/>
          <w:iCs/>
          <w:szCs w:val="28"/>
        </w:rPr>
        <w:t xml:space="preserve"> </w:t>
      </w:r>
      <w:r>
        <w:rPr/>
        <w:t>Конкурсанту н</w:t>
      </w:r>
      <w:r>
        <w:rPr>
          <w:rFonts w:eastAsia="Times New Roman" w:cs="Times New Roman"/>
          <w:bCs/>
          <w:iCs/>
          <w:szCs w:val="28"/>
        </w:rPr>
        <w:t xml:space="preserve">еобходимо подготовить </w:t>
      </w:r>
      <w:r>
        <w:rPr>
          <w:bCs/>
        </w:rPr>
        <w:t>презентацию-питч проекта (слайд- шоу, анимация, скрайбинг и другие формы по выбору), а также презентовать перед экспертами.</w:t>
      </w:r>
    </w:p>
    <w:p>
      <w:pPr>
        <w:pStyle w:val="Normal"/>
        <w:rPr>
          <w:bCs/>
        </w:rPr>
      </w:pPr>
      <w:r>
        <w:rPr>
          <w:rFonts w:eastAsia="Times New Roman" w:cs="Times New Roman"/>
          <w:bCs/>
          <w:iCs/>
          <w:szCs w:val="28"/>
        </w:rPr>
        <w:t>П</w:t>
      </w:r>
      <w:r>
        <w:rPr>
          <w:bCs/>
        </w:rPr>
        <w:t>резентация должна включать в себя:</w:t>
      </w:r>
    </w:p>
    <w:p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титульную страницу;</w:t>
      </w:r>
    </w:p>
    <w:p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название игры;</w:t>
      </w:r>
    </w:p>
    <w:p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жанр(ы) игры;</w:t>
      </w:r>
    </w:p>
    <w:p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целевую аудиторию игры;</w:t>
      </w:r>
    </w:p>
    <w:p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основные механики игры (со скриншотами/записью экрана);</w:t>
      </w:r>
    </w:p>
    <w:p>
      <w:pPr>
        <w:pStyle w:val="ListParagraph"/>
        <w:numPr>
          <w:ilvl w:val="0"/>
          <w:numId w:val="3"/>
        </w:numPr>
        <w:rPr>
          <w:bCs/>
        </w:rPr>
      </w:pPr>
      <w:r>
        <w:rPr>
          <w:bCs/>
        </w:rPr>
        <w:t>описание производительности.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spacing w:lineRule="auto" w:line="259" w:before="0" w:after="16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18" w:name="_Toc165770546"/>
      <w:r>
        <w:rPr/>
        <w:t>2. Специальные правила компетенции</w:t>
      </w:r>
      <w:bookmarkEnd w:id="18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Особые правила компетенции не могут противоречить или иметь приоритет над Регламентом соревнований. Они предоставляют конкретные детали и ясность в областях, которые могут варьироваться в зависимости от компетенции.</w:t>
      </w:r>
    </w:p>
    <w:tbl>
      <w:tblPr>
        <w:tblStyle w:val="af9"/>
        <w:tblW w:w="974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71"/>
        <w:gridCol w:w="6775"/>
      </w:tblGrid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</w:rPr>
            </w:pPr>
            <w:r>
              <w:rPr>
                <w:rFonts w:eastAsia="Aptos" w:cs="Arial"/>
                <w:b/>
                <w:bCs/>
                <w:kern w:val="0"/>
                <w:szCs w:val="22"/>
                <w:lang w:val="ru-RU" w:eastAsia="en-US" w:bidi="ar-SA"/>
              </w:rPr>
              <w:t>Область</w:t>
            </w:r>
          </w:p>
        </w:tc>
        <w:tc>
          <w:tcPr>
            <w:tcW w:w="677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b/>
                <w:bCs/>
              </w:rPr>
            </w:pPr>
            <w:r>
              <w:rPr>
                <w:rFonts w:eastAsia="Aptos" w:cs="Arial"/>
                <w:b/>
                <w:bCs/>
                <w:kern w:val="0"/>
                <w:szCs w:val="22"/>
                <w:lang w:val="ru-RU" w:eastAsia="en-US" w:bidi="ar-SA"/>
              </w:rPr>
              <w:t>Правила</w:t>
            </w:r>
          </w:p>
        </w:tc>
      </w:tr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Использование персональных мобильных устройств (ноутбуки, планшеты, мобильные телефоны, смарт-часы)</w:t>
            </w:r>
          </w:p>
        </w:tc>
        <w:tc>
          <w:tcPr>
            <w:tcW w:w="677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Экспертам-наставникам разрешается пользоваться личными компьютерами, планшетами, мобильными телефонами или смарт устройствами, находясь в помещении для экспертов, за исключением случаев, когда в этом помещении находятся документы, имеющие отношение к соревнованию.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Экспертам-наставникам на протяжении всего чемпионата запрещено показывать, что-либо на мобильных устройствах и других предметах (которые могут содержать информацию) конкурсантам чемпионата.</w:t>
            </w:r>
          </w:p>
        </w:tc>
      </w:tr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Использование устройств фото- и видеосъемки</w:t>
            </w:r>
          </w:p>
        </w:tc>
        <w:tc>
          <w:tcPr>
            <w:tcW w:w="677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Экспертам-наставникам разрешается делать фото их конкурсантов во время чемпионата, таким образом, чтобы содержимое экрана не попадало в объектив фото или видео оборудования.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Экспертам-наставникам разрешается пользоваться фото- и видеооборудованием, находясь в помещении для экспертов, за исключением случаев, когда документы, относящиеся к соревнованию, находятся в комнате, по согласованию с Главным экспертом.</w:t>
            </w:r>
          </w:p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Конкурсантам разрешается использовать личные устройства для фото- и видеосъемки на рабочей площадке только после завершения Чемпионата.</w:t>
            </w:r>
          </w:p>
        </w:tc>
      </w:tr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Прослушивание музыки во время соревнований</w:t>
            </w:r>
          </w:p>
        </w:tc>
        <w:tc>
          <w:tcPr>
            <w:tcW w:w="677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Участники могут слушать музыку. Наушники и музыка в виде файлов должны быть предварительно сданы техническому администратору площадки или главному эксперту для проверки. В день ознакомления конкурсантам разрешается принести карту памяти, содержащую музыку. Вся музыка будет упорядочена и проверена. Принесенная музыка будет храниться на компьютерах конкурсантов.</w:t>
            </w:r>
          </w:p>
        </w:tc>
      </w:tr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Коммуникация</w:t>
            </w:r>
          </w:p>
        </w:tc>
        <w:tc>
          <w:tcPr>
            <w:tcW w:w="677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На всем протяжении чемпионата запрещена любая  помощь и подсказки со стороны экспертов-наставников для конкурсантов, в том числе на мобильных устройствах и бумажных носителях, которые могут содержать информацию. Общения с конкурсантами обязательно должны быть согласованы с Главным экспертом.</w:t>
            </w:r>
          </w:p>
        </w:tc>
      </w:tr>
      <w:tr>
        <w:trPr/>
        <w:tc>
          <w:tcPr>
            <w:tcW w:w="2971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Клавиатура и мышь</w:t>
            </w:r>
          </w:p>
        </w:tc>
        <w:tc>
          <w:tcPr>
            <w:tcW w:w="6775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0"/>
              <w:rPr>
                <w:rFonts w:eastAsia="Aptos" w:cs="Arial"/>
                <w:kern w:val="0"/>
                <w:szCs w:val="22"/>
                <w:lang w:val="ru-RU" w:eastAsia="en-US" w:bidi="ar-SA"/>
              </w:rPr>
            </w:pPr>
            <w:r>
              <w:rPr>
                <w:rFonts w:eastAsia="Aptos" w:cs="Arial"/>
                <w:kern w:val="0"/>
                <w:szCs w:val="22"/>
                <w:lang w:val="ru-RU" w:eastAsia="en-US" w:bidi="ar-SA"/>
              </w:rPr>
              <w:t>Конкурсанты могут принести с собой свои клавиатуры, мышки и проводные наушники. Все принесенные клавиатуры, мышки и проводные наушники должны быть предварительно сданы на проверку техническому администратору площадки. Запрещено использование клавиатур и мышек с подключением по беспроводным каналам. Устройства ввода не должны быть программируемыми.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ind w:hanging="0"/>
        <w:jc w:val="center"/>
        <w:rPr/>
      </w:pPr>
      <w:bookmarkStart w:id="19" w:name="_Toc165770547"/>
      <w:r>
        <w:rPr/>
        <w:t xml:space="preserve">2.1. </w:t>
      </w:r>
      <w:r>
        <w:rPr>
          <w:caps w:val="false"/>
          <w:smallCaps w:val="false"/>
        </w:rPr>
        <w:t>Личные инструменты конкурсанта</w:t>
      </w:r>
      <w:bookmarkEnd w:id="19"/>
    </w:p>
    <w:p>
      <w:pPr>
        <w:pStyle w:val="Normal"/>
        <w:rPr/>
      </w:pPr>
      <w:r>
        <w:rPr/>
        <w:t>Участник может принести с собой следующее оборудование:</w:t>
      </w:r>
    </w:p>
    <w:p>
      <w:pPr>
        <w:pStyle w:val="Normal"/>
        <w:rPr/>
      </w:pPr>
      <w:r>
        <w:rPr/>
        <w:t xml:space="preserve">● </w:t>
      </w:r>
      <w:r>
        <w:rPr/>
        <w:t>БЕЗ</w:t>
      </w:r>
      <w:r>
        <w:rPr/>
        <w:t>проводные! наушники;</w:t>
      </w:r>
    </w:p>
    <w:p>
      <w:pPr>
        <w:pStyle w:val="Normal"/>
        <w:rPr/>
      </w:pPr>
      <w:r>
        <w:rPr/>
        <w:t xml:space="preserve">● </w:t>
      </w:r>
      <w:r>
        <w:rPr/>
        <w:t>БЕЗ!</w:t>
      </w:r>
      <w:r>
        <w:rPr/>
        <w:t>проводные! клавиатуру и мышь, без дополнительных программируемых кнопок и установки драйверов.</w:t>
      </w:r>
    </w:p>
    <w:p>
      <w:pPr>
        <w:pStyle w:val="Heading1"/>
        <w:rPr/>
      </w:pPr>
      <w:r>
        <w:rPr/>
      </w:r>
    </w:p>
    <w:p>
      <w:pPr>
        <w:pStyle w:val="Heading1"/>
        <w:ind w:hanging="0"/>
        <w:jc w:val="center"/>
        <w:rPr/>
      </w:pPr>
      <w:bookmarkStart w:id="20" w:name="_Toc165770548"/>
      <w:r>
        <w:rPr/>
        <w:t xml:space="preserve">2.2. </w:t>
      </w:r>
      <w:r>
        <w:rPr>
          <w:caps w:val="false"/>
          <w:smallCaps w:val="false"/>
        </w:rPr>
        <w:t>Материалы, оборудование и инструменты, запрещенные на площадке</w:t>
      </w:r>
      <w:bookmarkEnd w:id="20"/>
    </w:p>
    <w:p>
      <w:pPr>
        <w:pStyle w:val="Normal"/>
        <w:rPr/>
      </w:pPr>
      <w:r>
        <w:rPr/>
        <w:t>Все оборудование, принесенное участниками, должно быть проверено экспертами на наличие внутренних запоминающих устройств. В случае обнаружения оборудование будет изыматься.</w:t>
      </w:r>
    </w:p>
    <w:p>
      <w:pPr>
        <w:pStyle w:val="Normal"/>
        <w:rPr/>
      </w:pPr>
      <w:r>
        <w:rPr/>
        <w:t>Экспертам допускается использовать персональные компьютеры или ноутбуки, но в специальной зоне. В помещениях для проведения оценки использование любых электронных устройств запрещено, кроме специально организованных для оценки.</w:t>
      </w:r>
    </w:p>
    <w:p>
      <w:pPr>
        <w:pStyle w:val="Normal"/>
        <w:rPr/>
      </w:pPr>
      <w:r>
        <w:rPr/>
        <w:t>Также запрещено приносить:</w:t>
      </w:r>
    </w:p>
    <w:p>
      <w:pPr>
        <w:pStyle w:val="Normal"/>
        <w:rPr/>
      </w:pPr>
      <w:r>
        <w:rPr/>
        <w:t xml:space="preserve">● </w:t>
      </w:r>
      <w:r>
        <w:rPr/>
        <w:t>мобильные телефоны;</w:t>
      </w:r>
    </w:p>
    <w:p>
      <w:pPr>
        <w:pStyle w:val="Normal"/>
        <w:rPr/>
      </w:pPr>
      <w:r>
        <w:rPr/>
        <w:t xml:space="preserve">● </w:t>
      </w:r>
      <w:r>
        <w:rPr/>
        <w:t>планшеты;</w:t>
      </w:r>
    </w:p>
    <w:p>
      <w:pPr>
        <w:pStyle w:val="Normal"/>
        <w:rPr/>
      </w:pPr>
      <w:r>
        <w:rPr/>
        <w:t xml:space="preserve">● </w:t>
      </w:r>
      <w:r>
        <w:rPr/>
        <w:t>смарт устройства;</w:t>
      </w:r>
    </w:p>
    <w:p>
      <w:pPr>
        <w:pStyle w:val="Normal"/>
        <w:rPr/>
      </w:pPr>
      <w:r>
        <w:rPr/>
        <w:t xml:space="preserve">● </w:t>
      </w:r>
      <w:r>
        <w:rPr/>
        <w:t>фото/видео устройства;</w:t>
      </w:r>
    </w:p>
    <w:p>
      <w:pPr>
        <w:pStyle w:val="Normal"/>
        <w:rPr/>
      </w:pPr>
      <w:r>
        <w:rPr/>
        <w:t xml:space="preserve">● </w:t>
      </w:r>
      <w:r>
        <w:rPr/>
        <w:t>карты памяти и другие носители информации;</w:t>
      </w:r>
    </w:p>
    <w:p>
      <w:pPr>
        <w:pStyle w:val="Normal"/>
        <w:rPr/>
      </w:pPr>
      <w:r>
        <w:rPr/>
        <w:t xml:space="preserve">● </w:t>
      </w:r>
      <w:r>
        <w:rPr/>
        <w:t>беспроводные наушники;</w:t>
      </w:r>
    </w:p>
    <w:p>
      <w:pPr>
        <w:pStyle w:val="Normal"/>
        <w:rPr/>
      </w:pPr>
      <w:r>
        <w:rPr/>
        <w:t xml:space="preserve">● </w:t>
      </w:r>
      <w:r>
        <w:rPr/>
        <w:t>внутренние устройства памяти в собственном оборудовании.</w:t>
      </w:r>
    </w:p>
    <w:p>
      <w:pPr>
        <w:pStyle w:val="Normal"/>
        <w:ind w:hanging="0"/>
        <w:rPr/>
      </w:pPr>
      <w:r>
        <w:rPr/>
      </w:r>
      <w:r>
        <w:br w:type="page"/>
      </w:r>
    </w:p>
    <w:p>
      <w:pPr>
        <w:pStyle w:val="Heading1"/>
        <w:spacing w:before="0" w:after="0"/>
        <w:jc w:val="center"/>
        <w:rPr/>
      </w:pPr>
      <w:bookmarkStart w:id="21" w:name="_Toc165770549"/>
      <w:r>
        <w:rPr/>
        <w:t>3. Приложения</w:t>
      </w:r>
      <w:bookmarkEnd w:id="21"/>
    </w:p>
    <w:p>
      <w:pPr>
        <w:pStyle w:val="Normal"/>
        <w:rPr/>
      </w:pPr>
      <w:r>
        <w:rPr/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1. Инструкция по заполнению матрицы конкурсного задания.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2. Матрица конкурсного задания.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3. Инструкция по охране труда.</w:t>
      </w:r>
    </w:p>
    <w:p>
      <w:pPr>
        <w:pStyle w:val="Normal"/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4. Геймдизайн документ.</w:t>
      </w:r>
    </w:p>
    <w:p>
      <w:pPr>
        <w:pStyle w:val="Normal"/>
        <w:rPr/>
      </w:pPr>
      <w:r>
        <w:rPr/>
      </w:r>
    </w:p>
    <w:sectPr>
      <w:footerReference w:type="default" r:id="rId3"/>
      <w:type w:val="nextPage"/>
      <w:pgSz w:w="11906" w:h="16838"/>
      <w:pgMar w:left="1418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Aptos Display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911844687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31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Aptos" w:cs="Arial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outlineLvl w:val="0"/>
    </w:pPr>
    <w:rPr>
      <w:rFonts w:eastAsia="Arial" w:cs="Arial" w:cstheme="majorBidi" w:eastAsiaTheme="majorEastAsia"/>
      <w:b/>
      <w:caps/>
      <w:color w:themeColor="text1" w:val="00000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outlineLvl w:val="1"/>
    </w:pPr>
    <w:rPr>
      <w:rFonts w:eastAsia="Arial" w:cs="Arial" w:cstheme="majorBidi" w:eastAsiaTheme="majorEastAsia"/>
      <w:b/>
      <w:color w:themeColor="text1" w:val="000000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Aptos" w:hAnsi="Aptos" w:eastAsia="Arial" w:cs="Arial" w:asciiTheme="minorHAnsi" w:cstheme="majorBidi" w:eastAsiaTheme="majorEastAsia" w:hAnsiTheme="minorHAnsi"/>
      <w:color w:themeColor="accent1" w:themeShade="bf" w:val="0F4761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Aptos" w:hAnsi="Aptos" w:eastAsia="Arial" w:cs="Arial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ascii="Aptos" w:hAnsi="Aptos" w:eastAsia="Arial" w:cs="Arial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Aptos" w:hAnsi="Aptos" w:eastAsia="Arial" w:cs="Arial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ascii="Aptos" w:hAnsi="Aptos" w:eastAsia="Arial" w:cs="Arial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outlineLvl w:val="7"/>
    </w:pPr>
    <w:rPr>
      <w:rFonts w:ascii="Aptos" w:hAnsi="Aptos" w:eastAsia="Arial" w:cs="Arial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outlineLvl w:val="8"/>
    </w:pPr>
    <w:rPr>
      <w:rFonts w:ascii="Aptos" w:hAnsi="Aptos" w:eastAsia="Arial" w:cs="Arial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 w:customStyle="1">
    <w:name w:val="Title Char"/>
    <w:basedOn w:val="DefaultParagraphFont"/>
    <w:uiPriority w:val="10"/>
    <w:qFormat/>
    <w:rPr>
      <w:sz w:val="48"/>
      <w:szCs w:val="48"/>
    </w:rPr>
  </w:style>
  <w:style w:type="character" w:styleId="SubtitleChar" w:customStyle="1">
    <w:name w:val="Subtitle Char"/>
    <w:basedOn w:val="DefaultParagraphFont"/>
    <w:uiPriority w:val="11"/>
    <w:qFormat/>
    <w:rPr>
      <w:sz w:val="24"/>
      <w:szCs w:val="24"/>
    </w:rPr>
  </w:style>
  <w:style w:type="character" w:styleId="QuoteChar" w:customStyle="1">
    <w:name w:val="Quote Char"/>
    <w:uiPriority w:val="29"/>
    <w:qFormat/>
    <w:rPr>
      <w:i/>
    </w:rPr>
  </w:style>
  <w:style w:type="character" w:styleId="IntenseQuoteChar" w:customStyle="1">
    <w:name w:val="Intense Quote Char"/>
    <w:uiPriority w:val="30"/>
    <w:qFormat/>
    <w:rPr>
      <w:i/>
    </w:rPr>
  </w:style>
  <w:style w:type="character" w:styleId="Style5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6" w:customStyle="1">
    <w:name w:val="Нижний колонтитул Знак"/>
    <w:uiPriority w:val="99"/>
    <w:qFormat/>
    <w:rPr/>
  </w:style>
  <w:style w:type="character" w:styleId="Style7" w:customStyle="1">
    <w:name w:val="Текст сноски Знак"/>
    <w:uiPriority w:val="99"/>
    <w:qFormat/>
    <w:rPr>
      <w:sz w:val="18"/>
    </w:rPr>
  </w:style>
  <w:style w:type="character" w:styleId="Style8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концевой сноски Знак"/>
    <w:uiPriority w:val="99"/>
    <w:qFormat/>
    <w:rPr>
      <w:sz w:val="20"/>
    </w:rPr>
  </w:style>
  <w:style w:type="character" w:styleId="Style10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 w:cstheme="majorBidi" w:eastAsiaTheme="majorEastAsia"/>
      <w:b/>
      <w:caps/>
      <w:color w:themeColor="text1" w:val="000000"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Times New Roman" w:hAnsi="Times New Roman" w:eastAsia="Arial" w:cs="Arial" w:cstheme="majorBidi" w:eastAsiaTheme="majorEastAsia"/>
      <w:b/>
      <w:color w:themeColor="text1" w:val="000000"/>
      <w:sz w:val="28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Pr>
      <w:rFonts w:eastAsia="Arial" w:cs="Arial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Pr>
      <w:rFonts w:eastAsia="Arial" w:cs="Arial" w:cstheme="majorBidi" w:eastAsiaTheme="majorEastAsia"/>
      <w:i/>
      <w:iCs/>
      <w:color w:themeColor="accent1" w:themeShade="bf" w:val="0F4761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Pr>
      <w:rFonts w:eastAsia="Arial" w:cs="Arial" w:cstheme="majorBidi" w:eastAsiaTheme="majorEastAsia"/>
      <w:color w:themeColor="accent1" w:themeShade="bf" w:val="0F4761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Pr>
      <w:rFonts w:eastAsia="Arial" w:cs="Arial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Pr>
      <w:rFonts w:eastAsia="Arial" w:cs="Arial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Pr>
      <w:rFonts w:eastAsia="Arial" w:cs="Arial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Pr>
      <w:rFonts w:eastAsia="Arial" w:cs="Arial" w:cstheme="majorBidi" w:eastAsiaTheme="majorEastAsia"/>
      <w:color w:themeColor="text1" w:themeTint="d8" w:val="272727"/>
      <w:sz w:val="28"/>
    </w:rPr>
  </w:style>
  <w:style w:type="character" w:styleId="Style11" w:customStyle="1">
    <w:name w:val="Название Знак"/>
    <w:basedOn w:val="DefaultParagraphFont"/>
    <w:uiPriority w:val="10"/>
    <w:qFormat/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character" w:styleId="Style12" w:customStyle="1">
    <w:name w:val="Подзаголовок Знак"/>
    <w:basedOn w:val="DefaultParagraphFont"/>
    <w:uiPriority w:val="11"/>
    <w:qFormat/>
    <w:rPr>
      <w:rFonts w:eastAsia="Arial" w:cs="Arial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Pr>
      <w:rFonts w:ascii="Times New Roman" w:hAnsi="Times New Roman"/>
      <w:i/>
      <w:iCs/>
      <w:color w:themeColor="accent1" w:themeShade="bf" w:val="0F4761"/>
      <w:sz w:val="28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tyle14" w:customStyle="1">
    <w:name w:val="Основной текст Знак"/>
    <w:basedOn w:val="DefaultParagraphFont"/>
    <w:semiHidden/>
    <w:qFormat/>
    <w:rPr>
      <w:rFonts w:ascii="Arial" w:hAnsi="Arial" w:eastAsia="Times New Roman" w:cs="Times New Roman"/>
      <w:sz w:val="24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Pr>
      <w:color w:themeColor="hyperlink" w:val="467886"/>
      <w:u w:val="single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26c24"/>
    <w:rPr>
      <w:b/>
      <w:bCs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Droid Sans Devanagari"/>
      <w:sz w:val="28"/>
      <w:szCs w:val="28"/>
    </w:rPr>
  </w:style>
  <w:style w:type="paragraph" w:styleId="BodyText">
    <w:name w:val="Body Text"/>
    <w:basedOn w:val="Normal"/>
    <w:link w:val="Style14"/>
    <w:semiHidden/>
    <w:pPr>
      <w:widowControl w:val="false"/>
      <w:ind w:hanging="0"/>
    </w:pPr>
    <w:rPr>
      <w:rFonts w:ascii="Arial" w:hAnsi="Arial" w:eastAsia="Times New Roman" w:cs="Times New Roman"/>
      <w:sz w:val="24"/>
      <w:szCs w:val="20"/>
      <w:lang w:val="en-AU"/>
    </w:rPr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Droid Sans Devanagari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Caption1">
    <w:name w:val="caption1"/>
    <w:basedOn w:val="Normal"/>
    <w:next w:val="Normal"/>
    <w:uiPriority w:val="35"/>
    <w:semiHidden/>
    <w:unhideWhenUsed/>
    <w:qFormat/>
    <w:pPr>
      <w:spacing w:lineRule="auto" w:line="276"/>
    </w:pPr>
    <w:rPr>
      <w:b/>
      <w:bCs/>
      <w:color w:themeColor="accent1" w:val="156082"/>
      <w:sz w:val="18"/>
      <w:szCs w:val="18"/>
    </w:rPr>
  </w:style>
  <w:style w:type="paragraph" w:styleId="FootnoteText">
    <w:name w:val="Footnote Text"/>
    <w:basedOn w:val="Normal"/>
    <w:link w:val="Style7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Style9"/>
    <w:uiPriority w:val="99"/>
    <w:semiHidden/>
    <w:unhideWhenUsed/>
    <w:pPr>
      <w:spacing w:lineRule="auto" w:line="240"/>
    </w:pPr>
    <w:rPr>
      <w:sz w:val="20"/>
    </w:rPr>
  </w:style>
  <w:style w:type="paragraph" w:styleId="TOC3">
    <w:name w:val="TOC 3"/>
    <w:basedOn w:val="Normal"/>
    <w:next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57"/>
      <w:ind w:hanging="0" w:left="2268"/>
    </w:pPr>
    <w:rPr/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Title">
    <w:name w:val="Title"/>
    <w:basedOn w:val="Normal"/>
    <w:next w:val="Normal"/>
    <w:link w:val="Style11"/>
    <w:uiPriority w:val="10"/>
    <w:qFormat/>
    <w:pPr>
      <w:spacing w:lineRule="auto" w:line="240" w:before="0" w:after="80"/>
      <w:contextualSpacing/>
    </w:pPr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tyle12"/>
    <w:uiPriority w:val="11"/>
    <w:qFormat/>
    <w:pPr>
      <w:spacing w:before="0" w:after="160"/>
      <w:ind w:firstLine="709"/>
    </w:pPr>
    <w:rPr>
      <w:rFonts w:ascii="Aptos" w:hAnsi="Aptos" w:eastAsia="Arial" w:cs="Arial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13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pPr>
      <w:spacing w:lineRule="auto" w:line="259" w:before="240" w:after="0"/>
      <w:ind w:hanging="0"/>
      <w:jc w:val="left"/>
      <w:outlineLvl w:val="9"/>
    </w:pPr>
    <w:rPr>
      <w:rFonts w:ascii="Aptos Display" w:hAnsi="Aptos Display" w:asciiTheme="majorHAnsi" w:hAnsiTheme="majorHAnsi"/>
      <w:b w:val="false"/>
      <w:caps w:val="false"/>
      <w:smallCaps w:val="false"/>
      <w:color w:themeColor="accent1" w:themeShade="bf" w:val="0F4761"/>
      <w:sz w:val="32"/>
      <w:szCs w:val="32"/>
      <w:lang w:eastAsia="ru-RU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tabs>
        <w:tab w:val="clear" w:pos="708"/>
        <w:tab w:val="right" w:pos="9628" w:leader="dot"/>
      </w:tabs>
      <w:spacing w:before="0" w:after="100"/>
      <w:ind w:hanging="0"/>
    </w:pPr>
    <w:rPr/>
  </w:style>
  <w:style w:type="paragraph" w:styleId="BalloonText">
    <w:name w:val="Balloon Text"/>
    <w:basedOn w:val="Normal"/>
    <w:link w:val="Style15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Mb-2" w:customStyle="1">
    <w:name w:val="mb-2"/>
    <w:basedOn w:val="Normal"/>
    <w:qFormat/>
    <w:rsid w:val="007d3462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4AB2E1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F2AB87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4BD55E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64CCF4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D971C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color="90D97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729B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2AA8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6C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FCAF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19729B" w:themeColor="accent1" w:sz="4" w:space="0"/>
          <w:left w:val="single" w:color="19729B" w:themeColor="accent1" w:sz="4" w:space="0"/>
          <w:bottom w:val="single" w:color="19729B" w:themeColor="accent1" w:sz="4" w:space="0"/>
          <w:right w:val="single" w:color="19729B" w:themeColor="accent1" w:sz="4" w:space="0"/>
        </w:tcBorders>
        <w:shd w:val="clear" w:color="19729B" w:fill="19729B" w:themeFill="accent1" w:themeFillTint="ea"/>
      </w:tcPr>
    </w:tblStylePr>
    <w:tblStylePr w:type="lastRow">
      <w:rPr>
        <w:b/>
      </w:rPr>
      <w:tblPr/>
      <w:tcPr>
        <w:tcBorders>
          <w:top w:val="single" w:color="19729B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2E5F5" w:fill="C2E5F5" w:themeFill="accent1" w:themeFillTint="32"/>
      </w:tcPr>
    </w:tblStylePr>
    <w:tblStylePr w:type="band1Horz">
      <w:rPr>
        <w:sz w:val="22"/>
      </w:rPr>
      <w:tblPr/>
      <w:tcPr>
        <w:shd w:val="clear" w:color="C2E5F5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2AA85" w:themeColor="accent2" w:sz="4" w:space="0"/>
          <w:left w:val="single" w:color="F2AA85" w:themeColor="accent2" w:sz="4" w:space="0"/>
          <w:bottom w:val="single" w:color="F2AA85" w:themeColor="accent2" w:sz="4" w:space="0"/>
          <w:right w:val="single" w:color="F2AA85" w:themeColor="accent2" w:sz="4" w:space="0"/>
        </w:tcBorders>
        <w:shd w:val="clear" w:color="F2AA85" w:fill="F2AA85" w:themeFill="accent2" w:themeFillTint="97"/>
      </w:tcPr>
    </w:tblStylePr>
    <w:tblStylePr w:type="lastRow">
      <w:rPr>
        <w:b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196C24" w:themeColor="accent3" w:sz="4" w:space="0"/>
          <w:left w:val="single" w:color="196C24" w:themeColor="accent3" w:sz="4" w:space="0"/>
          <w:bottom w:val="single" w:color="196C24" w:themeColor="accent3" w:sz="4" w:space="0"/>
          <w:right w:val="single" w:color="196C24" w:themeColor="accent3" w:sz="4" w:space="0"/>
        </w:tcBorders>
        <w:shd w:val="clear" w:color="196C24" w:fill="196C24" w:themeFill="accent3" w:themeFillTint="fe"/>
      </w:tcPr>
    </w:tblStylePr>
    <w:tblStylePr w:type="lastRow">
      <w:rPr>
        <w:b/>
      </w:rPr>
      <w:tblPr/>
      <w:tcPr>
        <w:tcBorders>
          <w:top w:val="single" w:color="196C24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FCAF3" w:themeColor="accent4" w:sz="4" w:space="0"/>
          <w:left w:val="single" w:color="5FCAF3" w:themeColor="accent4" w:sz="4" w:space="0"/>
          <w:bottom w:val="single" w:color="5FCAF3" w:themeColor="accent4" w:sz="4" w:space="0"/>
          <w:right w:val="single" w:color="5FCAF3" w:themeColor="accent4" w:sz="4" w:space="0"/>
        </w:tcBorders>
        <w:shd w:val="clear" w:color="5FCAF3" w:fill="5FCAF3" w:themeFill="accent4" w:themeFillTint="9a"/>
      </w:tcPr>
    </w:tblStylePr>
    <w:tblStylePr w:type="lastRow">
      <w:rPr>
        <w:b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fill="A02B93" w:themeFill="accent5"/>
      </w:tcPr>
    </w:tblStylePr>
    <w:tblStylePr w:type="lastRow">
      <w:rPr>
        <w:b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fill="4EA72E" w:themeFill="accent6"/>
      </w:tcPr>
    </w:tblStylePr>
    <w:tblStylePr w:type="lastRow">
      <w:rPr>
        <w:b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56082" w:fill="156082" w:themeFill="accent1"/>
      </w:tcPr>
    </w:tblStylePr>
    <w:tblStylePr w:type="firstCol">
      <w:rPr>
        <w:b/>
        <w:sz w:val="22"/>
      </w:rPr>
      <w:tblPr/>
      <w:tcPr>
        <w:shd w:val="clear" w:color="156082" w:fill="156082" w:themeFill="accent1"/>
      </w:tcPr>
    </w:tblStylePr>
    <w:tblStylePr w:type="lastCol">
      <w:rPr>
        <w:b/>
        <w:sz w:val="22"/>
      </w:rPr>
      <w:tblPr/>
      <w:tcPr>
        <w:shd w:val="clear" w:color="156082" w:fill="156082" w:themeFill="accent1"/>
      </w:tcPr>
    </w:tblStylePr>
    <w:tblStylePr w:type="band1Vert">
      <w:tblPr/>
      <w:tcPr>
        <w:shd w:val="clear" w:color="70C2E8" w:fill="70C2E8" w:themeFill="accent1" w:themeFillTint="75"/>
      </w:tcPr>
    </w:tblStylePr>
    <w:tblStylePr w:type="band1Horz">
      <w:tblPr/>
      <w:tcPr>
        <w:shd w:val="clear" w:color="70C2E8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97132" w:fill="E97132" w:themeFill="accent2"/>
      </w:tcPr>
    </w:tblStylePr>
    <w:tblStylePr w:type="firstCol">
      <w:rPr>
        <w:b/>
        <w:sz w:val="22"/>
      </w:rPr>
      <w:tblPr/>
      <w:tcPr>
        <w:shd w:val="clear" w:color="E97132" w:fill="E97132" w:themeFill="accent2"/>
      </w:tcPr>
    </w:tblStylePr>
    <w:tblStylePr w:type="lastCol">
      <w:rPr>
        <w:b/>
        <w:sz w:val="22"/>
      </w:rPr>
      <w:tblPr/>
      <w:tcPr>
        <w:shd w:val="clear" w:color="E97132" w:fill="E97132" w:themeFill="accent2"/>
      </w:tcPr>
    </w:tblStylePr>
    <w:tblStylePr w:type="band1Vert">
      <w:tblPr/>
      <w:tcPr>
        <w:shd w:val="clear" w:color="F5BDA0" w:fill="F5BDA0" w:themeFill="accent2" w:themeFillTint="75"/>
      </w:tcPr>
    </w:tblStylePr>
    <w:tblStylePr w:type="band1Horz">
      <w:tblPr/>
      <w:tcPr>
        <w:shd w:val="clear" w:color="F5BDA0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96B24" w:fill="196B24" w:themeFill="accent3"/>
      </w:tcPr>
    </w:tblStylePr>
    <w:tblStylePr w:type="firstCol">
      <w:rPr>
        <w:b/>
        <w:sz w:val="22"/>
      </w:rPr>
      <w:tblPr/>
      <w:tcPr>
        <w:shd w:val="clear" w:color="196B24" w:fill="196B24" w:themeFill="accent3"/>
      </w:tcPr>
    </w:tblStylePr>
    <w:tblStylePr w:type="lastCol">
      <w:rPr>
        <w:b/>
        <w:sz w:val="22"/>
      </w:rPr>
      <w:tblPr/>
      <w:tcPr>
        <w:shd w:val="clear" w:color="196B24" w:fill="196B24" w:themeFill="accent3"/>
      </w:tcPr>
    </w:tblStylePr>
    <w:tblStylePr w:type="band1Vert">
      <w:tblPr/>
      <w:tcPr>
        <w:shd w:val="clear" w:color="72DE80" w:fill="72DE80" w:themeFill="accent3" w:themeFillTint="75"/>
      </w:tcPr>
    </w:tblStylePr>
    <w:tblStylePr w:type="band1Horz">
      <w:tblPr/>
      <w:tcPr>
        <w:shd w:val="clear" w:color="72DE80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F9ED5" w:fill="0F9ED5" w:themeFill="accent4"/>
      </w:tcPr>
    </w:tblStylePr>
    <w:tblStylePr w:type="firstCol">
      <w:rPr>
        <w:b/>
        <w:sz w:val="22"/>
      </w:rPr>
      <w:tblPr/>
      <w:tcPr>
        <w:shd w:val="clear" w:color="0F9ED5" w:fill="0F9ED5" w:themeFill="accent4"/>
      </w:tcPr>
    </w:tblStylePr>
    <w:tblStylePr w:type="lastCol">
      <w:rPr>
        <w:b/>
        <w:sz w:val="22"/>
      </w:rPr>
      <w:tblPr/>
      <w:tcPr>
        <w:shd w:val="clear" w:color="0F9ED5" w:fill="0F9ED5" w:themeFill="accent4"/>
      </w:tcPr>
    </w:tblStylePr>
    <w:tblStylePr w:type="band1Vert">
      <w:tblPr/>
      <w:tcPr>
        <w:shd w:val="clear" w:color="85D7F6" w:fill="85D7F6" w:themeFill="accent4" w:themeFillTint="75"/>
      </w:tcPr>
    </w:tblStylePr>
    <w:tblStylePr w:type="band1Horz">
      <w:tblPr/>
      <w:tcPr>
        <w:shd w:val="clear" w:color="85D7F6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02B93" w:fill="A02B93" w:themeFill="accent5"/>
      </w:tcPr>
    </w:tblStylePr>
    <w:tblStylePr w:type="firstCol">
      <w:rPr>
        <w:b/>
        <w:sz w:val="22"/>
      </w:rPr>
      <w:tblPr/>
      <w:tcPr>
        <w:shd w:val="clear" w:color="A02B93" w:fill="A02B93" w:themeFill="accent5"/>
      </w:tcPr>
    </w:tblStylePr>
    <w:tblStylePr w:type="lastCol">
      <w:rPr>
        <w:b/>
        <w:sz w:val="22"/>
      </w:rPr>
      <w:tblPr/>
      <w:tcPr>
        <w:shd w:val="clear" w:color="A02B93" w:fill="A02B93" w:themeFill="accent5"/>
      </w:tcPr>
    </w:tblStylePr>
    <w:tblStylePr w:type="band1Vert">
      <w:tblPr/>
      <w:tcPr>
        <w:shd w:val="clear" w:color="E18FD7" w:fill="E18FD7" w:themeFill="accent5" w:themeFillTint="75"/>
      </w:tcPr>
    </w:tblStylePr>
    <w:tblStylePr w:type="band1Horz">
      <w:tblPr/>
      <w:tcPr>
        <w:shd w:val="clear" w:color="E18FD7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EA72E" w:fill="4EA72E" w:themeFill="accent6"/>
      </w:tcPr>
    </w:tblStylePr>
    <w:tblStylePr w:type="firstCol">
      <w:rPr>
        <w:b/>
        <w:sz w:val="22"/>
      </w:rPr>
      <w:tblPr/>
      <w:tcPr>
        <w:shd w:val="clear" w:color="4EA72E" w:fill="4EA72E" w:themeFill="accent6"/>
      </w:tcPr>
    </w:tblStylePr>
    <w:tblStylePr w:type="lastCol">
      <w:rPr>
        <w:b/>
        <w:sz w:val="22"/>
      </w:rPr>
      <w:tblPr/>
      <w:tcPr>
        <w:shd w:val="clear" w:color="4EA72E" w:fill="4EA72E" w:themeFill="accent6"/>
      </w:tcPr>
    </w:tblStylePr>
    <w:tblStylePr w:type="band1Vert">
      <w:tblPr/>
      <w:tcPr>
        <w:shd w:val="clear" w:color="A8E194" w:fill="A8E194" w:themeFill="accent6" w:themeFillTint="75"/>
      </w:tcPr>
    </w:tblStylePr>
    <w:tblStylePr w:type="band1Horz">
      <w:tblPr/>
      <w:tcPr>
        <w:shd w:val="clear" w:color="A8E194" w:fill="A8E194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themeColor="text1" w:themeTint="80" w:themeShade="95"/>
      </w:rPr>
      <w:tblPr/>
    </w:tblStylePr>
    <w:tblStylePr w:type="firstCol">
      <w:rPr>
        <w:b/>
        <w:color w:themeColor="text1" w:themeTint="80" w:themeShade="95"/>
      </w:rPr>
      <w:tblPr/>
    </w:tblStylePr>
    <w:tblStylePr w:type="lastCol">
      <w:rPr>
        <w:b/>
        <w:color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</w:rPr>
      <w:tblPr/>
      <w:tcPr>
        <w:tcBorders>
          <w:bottom w:val="single" w:color="63BDE6" w:themeColor="accent1" w:sz="12" w:space="0"/>
        </w:tcBorders>
      </w:tcPr>
    </w:tblStylePr>
    <w:tblStylePr w:type="lastRow">
      <w:rPr>
        <w:b/>
        <w:color w:themeColor="accent1" w:themeTint="80" w:themeShade="95"/>
      </w:rPr>
      <w:tblPr/>
    </w:tblStylePr>
    <w:tblStylePr w:type="firstCol">
      <w:rPr>
        <w:b/>
        <w:color w:themeColor="accent1" w:themeTint="80" w:themeShade="95"/>
      </w:rPr>
      <w:tblPr/>
    </w:tblStylePr>
    <w:tblStylePr w:type="lastCol">
      <w:rPr>
        <w:b/>
        <w:color w:themeColor="accent1" w:themeTint="80" w:themeShade="95"/>
      </w:rPr>
      <w:tblPr/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b/>
        <w:color w:themeColor="accent2" w:themeTint="97" w:themeShade="95"/>
      </w:rPr>
      <w:tblPr/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</w:rPr>
      <w:tblPr/>
      <w:tcPr>
        <w:tcBorders>
          <w:bottom w:val="single" w:color="196C24" w:themeColor="accent3" w:sz="12" w:space="0"/>
        </w:tcBorders>
      </w:tcPr>
    </w:tblStylePr>
    <w:tblStylePr w:type="lastRow">
      <w:rPr>
        <w:b/>
        <w:color w:themeColor="accent3" w:themeTint="fe" w:themeShade="95"/>
      </w:rPr>
      <w:tblPr/>
    </w:tblStylePr>
    <w:tblStylePr w:type="firstCol">
      <w:rPr>
        <w:b/>
        <w:color w:themeColor="accent3" w:themeTint="fe" w:themeShade="95"/>
      </w:rPr>
      <w:tblPr/>
    </w:tblStylePr>
    <w:tblStylePr w:type="lastCol">
      <w:rPr>
        <w:b/>
        <w:color w:themeColor="accent3" w:themeTint="fe" w:themeShade="95"/>
      </w:rPr>
      <w:tblPr/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b/>
        <w:color w:themeColor="accent4" w:themeTint="9a" w:themeShade="95"/>
      </w:rPr>
      <w:tblPr/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themeColor="accent5" w:themeShade="95"/>
      </w:rPr>
      <w:tblPr/>
    </w:tblStylePr>
    <w:tblStylePr w:type="firstCol">
      <w:rPr>
        <w:b/>
        <w:color w:themeColor="accent5" w:themeShade="95"/>
      </w:rPr>
      <w:tblPr/>
    </w:tblStylePr>
    <w:tblStylePr w:type="lastCol">
      <w:rPr>
        <w:b/>
        <w:color w:themeColor="accent5" w:themeShade="95"/>
      </w:rPr>
      <w:tblPr/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63BDE6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196C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themeColor="accent6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themeColor="accent6" w:themeShade="95"/>
        <w:sz w:val="22"/>
      </w:rPr>
      <w:tblPr/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tblPr/>
      <w:tcPr>
        <w:shd w:val="clear" w:color="B1DEF2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tblPr/>
      <w:tcPr>
        <w:shd w:val="clear" w:color="F9DBCB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tblPr/>
      <w:tcPr>
        <w:shd w:val="clear" w:color="B2EDB9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tblPr/>
      <w:tcPr>
        <w:shd w:val="clear" w:color="BCE9FA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tblPr/>
      <w:tcPr>
        <w:shd w:val="clear" w:color="EEC2E9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tblPr/>
      <w:tcPr>
        <w:shd w:val="clear" w:color="CFEFC4" w:fill="CFEFC4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2AA85" w:themeColor="accent2" w:sz="4" w:space="0"/>
          <w:right w:val="single" w:color="F2AA8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2AA85" w:themeColor="accent2" w:sz="4" w:space="0"/>
          <w:bottom w:val="single" w:color="F2AA8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8D45B" w:fill="48D45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8D45B" w:themeColor="accent3" w:sz="4" w:space="0"/>
          <w:right w:val="single" w:color="48D45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48D45B" w:themeColor="accent3" w:sz="4" w:space="0"/>
          <w:bottom w:val="single" w:color="48D45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FCAF3" w:themeColor="accent4" w:sz="4" w:space="0"/>
          <w:right w:val="single" w:color="5FCAF3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5FCAF3" w:themeColor="accent4" w:sz="4" w:space="0"/>
          <w:bottom w:val="single" w:color="5FCAF3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D76CCB" w:fill="D76CC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76CCB" w:themeColor="accent5" w:sz="4" w:space="0"/>
          <w:right w:val="single" w:color="D76CC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D76CCB" w:themeColor="accent5" w:sz="4" w:space="0"/>
          <w:bottom w:val="single" w:color="D76CC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8ED873" w:fill="8ED873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ED873" w:themeColor="accent6" w:sz="4" w:space="0"/>
          <w:right w:val="single" w:color="8ED873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8ED873" w:themeColor="accent6" w:sz="4" w:space="0"/>
          <w:bottom w:val="single" w:color="8ED873" w:themeColor="accent6" w:sz="4" w:space="0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fill="156082" w:themeFill="accent1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F2AA85" w:themeColor="accent2" w:sz="32" w:space="0"/>
          <w:bottom w:val="single" w:color="FFFFFF" w:themeColor="light1" w:sz="12" w:space="0"/>
        </w:tcBorders>
        <w:shd w:val="clear" w:color="F2AA85" w:fill="F2AA85" w:themeFill="accent2" w:themeFillTint="97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F2AA8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48D45B" w:themeColor="accent3" w:sz="32" w:space="0"/>
          <w:bottom w:val="single" w:color="FFFFFF" w:themeColor="light1" w:sz="12" w:space="0"/>
        </w:tcBorders>
        <w:shd w:val="clear" w:color="48D45B" w:fill="48D45B" w:themeFill="accent3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48D45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5FCAF3" w:themeColor="accent4" w:sz="32" w:space="0"/>
          <w:bottom w:val="single" w:color="FFFFFF" w:themeColor="light1" w:sz="12" w:space="0"/>
        </w:tcBorders>
        <w:shd w:val="clear" w:color="5FCAF3" w:fill="5FCAF3" w:themeFill="accent4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5FCAF3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D76CCB" w:themeColor="accent5" w:sz="32" w:space="0"/>
          <w:bottom w:val="single" w:color="FFFFFF" w:themeColor="light1" w:sz="12" w:space="0"/>
        </w:tcBorders>
        <w:shd w:val="clear" w:color="D76CCB" w:fill="D76CCB" w:themeFill="accent5" w:themeFillTint="9a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D76CC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light1"/>
        <w:sz w:val="22"/>
      </w:rPr>
      <w:tblPr/>
      <w:tcPr>
        <w:tcBorders>
          <w:top w:val="single" w:color="8ED873" w:themeColor="accent6" w:sz="32" w:space="0"/>
          <w:bottom w:val="single" w:color="FFFFFF" w:themeColor="light1" w:sz="12" w:space="0"/>
        </w:tcBorders>
        <w:shd w:val="clear" w:color="8ED873" w:fill="8ED873" w:themeFill="accent6" w:themeFillTint="98"/>
      </w:tcPr>
    </w:tblStylePr>
    <w:tblStylePr w:type="lastRow">
      <w:rPr>
        <w:b/>
        <w:color w:themeColor="light1"/>
        <w:sz w:val="22"/>
      </w:rPr>
      <w:tblPr/>
    </w:tblStylePr>
    <w:tblStylePr w:type="firstCol">
      <w:rPr>
        <w:b/>
        <w:color w:themeColor="light1"/>
        <w:sz w:val="22"/>
      </w:rPr>
      <w:tblPr/>
      <w:tcPr>
        <w:tcBorders>
          <w:left w:val="single" w:color="8ED873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themeColor="text1"/>
      </w:rPr>
      <w:tblPr/>
    </w:tblStylePr>
    <w:tblStylePr w:type="lastCol">
      <w:rPr>
        <w:b/>
        <w:color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themeColor="accent1" w:themeShade="95"/>
      </w:rPr>
      <w:tblPr/>
    </w:tblStylePr>
    <w:tblStylePr w:type="lastCol">
      <w:rPr>
        <w:b/>
        <w:color w:themeColor="accent1" w:themeShade="95"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2" w:themeTint="97" w:themeShade="95"/>
      </w:rPr>
      <w:tblPr/>
      <w:tcPr>
        <w:tcBorders>
          <w:bottom w:val="single" w:color="F2AA85" w:themeColor="accent2" w:sz="4" w:space="0"/>
        </w:tcBorders>
      </w:tcPr>
    </w:tblStylePr>
    <w:tblStylePr w:type="lastRow">
      <w:rPr>
        <w:b/>
        <w:color w:themeColor="accent2" w:themeTint="97" w:themeShade="95"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  <w:color w:themeColor="accent2" w:themeTint="97" w:themeShade="95"/>
      </w:rPr>
      <w:tblPr/>
    </w:tblStylePr>
    <w:tblStylePr w:type="lastCol">
      <w:rPr>
        <w:b/>
        <w:color w:themeColor="accent2" w:themeTint="97" w:themeShade="95"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3" w:themeTint="98" w:themeShade="95"/>
      </w:rPr>
      <w:tblPr/>
      <w:tcPr>
        <w:tcBorders>
          <w:bottom w:val="single" w:color="48D45B" w:themeColor="accent3" w:sz="4" w:space="0"/>
        </w:tcBorders>
      </w:tcPr>
    </w:tblStylePr>
    <w:tblStylePr w:type="lastRow">
      <w:rPr>
        <w:b/>
        <w:color w:themeColor="accent3" w:themeTint="98" w:themeShade="95"/>
      </w:rPr>
      <w:tblPr/>
      <w:tcPr>
        <w:tcBorders>
          <w:top w:val="single" w:color="48D45B" w:themeColor="accent3" w:sz="4" w:space="0"/>
        </w:tcBorders>
      </w:tcPr>
    </w:tblStylePr>
    <w:tblStylePr w:type="firstCol">
      <w:rPr>
        <w:b/>
        <w:color w:themeColor="accent3" w:themeTint="98" w:themeShade="95"/>
      </w:rPr>
      <w:tblPr/>
    </w:tblStylePr>
    <w:tblStylePr w:type="lastCol">
      <w:rPr>
        <w:b/>
        <w:color w:themeColor="accent3" w:themeTint="98" w:themeShade="95"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4" w:themeTint="9a" w:themeShade="95"/>
      </w:rPr>
      <w:tblPr/>
      <w:tcPr>
        <w:tcBorders>
          <w:bottom w:val="single" w:color="5FCAF3" w:themeColor="accent4" w:sz="4" w:space="0"/>
        </w:tcBorders>
      </w:tcPr>
    </w:tblStylePr>
    <w:tblStylePr w:type="lastRow">
      <w:rPr>
        <w:b/>
        <w:color w:themeColor="accent4" w:themeTint="9a" w:themeShade="95"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  <w:color w:themeColor="accent4" w:themeTint="9a" w:themeShade="95"/>
      </w:rPr>
      <w:tblPr/>
    </w:tblStylePr>
    <w:tblStylePr w:type="lastCol">
      <w:rPr>
        <w:b/>
        <w:color w:themeColor="accent4" w:themeTint="9a" w:themeShade="95"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5" w:themeTint="9a" w:themeShade="95"/>
      </w:rPr>
      <w:tblPr/>
      <w:tcPr>
        <w:tcBorders>
          <w:bottom w:val="single" w:color="D76CCB" w:themeColor="accent5" w:sz="4" w:space="0"/>
        </w:tcBorders>
      </w:tcPr>
    </w:tblStylePr>
    <w:tblStylePr w:type="lastRow">
      <w:rPr>
        <w:b/>
        <w:color w:themeColor="accent5" w:themeTint="9a" w:themeShade="95"/>
      </w:rPr>
      <w:tblPr/>
      <w:tcPr>
        <w:tcBorders>
          <w:top w:val="single" w:color="D76CCB" w:themeColor="accent5" w:sz="4" w:space="0"/>
        </w:tcBorders>
      </w:tcPr>
    </w:tblStylePr>
    <w:tblStylePr w:type="firstCol">
      <w:rPr>
        <w:b/>
        <w:color w:themeColor="accent5" w:themeTint="9a" w:themeShade="95"/>
      </w:rPr>
      <w:tblPr/>
    </w:tblStylePr>
    <w:tblStylePr w:type="lastCol">
      <w:rPr>
        <w:b/>
        <w:color w:themeColor="accent5" w:themeTint="9a" w:themeShade="95"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themeColor="accent6" w:themeTint="98" w:themeShade="95"/>
      </w:rPr>
      <w:tblPr/>
      <w:tcPr>
        <w:tcBorders>
          <w:bottom w:val="single" w:color="8ED873" w:themeColor="accent6" w:sz="4" w:space="0"/>
        </w:tcBorders>
      </w:tcPr>
    </w:tblStylePr>
    <w:tblStylePr w:type="lastRow">
      <w:rPr>
        <w:b/>
        <w:color w:themeColor="accent6" w:themeTint="98" w:themeShade="95"/>
      </w:rPr>
      <w:tblPr/>
      <w:tcPr>
        <w:tcBorders>
          <w:top w:val="single" w:color="8ED873" w:themeColor="accent6" w:sz="4" w:space="0"/>
        </w:tcBorders>
      </w:tcPr>
    </w:tblStylePr>
    <w:tblStylePr w:type="firstCol">
      <w:rPr>
        <w:b/>
        <w:color w:themeColor="accent6" w:themeTint="98" w:themeShade="95"/>
      </w:rPr>
      <w:tblPr/>
    </w:tblStylePr>
    <w:tblStylePr w:type="lastCol">
      <w:rPr>
        <w:b/>
        <w:color w:themeColor="accent6" w:themeTint="98" w:themeShade="95"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48D45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sz="4" w:space="0"/>
        </w:tcBorders>
        <w:shd w:val="clear" w:color="FFFFFF" w:fill="auto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D76CC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sz="4" w:space="0"/>
        </w:tcBorders>
        <w:shd w:val="clear" w:color="FFFFFF" w:fill="auto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8ED873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sz="4" w:space="0"/>
        </w:tcBorders>
        <w:shd w:val="clear" w:color="FFFFFF" w:fill="auto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0C374B" w:themeColor="accent1" w:sz="4" w:space="0"/>
        <w:left w:val="single" w:color="0C374B" w:themeColor="accent1" w:sz="4" w:space="0"/>
        <w:bottom w:val="single" w:color="0C374B" w:themeColor="accent1" w:sz="4" w:space="0"/>
        <w:right w:val="single" w:color="0C374B" w:themeColor="accent1" w:sz="4" w:space="0"/>
        <w:insideH w:val="single" w:color="0C374B" w:themeColor="accent1" w:sz="4" w:space="0"/>
        <w:insideV w:val="single" w:color="0C374B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953D10" w:themeColor="accent2" w:sz="4" w:space="0"/>
        <w:left w:val="single" w:color="953D10" w:themeColor="accent2" w:sz="4" w:space="0"/>
        <w:bottom w:val="single" w:color="953D10" w:themeColor="accent2" w:sz="4" w:space="0"/>
        <w:right w:val="single" w:color="953D10" w:themeColor="accent2" w:sz="4" w:space="0"/>
        <w:insideH w:val="single" w:color="953D10" w:themeColor="accent2" w:sz="4" w:space="0"/>
        <w:insideV w:val="single" w:color="953D10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0E3E15" w:themeColor="accent3" w:sz="4" w:space="0"/>
        <w:left w:val="single" w:color="0E3E15" w:themeColor="accent3" w:sz="4" w:space="0"/>
        <w:bottom w:val="single" w:color="0E3E15" w:themeColor="accent3" w:sz="4" w:space="0"/>
        <w:right w:val="single" w:color="0E3E15" w:themeColor="accent3" w:sz="4" w:space="0"/>
        <w:insideH w:val="single" w:color="0E3E15" w:themeColor="accent3" w:sz="4" w:space="0"/>
        <w:insideV w:val="single" w:color="0E3E15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085C7C" w:themeColor="accent4" w:sz="4" w:space="0"/>
        <w:left w:val="single" w:color="085C7C" w:themeColor="accent4" w:sz="4" w:space="0"/>
        <w:bottom w:val="single" w:color="085C7C" w:themeColor="accent4" w:sz="4" w:space="0"/>
        <w:right w:val="single" w:color="085C7C" w:themeColor="accent4" w:sz="4" w:space="0"/>
        <w:insideH w:val="single" w:color="085C7C" w:themeColor="accent4" w:sz="4" w:space="0"/>
        <w:insideV w:val="single" w:color="085C7C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5D1955" w:themeColor="accent5" w:sz="4" w:space="0"/>
        <w:left w:val="single" w:color="5D1955" w:themeColor="accent5" w:sz="4" w:space="0"/>
        <w:bottom w:val="single" w:color="5D1955" w:themeColor="accent5" w:sz="4" w:space="0"/>
        <w:right w:val="single" w:color="5D1955" w:themeColor="accent5" w:sz="4" w:space="0"/>
        <w:insideH w:val="single" w:color="5D1955" w:themeColor="accent5" w:sz="4" w:space="0"/>
        <w:insideV w:val="single" w:color="5D1955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sz w:val="20"/>
      <w:szCs w:val="20"/>
    </w:rPr>
    <w:tblPr>
      <w:tblStyleRowBandSize w:val="1"/>
      <w:tblStyleColBandSize w:val="1"/>
      <w:tblBorders>
        <w:top w:val="single" w:color="2D611B" w:themeColor="accent6" w:sz="4" w:space="0"/>
        <w:left w:val="single" w:color="2D611B" w:themeColor="accent6" w:sz="4" w:space="0"/>
        <w:bottom w:val="single" w:color="2D611B" w:themeColor="accent6" w:sz="4" w:space="0"/>
        <w:right w:val="single" w:color="2D611B" w:themeColor="accent6" w:sz="4" w:space="0"/>
        <w:insideH w:val="single" w:color="2D611B" w:themeColor="accent6" w:sz="4" w:space="0"/>
        <w:insideV w:val="single" w:color="2D611B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2AA8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2AA8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48D45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48D45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8D45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5FCAF3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FCAF3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D76CC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D76CC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76CC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2"/>
      </w:rPr>
      <w:tblPr/>
      <w:tcPr>
        <w:tcBorders>
          <w:bottom w:val="single" w:color="8ED873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8ED873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ED873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LibreOffice/7.6.6.3$Linux_X86_64 LibreOffice_project/60$Build-3</Application>
  <AppVersion>15.0000</AppVersion>
  <Pages>30</Pages>
  <Words>6183</Words>
  <Characters>46835</Characters>
  <CharactersWithSpaces>51896</CharactersWithSpaces>
  <Paragraphs>686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2024-11-10T15:20:00Z</dcterms:created>
  <dc:creator>temp</dc:creator>
  <dc:description/>
  <dc:language>ru-RU</dc:language>
  <cp:lastModifiedBy/>
  <dcterms:modified xsi:type="dcterms:W3CDTF">2025-02-01T11:20:31Z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