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UCC Filing Data</w:t>
        <w:br/>
        <w:t>Ingestion Strategy</w:t>
      </w:r>
    </w:p>
    <w:p>
      <w:pPr>
        <w:jc w:val="center"/>
      </w:pPr>
      <w:r>
        <w:rPr>
          <w:color w:val="556B82"/>
          <w:sz w:val="28"/>
        </w:rPr>
        <w:t>Recommended Approach for Nationwide Coverage</w:t>
      </w:r>
    </w:p>
    <w:p/>
    <w:p>
      <w:pPr>
        <w:jc w:val="center"/>
      </w:pPr>
      <w:r>
        <w:rPr>
          <w:color w:val="1B3A5C"/>
        </w:rPr>
        <w:t>━━━━━━━━━━━━━━━━━━━━━━━━━━━━━━━━━━━━━━━━━━━━━━━━━━</w:t>
      </w:r>
    </w:p>
    <w:p/>
    <w:p>
      <w:pPr>
        <w:jc w:val="center"/>
      </w:pPr>
      <w:r>
        <w:rPr>
          <w:color w:val="556B82"/>
          <w:sz w:val="22"/>
        </w:rPr>
        <w:t>Prepared for Real Finance, Inc.</w:t>
        <w:br/>
        <w:t>February 2026</w:t>
      </w:r>
    </w:p>
    <w:p/>
    <w:p>
      <w:pPr>
        <w:jc w:val="center"/>
      </w:pPr>
      <w:r>
        <w:rPr>
          <w:b/>
          <w:color w:val="CC3333"/>
          <w:sz w:val="20"/>
        </w:rPr>
        <w:t>CONFIDENTIAL</w:t>
      </w:r>
    </w:p>
    <w:p>
      <w:r>
        <w:br w:type="page"/>
      </w:r>
    </w:p>
    <w:p>
      <w:pPr>
        <w:pStyle w:val="Heading1"/>
      </w:pPr>
      <w:r>
        <w:t>Table of Contents</w:t>
      </w:r>
    </w:p>
    <w:p>
      <w:pPr>
        <w:spacing w:after="80"/>
      </w:pPr>
      <w:r>
        <w:rPr>
          <w:sz w:val="20"/>
        </w:rPr>
        <w:t>1.  Executive Summary</w:t>
      </w:r>
    </w:p>
    <w:p>
      <w:pPr>
        <w:spacing w:after="80"/>
      </w:pPr>
      <w:r>
        <w:rPr>
          <w:sz w:val="20"/>
        </w:rPr>
        <w:t>2.  Objective &amp; Constraints</w:t>
      </w:r>
    </w:p>
    <w:p>
      <w:pPr>
        <w:spacing w:after="80"/>
      </w:pPr>
      <w:r>
        <w:rPr>
          <w:sz w:val="20"/>
        </w:rPr>
        <w:t>3.  Recommended Approach: Hybrid 3-Tier Architecture</w:t>
      </w:r>
    </w:p>
    <w:p>
      <w:pPr>
        <w:spacing w:after="80"/>
      </w:pPr>
      <w:r>
        <w:rPr>
          <w:sz w:val="20"/>
        </w:rPr>
        <w:t>4.  Tier 1 — Free Open Data APIs</w:t>
      </w:r>
    </w:p>
    <w:p>
      <w:pPr>
        <w:spacing w:after="80"/>
      </w:pPr>
      <w:r>
        <w:rPr>
          <w:sz w:val="20"/>
        </w:rPr>
        <w:t>5.  Tier 2 — State Bulk Subscriptions</w:t>
      </w:r>
    </w:p>
    <w:p>
      <w:pPr>
        <w:spacing w:after="80"/>
      </w:pPr>
      <w:r>
        <w:rPr>
          <w:sz w:val="20"/>
        </w:rPr>
        <w:t>6.  Tier 3 — Commercial Data Provider</w:t>
      </w:r>
    </w:p>
    <w:p>
      <w:pPr>
        <w:spacing w:after="80"/>
      </w:pPr>
      <w:r>
        <w:rPr>
          <w:sz w:val="20"/>
        </w:rPr>
        <w:t>7.  Commercial Provider Comparison</w:t>
      </w:r>
    </w:p>
    <w:p>
      <w:pPr>
        <w:spacing w:after="80"/>
      </w:pPr>
      <w:r>
        <w:rPr>
          <w:sz w:val="20"/>
        </w:rPr>
        <w:t>8.  Data Normalization &amp; Storage</w:t>
      </w:r>
    </w:p>
    <w:p>
      <w:pPr>
        <w:spacing w:after="80"/>
      </w:pPr>
      <w:r>
        <w:rPr>
          <w:sz w:val="20"/>
        </w:rPr>
        <w:t>9.  Cost Summary</w:t>
      </w:r>
    </w:p>
    <w:p>
      <w:pPr>
        <w:spacing w:after="80"/>
      </w:pPr>
      <w:r>
        <w:rPr>
          <w:sz w:val="20"/>
        </w:rPr>
        <w:t>10. Expected Latency by Source</w:t>
      </w:r>
    </w:p>
    <w:p>
      <w:pPr>
        <w:spacing w:after="80"/>
      </w:pPr>
      <w:r>
        <w:rPr>
          <w:sz w:val="20"/>
        </w:rPr>
        <w:t>11. Rollout Plan</w:t>
      </w:r>
    </w:p>
    <w:p>
      <w:pPr>
        <w:spacing w:after="80"/>
      </w:pPr>
      <w:r>
        <w:rPr>
          <w:sz w:val="20"/>
        </w:rPr>
        <w:t>12. Risk Factors &amp; Mitigations</w:t>
      </w:r>
    </w:p>
    <w:p>
      <w:pPr>
        <w:spacing w:after="80"/>
      </w:pPr>
      <w:r>
        <w:rPr>
          <w:sz w:val="20"/>
        </w:rPr>
        <w:t>13. Recommendation</w:t>
      </w:r>
    </w:p>
    <w:p>
      <w:r>
        <w:br w:type="page"/>
      </w:r>
    </w:p>
    <w:p>
      <w:pPr>
        <w:pStyle w:val="Heading1"/>
      </w:pPr>
      <w:r>
        <w:t>1. Executive Summary</w:t>
      </w:r>
    </w:p>
    <w:p>
      <w:r>
        <w:t>Real Finance, Inc. requires continuous access to every UCC (Uniform Commercial Code) filing across all 50 U.S. states and the District of Columbia. This document outlines the recommended approach for building a centralized UCC filing database that captures new filings within three days of their recording, at an estimated annual cost of approximately $399,000 — well within the $1,000,000 budget.</w:t>
      </w:r>
    </w:p>
    <w:p/>
    <w:p>
      <w:r>
        <w:t>The recommended architecture is a hybrid 3-tier ingestion system that strategically combines free government APIs, direct state bulk data subscriptions, and a commercial data provider to optimize for cost, coverage, and latency. This approach avoids over-reliance on any single data source while ensuring that all 51 jurisdictions are covered with no gaps.</w:t>
      </w:r>
    </w:p>
    <w:p>
      <w:pPr>
        <w:pStyle w:val="Heading1"/>
      </w:pPr>
      <w:r>
        <w:t>2. Objective &amp; Constraints</w:t>
      </w:r>
    </w:p>
    <w:p>
      <w:pPr>
        <w:pStyle w:val="Heading2"/>
      </w:pPr>
      <w:r>
        <w:t>Objective</w:t>
      </w:r>
    </w:p>
    <w:p>
      <w:r>
        <w:t>Continuously ingest every UCC filing from all 51 jurisdictions (50 states + DC) into a centralized, normalized database.</w:t>
      </w:r>
    </w:p>
    <w:p>
      <w:pPr>
        <w:pStyle w:val="Heading2"/>
      </w:pPr>
      <w:r>
        <w:t>Constraints</w:t>
      </w:r>
    </w:p>
    <w:p>
      <w:pPr>
        <w:pStyle w:val="ListBullet"/>
        <w:spacing w:after="40"/>
        <w:ind w:left="720"/>
      </w:pPr>
      <w:r>
        <w:rPr>
          <w:b/>
          <w:sz w:val="20"/>
        </w:rPr>
        <w:t xml:space="preserve">Maximum annual budget: </w:t>
      </w:r>
      <w:r>
        <w:rPr>
          <w:sz w:val="20"/>
        </w:rPr>
        <w:t>$1,000,000 per year</w:t>
      </w:r>
    </w:p>
    <w:p>
      <w:pPr>
        <w:pStyle w:val="ListBullet"/>
        <w:spacing w:after="40"/>
        <w:ind w:left="720"/>
      </w:pPr>
      <w:r>
        <w:rPr>
          <w:b/>
          <w:sz w:val="20"/>
        </w:rPr>
        <w:t xml:space="preserve">Maximum acceptable latency: </w:t>
      </w:r>
      <w:r>
        <w:rPr>
          <w:sz w:val="20"/>
        </w:rPr>
        <w:t>3 calendar days from date of filing at the state level</w:t>
      </w:r>
    </w:p>
    <w:p>
      <w:pPr>
        <w:pStyle w:val="ListBullet"/>
        <w:spacing w:after="40"/>
        <w:ind w:left="720"/>
      </w:pPr>
      <w:r>
        <w:rPr>
          <w:b/>
          <w:sz w:val="20"/>
        </w:rPr>
        <w:t xml:space="preserve">Expected data volume: </w:t>
      </w:r>
      <w:r>
        <w:rPr>
          <w:sz w:val="20"/>
        </w:rPr>
        <w:t>~145,000 new filings per month (~1.7 million per year)</w:t>
      </w:r>
    </w:p>
    <w:p>
      <w:pPr>
        <w:pStyle w:val="ListBullet"/>
        <w:spacing w:after="40"/>
        <w:ind w:left="720"/>
      </w:pPr>
      <w:r>
        <w:rPr>
          <w:b/>
          <w:sz w:val="20"/>
        </w:rPr>
        <w:t xml:space="preserve">Data quality: </w:t>
      </w:r>
      <w:r>
        <w:rPr>
          <w:sz w:val="20"/>
        </w:rPr>
        <w:t>All records must be normalized to a common schema regardless of source format</w:t>
      </w:r>
    </w:p>
    <w:p>
      <w:pPr>
        <w:pStyle w:val="ListBullet"/>
        <w:spacing w:after="40"/>
        <w:ind w:left="720"/>
      </w:pPr>
      <w:r>
        <w:rPr>
          <w:b/>
          <w:sz w:val="20"/>
        </w:rPr>
        <w:t xml:space="preserve">Auditability: </w:t>
      </w:r>
      <w:r>
        <w:rPr>
          <w:sz w:val="20"/>
        </w:rPr>
        <w:t>Full audit trail of every ingestion run, with original source records preserved</w:t>
      </w:r>
    </w:p>
    <w:p>
      <w:pPr>
        <w:pStyle w:val="Heading1"/>
      </w:pPr>
      <w:r>
        <w:t>3. Recommended Approach: Hybrid 3-Tier Architecture</w:t>
      </w:r>
    </w:p>
    <w:p>
      <w:r>
        <w:t>Rather than relying on a single commercial provider for all 51 jurisdictions — which would cost $300K–$500K annually and create a single point of failure — the recommended approach uses three tiers of data sources, prioritizing the cheapest and most direct sources wherever they are available.</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1B3A5C" w:val="clear"/>
          </w:tcPr>
          <w:p>
            <w:pPr>
              <w:jc w:val="center"/>
            </w:pPr>
            <w:r>
              <w:rPr>
                <w:b/>
                <w:color w:val="FFFFFF"/>
                <w:sz w:val="18"/>
              </w:rPr>
            </w:r>
            <w:r>
              <w:rPr>
                <w:b/>
                <w:color w:val="FFFFFF"/>
                <w:sz w:val="18"/>
              </w:rPr>
              <w:t>Tier</w:t>
            </w:r>
          </w:p>
        </w:tc>
        <w:tc>
          <w:tcPr>
            <w:tcW w:type="dxa" w:w="3118"/>
            <w:shd w:fill="1B3A5C" w:val="clear"/>
          </w:tcPr>
          <w:p>
            <w:pPr>
              <w:jc w:val="center"/>
            </w:pPr>
            <w:r>
              <w:rPr>
                <w:b/>
                <w:color w:val="FFFFFF"/>
                <w:sz w:val="18"/>
              </w:rPr>
            </w:r>
            <w:r>
              <w:rPr>
                <w:b/>
                <w:color w:val="FFFFFF"/>
                <w:sz w:val="18"/>
              </w:rPr>
              <w:t>Source Type</w:t>
            </w:r>
          </w:p>
        </w:tc>
        <w:tc>
          <w:tcPr>
            <w:tcW w:type="dxa" w:w="1134"/>
            <w:shd w:fill="1B3A5C" w:val="clear"/>
          </w:tcPr>
          <w:p>
            <w:pPr>
              <w:jc w:val="center"/>
            </w:pPr>
            <w:r>
              <w:rPr>
                <w:b/>
                <w:color w:val="FFFFFF"/>
                <w:sz w:val="18"/>
              </w:rPr>
            </w:r>
            <w:r>
              <w:rPr>
                <w:b/>
                <w:color w:val="FFFFFF"/>
                <w:sz w:val="18"/>
              </w:rPr>
              <w:t>States</w:t>
            </w:r>
          </w:p>
        </w:tc>
        <w:tc>
          <w:tcPr>
            <w:tcW w:type="dxa" w:w="1701"/>
            <w:shd w:fill="1B3A5C" w:val="clear"/>
          </w:tcPr>
          <w:p>
            <w:pPr>
              <w:jc w:val="center"/>
            </w:pPr>
            <w:r>
              <w:rPr>
                <w:b/>
                <w:color w:val="FFFFFF"/>
                <w:sz w:val="18"/>
              </w:rPr>
            </w:r>
            <w:r>
              <w:rPr>
                <w:b/>
                <w:color w:val="FFFFFF"/>
                <w:sz w:val="18"/>
              </w:rPr>
              <w:t>Annual Cost</w:t>
            </w:r>
          </w:p>
        </w:tc>
        <w:tc>
          <w:tcPr>
            <w:tcW w:type="dxa" w:w="1417"/>
            <w:shd w:fill="1B3A5C" w:val="clear"/>
          </w:tcPr>
          <w:p>
            <w:pPr>
              <w:jc w:val="center"/>
            </w:pPr>
            <w:r>
              <w:rPr>
                <w:b/>
                <w:color w:val="FFFFFF"/>
                <w:sz w:val="18"/>
              </w:rPr>
            </w:r>
            <w:r>
              <w:rPr>
                <w:b/>
                <w:color w:val="FFFFFF"/>
                <w:sz w:val="18"/>
              </w:rPr>
              <w:t>Latency</w:t>
            </w:r>
          </w:p>
        </w:tc>
      </w:tr>
      <w:tr>
        <w:tc>
          <w:tcPr>
            <w:tcW w:type="dxa" w:w="1134"/>
            <w:shd w:fill="FFFFFF" w:val="clear"/>
          </w:tcPr>
          <w:p>
            <w:r>
              <w:rPr>
                <w:sz w:val="18"/>
              </w:rPr>
            </w:r>
            <w:r>
              <w:rPr>
                <w:sz w:val="18"/>
              </w:rPr>
              <w:t>Tier 1</w:t>
            </w:r>
          </w:p>
        </w:tc>
        <w:tc>
          <w:tcPr>
            <w:tcW w:type="dxa" w:w="3118"/>
            <w:shd w:fill="FFFFFF" w:val="clear"/>
          </w:tcPr>
          <w:p>
            <w:r>
              <w:rPr>
                <w:sz w:val="18"/>
              </w:rPr>
            </w:r>
            <w:r>
              <w:rPr>
                <w:sz w:val="18"/>
              </w:rPr>
              <w:t>Free Open Data APIs (Socrata)</w:t>
            </w:r>
          </w:p>
        </w:tc>
        <w:tc>
          <w:tcPr>
            <w:tcW w:type="dxa" w:w="1134"/>
            <w:shd w:fill="FFFFFF" w:val="clear"/>
          </w:tcPr>
          <w:p>
            <w:r>
              <w:rPr>
                <w:sz w:val="18"/>
              </w:rPr>
            </w:r>
            <w:r>
              <w:rPr>
                <w:sz w:val="18"/>
              </w:rPr>
              <w:t>2</w:t>
            </w:r>
          </w:p>
        </w:tc>
        <w:tc>
          <w:tcPr>
            <w:tcW w:type="dxa" w:w="1701"/>
            <w:shd w:fill="FFFFFF" w:val="clear"/>
          </w:tcPr>
          <w:p>
            <w:r>
              <w:rPr>
                <w:sz w:val="18"/>
              </w:rPr>
            </w:r>
            <w:r>
              <w:rPr>
                <w:sz w:val="18"/>
              </w:rPr>
              <w:t>$0</w:t>
            </w:r>
          </w:p>
        </w:tc>
        <w:tc>
          <w:tcPr>
            <w:tcW w:type="dxa" w:w="1417"/>
            <w:shd w:fill="FFFFFF" w:val="clear"/>
          </w:tcPr>
          <w:p>
            <w:r>
              <w:rPr>
                <w:sz w:val="18"/>
              </w:rPr>
            </w:r>
            <w:r>
              <w:rPr>
                <w:sz w:val="18"/>
              </w:rPr>
              <w:t>~1 day</w:t>
            </w:r>
          </w:p>
        </w:tc>
      </w:tr>
      <w:tr>
        <w:tc>
          <w:tcPr>
            <w:tcW w:type="dxa" w:w="1134"/>
            <w:shd w:fill="F2F6FA" w:val="clear"/>
          </w:tcPr>
          <w:p>
            <w:r>
              <w:rPr>
                <w:sz w:val="18"/>
              </w:rPr>
            </w:r>
            <w:r>
              <w:rPr>
                <w:sz w:val="18"/>
              </w:rPr>
              <w:t>Tier 2</w:t>
            </w:r>
          </w:p>
        </w:tc>
        <w:tc>
          <w:tcPr>
            <w:tcW w:type="dxa" w:w="3118"/>
            <w:shd w:fill="F2F6FA" w:val="clear"/>
          </w:tcPr>
          <w:p>
            <w:r>
              <w:rPr>
                <w:sz w:val="18"/>
              </w:rPr>
            </w:r>
            <w:r>
              <w:rPr>
                <w:sz w:val="18"/>
              </w:rPr>
              <w:t>State Bulk Subscriptions</w:t>
            </w:r>
          </w:p>
        </w:tc>
        <w:tc>
          <w:tcPr>
            <w:tcW w:type="dxa" w:w="1134"/>
            <w:shd w:fill="F2F6FA" w:val="clear"/>
          </w:tcPr>
          <w:p>
            <w:r>
              <w:rPr>
                <w:sz w:val="18"/>
              </w:rPr>
            </w:r>
            <w:r>
              <w:rPr>
                <w:sz w:val="18"/>
              </w:rPr>
              <w:t>15</w:t>
            </w:r>
          </w:p>
        </w:tc>
        <w:tc>
          <w:tcPr>
            <w:tcW w:type="dxa" w:w="1701"/>
            <w:shd w:fill="F2F6FA" w:val="clear"/>
          </w:tcPr>
          <w:p>
            <w:r>
              <w:rPr>
                <w:sz w:val="18"/>
              </w:rPr>
            </w:r>
            <w:r>
              <w:rPr>
                <w:sz w:val="18"/>
              </w:rPr>
              <w:t>~$98,830</w:t>
            </w:r>
          </w:p>
        </w:tc>
        <w:tc>
          <w:tcPr>
            <w:tcW w:type="dxa" w:w="1417"/>
            <w:shd w:fill="F2F6FA" w:val="clear"/>
          </w:tcPr>
          <w:p>
            <w:r>
              <w:rPr>
                <w:sz w:val="18"/>
              </w:rPr>
            </w:r>
            <w:r>
              <w:rPr>
                <w:sz w:val="18"/>
              </w:rPr>
              <w:t>1–3 days</w:t>
            </w:r>
          </w:p>
        </w:tc>
      </w:tr>
      <w:tr>
        <w:tc>
          <w:tcPr>
            <w:tcW w:type="dxa" w:w="1134"/>
            <w:shd w:fill="FFFFFF" w:val="clear"/>
          </w:tcPr>
          <w:p>
            <w:r>
              <w:rPr>
                <w:sz w:val="18"/>
              </w:rPr>
            </w:r>
            <w:r>
              <w:rPr>
                <w:sz w:val="18"/>
              </w:rPr>
              <w:t>Tier 3</w:t>
            </w:r>
          </w:p>
        </w:tc>
        <w:tc>
          <w:tcPr>
            <w:tcW w:type="dxa" w:w="3118"/>
            <w:shd w:fill="FFFFFF" w:val="clear"/>
          </w:tcPr>
          <w:p>
            <w:r>
              <w:rPr>
                <w:sz w:val="18"/>
              </w:rPr>
            </w:r>
            <w:r>
              <w:rPr>
                <w:sz w:val="18"/>
              </w:rPr>
              <w:t>Commercial Provider API</w:t>
            </w:r>
          </w:p>
        </w:tc>
        <w:tc>
          <w:tcPr>
            <w:tcW w:type="dxa" w:w="1134"/>
            <w:shd w:fill="FFFFFF" w:val="clear"/>
          </w:tcPr>
          <w:p>
            <w:r>
              <w:rPr>
                <w:sz w:val="18"/>
              </w:rPr>
            </w:r>
            <w:r>
              <w:rPr>
                <w:sz w:val="18"/>
              </w:rPr>
              <w:t>~34</w:t>
            </w:r>
          </w:p>
        </w:tc>
        <w:tc>
          <w:tcPr>
            <w:tcW w:type="dxa" w:w="1701"/>
            <w:shd w:fill="FFFFFF" w:val="clear"/>
          </w:tcPr>
          <w:p>
            <w:r>
              <w:rPr>
                <w:sz w:val="18"/>
              </w:rPr>
            </w:r>
            <w:r>
              <w:rPr>
                <w:sz w:val="18"/>
              </w:rPr>
              <w:t>~$300,000</w:t>
            </w:r>
          </w:p>
        </w:tc>
        <w:tc>
          <w:tcPr>
            <w:tcW w:type="dxa" w:w="1417"/>
            <w:shd w:fill="FFFFFF" w:val="clear"/>
          </w:tcPr>
          <w:p>
            <w:r>
              <w:rPr>
                <w:sz w:val="18"/>
              </w:rPr>
            </w:r>
            <w:r>
              <w:rPr>
                <w:sz w:val="18"/>
              </w:rPr>
              <w:t>1–3 days</w:t>
            </w:r>
          </w:p>
        </w:tc>
      </w:tr>
      <w:tr>
        <w:tc>
          <w:tcPr>
            <w:tcW w:type="dxa" w:w="1134"/>
            <w:shd w:fill="F2F6FA" w:val="clear"/>
          </w:tcPr>
          <w:p>
            <w:r>
              <w:rPr>
                <w:sz w:val="18"/>
              </w:rPr>
            </w:r>
            <w:r>
              <w:rPr>
                <w:sz w:val="18"/>
              </w:rPr>
              <w:t>Total</w:t>
            </w:r>
          </w:p>
        </w:tc>
        <w:tc>
          <w:tcPr>
            <w:tcW w:type="dxa" w:w="3118"/>
            <w:shd w:fill="F2F6FA" w:val="clear"/>
          </w:tcPr>
          <w:p>
            <w:r>
              <w:rPr>
                <w:sz w:val="18"/>
              </w:rPr>
            </w:r>
            <w:r>
              <w:rPr>
                <w:sz w:val="18"/>
              </w:rPr>
              <w:t>All sources combined</w:t>
            </w:r>
          </w:p>
        </w:tc>
        <w:tc>
          <w:tcPr>
            <w:tcW w:type="dxa" w:w="1134"/>
            <w:shd w:fill="F2F6FA" w:val="clear"/>
          </w:tcPr>
          <w:p>
            <w:r>
              <w:rPr>
                <w:sz w:val="18"/>
              </w:rPr>
            </w:r>
            <w:r>
              <w:rPr>
                <w:sz w:val="18"/>
              </w:rPr>
              <w:t>51</w:t>
            </w:r>
          </w:p>
        </w:tc>
        <w:tc>
          <w:tcPr>
            <w:tcW w:type="dxa" w:w="1701"/>
            <w:shd w:fill="F2F6FA" w:val="clear"/>
          </w:tcPr>
          <w:p>
            <w:r>
              <w:rPr>
                <w:sz w:val="18"/>
              </w:rPr>
            </w:r>
            <w:r>
              <w:rPr>
                <w:sz w:val="18"/>
              </w:rPr>
              <w:t>~$398,830</w:t>
            </w:r>
          </w:p>
        </w:tc>
        <w:tc>
          <w:tcPr>
            <w:tcW w:type="dxa" w:w="1417"/>
            <w:shd w:fill="F2F6FA" w:val="clear"/>
          </w:tcPr>
          <w:p>
            <w:r>
              <w:rPr>
                <w:sz w:val="18"/>
              </w:rPr>
            </w:r>
            <w:r>
              <w:rPr>
                <w:sz w:val="18"/>
              </w:rPr>
              <w:t>≤3 days</w:t>
            </w:r>
          </w:p>
        </w:tc>
      </w:tr>
    </w:tbl>
    <w:p/>
    <w:p>
      <w:r>
        <w:t>This tiered approach provides a ~$600,000 budget buffer to absorb price increases, higher-than-expected commercial provider costs, and future infrastructure expenses.</w:t>
      </w:r>
    </w:p>
    <w:p>
      <w:pPr>
        <w:pStyle w:val="Heading2"/>
      </w:pPr>
      <w:r>
        <w:t>Why a Hybrid Approach?</w:t>
      </w:r>
    </w:p>
    <w:p>
      <w:pPr>
        <w:pStyle w:val="ListBullet"/>
        <w:spacing w:after="40"/>
        <w:ind w:left="720"/>
      </w:pPr>
      <w:r>
        <w:rPr>
          <w:b/>
          <w:sz w:val="20"/>
        </w:rPr>
        <w:t xml:space="preserve">Cost optimization: </w:t>
      </w:r>
      <w:r>
        <w:rPr>
          <w:sz w:val="20"/>
        </w:rPr>
        <w:t>Free APIs for CT and CO eliminate cost for those states entirely and provide the freshest data (daily updates).</w:t>
      </w:r>
    </w:p>
    <w:p>
      <w:pPr>
        <w:pStyle w:val="ListBullet"/>
        <w:spacing w:after="40"/>
        <w:ind w:left="720"/>
      </w:pPr>
      <w:r>
        <w:rPr>
          <w:b/>
          <w:sz w:val="20"/>
        </w:rPr>
        <w:t xml:space="preserve">Direct state relationships: </w:t>
      </w:r>
      <w:r>
        <w:rPr>
          <w:sz w:val="20"/>
        </w:rPr>
        <w:t>15 states offer bulk data subscriptions at far lower cost than commercial providers. For example, California's weekly XML downloads are free, and North Dakota is only $480/year.</w:t>
      </w:r>
    </w:p>
    <w:p>
      <w:pPr>
        <w:pStyle w:val="ListBullet"/>
        <w:spacing w:after="40"/>
        <w:ind w:left="720"/>
      </w:pPr>
      <w:r>
        <w:rPr>
          <w:b/>
          <w:sz w:val="20"/>
        </w:rPr>
        <w:t xml:space="preserve">Data quality cross-checks: </w:t>
      </w:r>
      <w:r>
        <w:rPr>
          <w:sz w:val="20"/>
        </w:rPr>
        <w:t>Where Tier 2 and Tier 3 overlap, we can cross-reference records to identify data quality issues from either source.</w:t>
      </w:r>
    </w:p>
    <w:p>
      <w:pPr>
        <w:pStyle w:val="ListBullet"/>
        <w:spacing w:after="40"/>
        <w:ind w:left="720"/>
      </w:pPr>
      <w:r>
        <w:rPr>
          <w:b/>
          <w:sz w:val="20"/>
        </w:rPr>
        <w:t xml:space="preserve">Reduced vendor risk: </w:t>
      </w:r>
      <w:r>
        <w:rPr>
          <w:sz w:val="20"/>
        </w:rPr>
        <w:t>No single vendor can cut off access to all 51 jurisdictions. Free APIs and state bulk subscriptions are not subject to commercial contract disputes.</w:t>
      </w:r>
    </w:p>
    <w:p>
      <w:pPr>
        <w:pStyle w:val="Heading1"/>
      </w:pPr>
      <w:r>
        <w:t>4. Tier 1 — Free Open Data APIs</w:t>
      </w:r>
    </w:p>
    <w:p>
      <w:r>
        <w:t>Two states — Connecticut and Colorado — publish their UCC filing indexes as open data via the Socrata SODA API platform. These are free, require no authentication (though an optional app token raises rate limits), and provide daily-refreshed JSON data.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fill="1B3A5C" w:val="clear"/>
          </w:tcPr>
          <w:p>
            <w:pPr>
              <w:jc w:val="center"/>
            </w:pPr>
            <w:r>
              <w:rPr>
                <w:b/>
                <w:color w:val="FFFFFF"/>
                <w:sz w:val="18"/>
              </w:rPr>
            </w:r>
            <w:r>
              <w:rPr>
                <w:b/>
                <w:color w:val="FFFFFF"/>
                <w:sz w:val="18"/>
              </w:rPr>
              <w:t>State</w:t>
            </w:r>
          </w:p>
        </w:tc>
        <w:tc>
          <w:tcPr>
            <w:tcW w:type="dxa" w:w="2835"/>
            <w:shd w:fill="1B3A5C" w:val="clear"/>
          </w:tcPr>
          <w:p>
            <w:pPr>
              <w:jc w:val="center"/>
            </w:pPr>
            <w:r>
              <w:rPr>
                <w:b/>
                <w:color w:val="FFFFFF"/>
                <w:sz w:val="18"/>
              </w:rPr>
            </w:r>
            <w:r>
              <w:rPr>
                <w:b/>
                <w:color w:val="FFFFFF"/>
                <w:sz w:val="18"/>
              </w:rPr>
              <w:t>API Platform</w:t>
            </w:r>
          </w:p>
        </w:tc>
        <w:tc>
          <w:tcPr>
            <w:tcW w:type="dxa" w:w="1134"/>
            <w:shd w:fill="1B3A5C" w:val="clear"/>
          </w:tcPr>
          <w:p>
            <w:pPr>
              <w:jc w:val="center"/>
            </w:pPr>
            <w:r>
              <w:rPr>
                <w:b/>
                <w:color w:val="FFFFFF"/>
                <w:sz w:val="18"/>
              </w:rPr>
            </w:r>
            <w:r>
              <w:rPr>
                <w:b/>
                <w:color w:val="FFFFFF"/>
                <w:sz w:val="18"/>
              </w:rPr>
              <w:t>Frequency</w:t>
            </w:r>
          </w:p>
        </w:tc>
        <w:tc>
          <w:tcPr>
            <w:tcW w:type="dxa" w:w="1134"/>
            <w:shd w:fill="1B3A5C" w:val="clear"/>
          </w:tcPr>
          <w:p>
            <w:pPr>
              <w:jc w:val="center"/>
            </w:pPr>
            <w:r>
              <w:rPr>
                <w:b/>
                <w:color w:val="FFFFFF"/>
                <w:sz w:val="18"/>
              </w:rPr>
            </w:r>
            <w:r>
              <w:rPr>
                <w:b/>
                <w:color w:val="FFFFFF"/>
                <w:sz w:val="18"/>
              </w:rPr>
              <w:t>Latency</w:t>
            </w:r>
          </w:p>
        </w:tc>
        <w:tc>
          <w:tcPr>
            <w:tcW w:type="dxa" w:w="850"/>
            <w:shd w:fill="1B3A5C" w:val="clear"/>
          </w:tcPr>
          <w:p>
            <w:pPr>
              <w:jc w:val="center"/>
            </w:pPr>
            <w:r>
              <w:rPr>
                <w:b/>
                <w:color w:val="FFFFFF"/>
                <w:sz w:val="18"/>
              </w:rPr>
            </w:r>
            <w:r>
              <w:rPr>
                <w:b/>
                <w:color w:val="FFFFFF"/>
                <w:sz w:val="18"/>
              </w:rPr>
              <w:t>Format</w:t>
            </w:r>
          </w:p>
        </w:tc>
        <w:tc>
          <w:tcPr>
            <w:tcW w:type="dxa" w:w="1134"/>
            <w:shd w:fill="1B3A5C" w:val="clear"/>
          </w:tcPr>
          <w:p>
            <w:pPr>
              <w:jc w:val="center"/>
            </w:pPr>
            <w:r>
              <w:rPr>
                <w:b/>
                <w:color w:val="FFFFFF"/>
                <w:sz w:val="18"/>
              </w:rPr>
            </w:r>
            <w:r>
              <w:rPr>
                <w:b/>
                <w:color w:val="FFFFFF"/>
                <w:sz w:val="18"/>
              </w:rPr>
              <w:t>Annual Cost</w:t>
            </w:r>
          </w:p>
        </w:tc>
      </w:tr>
      <w:tr>
        <w:tc>
          <w:tcPr>
            <w:tcW w:type="dxa" w:w="1417"/>
            <w:shd w:fill="FFFFFF" w:val="clear"/>
          </w:tcPr>
          <w:p>
            <w:r>
              <w:rPr>
                <w:sz w:val="18"/>
              </w:rPr>
            </w:r>
            <w:r>
              <w:rPr>
                <w:sz w:val="18"/>
              </w:rPr>
              <w:t>Connecticut</w:t>
            </w:r>
          </w:p>
        </w:tc>
        <w:tc>
          <w:tcPr>
            <w:tcW w:type="dxa" w:w="2835"/>
            <w:shd w:fill="FFFFFF" w:val="clear"/>
          </w:tcPr>
          <w:p>
            <w:r>
              <w:rPr>
                <w:sz w:val="18"/>
              </w:rPr>
            </w:r>
            <w:r>
              <w:rPr>
                <w:sz w:val="18"/>
              </w:rPr>
              <w:t>data.ct.gov (Socrata SODA)</w:t>
            </w:r>
          </w:p>
        </w:tc>
        <w:tc>
          <w:tcPr>
            <w:tcW w:type="dxa" w:w="1134"/>
            <w:shd w:fill="FFFFFF" w:val="clear"/>
          </w:tcPr>
          <w:p>
            <w:r>
              <w:rPr>
                <w:sz w:val="18"/>
              </w:rPr>
            </w:r>
            <w:r>
              <w:rPr>
                <w:sz w:val="18"/>
              </w:rPr>
              <w:t>Daily</w:t>
            </w:r>
          </w:p>
        </w:tc>
        <w:tc>
          <w:tcPr>
            <w:tcW w:type="dxa" w:w="1134"/>
            <w:shd w:fill="FFFFFF" w:val="clear"/>
          </w:tcPr>
          <w:p>
            <w:r>
              <w:rPr>
                <w:sz w:val="18"/>
              </w:rPr>
            </w:r>
            <w:r>
              <w:rPr>
                <w:sz w:val="18"/>
              </w:rPr>
              <w:t>~1 day</w:t>
            </w:r>
          </w:p>
        </w:tc>
        <w:tc>
          <w:tcPr>
            <w:tcW w:type="dxa" w:w="850"/>
            <w:shd w:fill="FFFFFF" w:val="clear"/>
          </w:tcPr>
          <w:p>
            <w:r>
              <w:rPr>
                <w:sz w:val="18"/>
              </w:rPr>
            </w:r>
            <w:r>
              <w:rPr>
                <w:sz w:val="18"/>
              </w:rPr>
              <w:t>JSON</w:t>
            </w:r>
          </w:p>
        </w:tc>
        <w:tc>
          <w:tcPr>
            <w:tcW w:type="dxa" w:w="1134"/>
            <w:shd w:fill="FFFFFF" w:val="clear"/>
          </w:tcPr>
          <w:p>
            <w:r>
              <w:rPr>
                <w:sz w:val="18"/>
              </w:rPr>
            </w:r>
            <w:r>
              <w:rPr>
                <w:sz w:val="18"/>
              </w:rPr>
              <w:t>$0</w:t>
            </w:r>
          </w:p>
        </w:tc>
      </w:tr>
      <w:tr>
        <w:tc>
          <w:tcPr>
            <w:tcW w:type="dxa" w:w="1417"/>
            <w:shd w:fill="F2F6FA" w:val="clear"/>
          </w:tcPr>
          <w:p>
            <w:r>
              <w:rPr>
                <w:sz w:val="18"/>
              </w:rPr>
            </w:r>
            <w:r>
              <w:rPr>
                <w:sz w:val="18"/>
              </w:rPr>
              <w:t>Colorado</w:t>
            </w:r>
          </w:p>
        </w:tc>
        <w:tc>
          <w:tcPr>
            <w:tcW w:type="dxa" w:w="2835"/>
            <w:shd w:fill="F2F6FA" w:val="clear"/>
          </w:tcPr>
          <w:p>
            <w:r>
              <w:rPr>
                <w:sz w:val="18"/>
              </w:rPr>
            </w:r>
            <w:r>
              <w:rPr>
                <w:sz w:val="18"/>
              </w:rPr>
              <w:t>data.colorado.gov (Socrata SODA)</w:t>
            </w:r>
          </w:p>
        </w:tc>
        <w:tc>
          <w:tcPr>
            <w:tcW w:type="dxa" w:w="1134"/>
            <w:shd w:fill="F2F6FA" w:val="clear"/>
          </w:tcPr>
          <w:p>
            <w:r>
              <w:rPr>
                <w:sz w:val="18"/>
              </w:rPr>
            </w:r>
            <w:r>
              <w:rPr>
                <w:sz w:val="18"/>
              </w:rPr>
              <w:t>Daily</w:t>
            </w:r>
          </w:p>
        </w:tc>
        <w:tc>
          <w:tcPr>
            <w:tcW w:type="dxa" w:w="1134"/>
            <w:shd w:fill="F2F6FA" w:val="clear"/>
          </w:tcPr>
          <w:p>
            <w:r>
              <w:rPr>
                <w:sz w:val="18"/>
              </w:rPr>
            </w:r>
            <w:r>
              <w:rPr>
                <w:sz w:val="18"/>
              </w:rPr>
              <w:t>~1.5 days</w:t>
            </w:r>
          </w:p>
        </w:tc>
        <w:tc>
          <w:tcPr>
            <w:tcW w:type="dxa" w:w="850"/>
            <w:shd w:fill="F2F6FA" w:val="clear"/>
          </w:tcPr>
          <w:p>
            <w:r>
              <w:rPr>
                <w:sz w:val="18"/>
              </w:rPr>
            </w:r>
            <w:r>
              <w:rPr>
                <w:sz w:val="18"/>
              </w:rPr>
              <w:t>JSON</w:t>
            </w:r>
          </w:p>
        </w:tc>
        <w:tc>
          <w:tcPr>
            <w:tcW w:type="dxa" w:w="1134"/>
            <w:shd w:fill="F2F6FA" w:val="clear"/>
          </w:tcPr>
          <w:p>
            <w:r>
              <w:rPr>
                <w:sz w:val="18"/>
              </w:rPr>
            </w:r>
            <w:r>
              <w:rPr>
                <w:sz w:val="18"/>
              </w:rPr>
              <w:t>$0</w:t>
            </w:r>
          </w:p>
        </w:tc>
      </w:tr>
    </w:tbl>
    <w:p/>
    <w:p>
      <w:pPr>
        <w:pStyle w:val="Heading2"/>
      </w:pPr>
      <w:r>
        <w:t>How It Works</w:t>
      </w:r>
    </w:p>
    <w:p>
      <w:pPr>
        <w:pStyle w:val="ListBullet"/>
        <w:spacing w:after="40"/>
        <w:ind w:left="720"/>
      </w:pPr>
      <w:r>
        <w:rPr>
          <w:sz w:val="20"/>
        </w:rPr>
        <w:t>The ingestion scheduler polls each API daily using the Socrata SODA query language.</w:t>
      </w:r>
    </w:p>
    <w:p>
      <w:pPr>
        <w:pStyle w:val="ListBullet"/>
        <w:spacing w:after="40"/>
        <w:ind w:left="720"/>
      </w:pPr>
      <w:r>
        <w:rPr>
          <w:sz w:val="20"/>
        </w:rPr>
        <w:t>Incremental pulls are performed using a date filter ($where clause) to fetch only filings recorded since the last ingestion run.</w:t>
      </w:r>
    </w:p>
    <w:p>
      <w:pPr>
        <w:pStyle w:val="ListBullet"/>
        <w:spacing w:after="40"/>
        <w:ind w:left="720"/>
      </w:pPr>
      <w:r>
        <w:rPr>
          <w:sz w:val="20"/>
        </w:rPr>
        <w:t>Pagination is handled via $limit and $offset parameters (default page size: 5,000 records).</w:t>
      </w:r>
    </w:p>
    <w:p>
      <w:pPr>
        <w:pStyle w:val="ListBullet"/>
        <w:spacing w:after="40"/>
        <w:ind w:left="720"/>
      </w:pPr>
      <w:r>
        <w:rPr>
          <w:sz w:val="20"/>
        </w:rPr>
        <w:t>No credentials are required. An optional Socrata app token raises the rate limit from 1,000 to 4,000 requests per hour.</w:t>
      </w:r>
    </w:p>
    <w:p>
      <w:r>
        <w:rPr>
          <w:b/>
        </w:rPr>
        <w:t>Total Tier 1 cost: $0/year</w:t>
      </w:r>
    </w:p>
    <w:p>
      <w:pPr>
        <w:pStyle w:val="Heading1"/>
      </w:pPr>
      <w:r>
        <w:t>5. Tier 2 — State Bulk Subscriptions</w:t>
      </w:r>
    </w:p>
    <w:p>
      <w:r>
        <w:t>Fifteen states offer direct bulk data access — either as downloadable files (CSV, XML, fixed-width, tab-delimited) or via subscription-based data feeds. These are purchased directly from the state Secretary of State office (or equivalent agency) and provide the most authoritative data available.</w:t>
      </w:r>
    </w:p>
    <w:p>
      <w:pPr>
        <w:pStyle w:val="Heading2"/>
      </w:pPr>
      <w:r>
        <w:t>Data Delivery Models</w:t>
      </w:r>
    </w:p>
    <w:p>
      <w:r>
        <w:t>State bulk data programs use one of three delivery models. Understanding which model each state uses is critical for efficient ingestion — it determines whether we need an initial data purchase, how much data each download contains, and how the pipeline processes 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B3A5C" w:val="clear"/>
          </w:tcPr>
          <w:p>
            <w:pPr>
              <w:jc w:val="center"/>
            </w:pPr>
            <w:r>
              <w:rPr>
                <w:b/>
                <w:color w:val="FFFFFF"/>
                <w:sz w:val="18"/>
              </w:rPr>
            </w:r>
            <w:r>
              <w:rPr>
                <w:b/>
                <w:color w:val="FFFFFF"/>
                <w:sz w:val="18"/>
              </w:rPr>
              <w:t>Delivery Model</w:t>
            </w:r>
          </w:p>
        </w:tc>
        <w:tc>
          <w:tcPr>
            <w:tcW w:type="dxa" w:w="1701"/>
            <w:shd w:fill="1B3A5C" w:val="clear"/>
          </w:tcPr>
          <w:p>
            <w:pPr>
              <w:jc w:val="center"/>
            </w:pPr>
            <w:r>
              <w:rPr>
                <w:b/>
                <w:color w:val="FFFFFF"/>
                <w:sz w:val="18"/>
              </w:rPr>
            </w:r>
            <w:r>
              <w:rPr>
                <w:b/>
                <w:color w:val="FFFFFF"/>
                <w:sz w:val="18"/>
              </w:rPr>
              <w:t>States</w:t>
            </w:r>
          </w:p>
        </w:tc>
        <w:tc>
          <w:tcPr>
            <w:tcW w:type="dxa" w:w="3118"/>
            <w:shd w:fill="1B3A5C" w:val="clear"/>
          </w:tcPr>
          <w:p>
            <w:pPr>
              <w:jc w:val="center"/>
            </w:pPr>
            <w:r>
              <w:rPr>
                <w:b/>
                <w:color w:val="FFFFFF"/>
                <w:sz w:val="18"/>
              </w:rPr>
            </w:r>
            <w:r>
              <w:rPr>
                <w:b/>
                <w:color w:val="FFFFFF"/>
                <w:sz w:val="18"/>
              </w:rPr>
              <w:t>How It Works</w:t>
            </w:r>
          </w:p>
        </w:tc>
        <w:tc>
          <w:tcPr>
            <w:tcW w:type="dxa" w:w="1984"/>
            <w:shd w:fill="1B3A5C" w:val="clear"/>
          </w:tcPr>
          <w:p>
            <w:pPr>
              <w:jc w:val="center"/>
            </w:pPr>
            <w:r>
              <w:rPr>
                <w:b/>
                <w:color w:val="FFFFFF"/>
                <w:sz w:val="18"/>
              </w:rPr>
            </w:r>
            <w:r>
              <w:rPr>
                <w:b/>
                <w:color w:val="FFFFFF"/>
                <w:sz w:val="18"/>
              </w:rPr>
              <w:t>Efficiency</w:t>
            </w:r>
          </w:p>
        </w:tc>
      </w:tr>
      <w:tr>
        <w:tc>
          <w:tcPr>
            <w:tcW w:type="dxa" w:w="1701"/>
            <w:shd w:fill="FFFFFF" w:val="clear"/>
          </w:tcPr>
          <w:p>
            <w:r>
              <w:rPr>
                <w:sz w:val="18"/>
              </w:rPr>
            </w:r>
            <w:r>
              <w:rPr>
                <w:sz w:val="18"/>
              </w:rPr>
              <w:t>Initial Load +</w:t>
              <w:br/>
              <w:t>Incremental Updates</w:t>
            </w:r>
          </w:p>
        </w:tc>
        <w:tc>
          <w:tcPr>
            <w:tcW w:type="dxa" w:w="1701"/>
            <w:shd w:fill="FFFFFF" w:val="clear"/>
          </w:tcPr>
          <w:p>
            <w:r>
              <w:rPr>
                <w:sz w:val="18"/>
              </w:rPr>
            </w:r>
            <w:r>
              <w:rPr>
                <w:sz w:val="18"/>
              </w:rPr>
              <w:t>TX, CA, MN, FL</w:t>
            </w:r>
          </w:p>
        </w:tc>
        <w:tc>
          <w:tcPr>
            <w:tcW w:type="dxa" w:w="3118"/>
            <w:shd w:fill="FFFFFF" w:val="clear"/>
          </w:tcPr>
          <w:p>
            <w:r>
              <w:rPr>
                <w:sz w:val="18"/>
              </w:rPr>
            </w:r>
            <w:r>
              <w:rPr>
                <w:sz w:val="18"/>
              </w:rPr>
              <w:t>Purchase a one-time master file to seed the</w:t>
              <w:br/>
              <w:t>database, then subscribe to periodic updates</w:t>
              <w:br/>
              <w:t>containing only new/changed filings.</w:t>
            </w:r>
          </w:p>
        </w:tc>
        <w:tc>
          <w:tcPr>
            <w:tcW w:type="dxa" w:w="1984"/>
            <w:shd w:fill="FFFFFF" w:val="clear"/>
          </w:tcPr>
          <w:p>
            <w:r>
              <w:rPr>
                <w:sz w:val="18"/>
              </w:rPr>
            </w:r>
            <w:r>
              <w:rPr>
                <w:sz w:val="18"/>
              </w:rPr>
              <w:t>Most efficient — daily</w:t>
              <w:br/>
              <w:t>downloads are small</w:t>
              <w:br/>
              <w:t>and fast to process.</w:t>
            </w:r>
          </w:p>
        </w:tc>
      </w:tr>
      <w:tr>
        <w:tc>
          <w:tcPr>
            <w:tcW w:type="dxa" w:w="1701"/>
            <w:shd w:fill="F2F6FA" w:val="clear"/>
          </w:tcPr>
          <w:p>
            <w:r>
              <w:rPr>
                <w:sz w:val="18"/>
              </w:rPr>
            </w:r>
            <w:r>
              <w:rPr>
                <w:sz w:val="18"/>
              </w:rPr>
              <w:t>Full Replacement</w:t>
            </w:r>
          </w:p>
        </w:tc>
        <w:tc>
          <w:tcPr>
            <w:tcW w:type="dxa" w:w="1701"/>
            <w:shd w:fill="F2F6FA" w:val="clear"/>
          </w:tcPr>
          <w:p>
            <w:r>
              <w:rPr>
                <w:sz w:val="18"/>
              </w:rPr>
            </w:r>
            <w:r>
              <w:rPr>
                <w:sz w:val="18"/>
              </w:rPr>
              <w:t>ID</w:t>
            </w:r>
          </w:p>
        </w:tc>
        <w:tc>
          <w:tcPr>
            <w:tcW w:type="dxa" w:w="3118"/>
            <w:shd w:fill="F2F6FA" w:val="clear"/>
          </w:tcPr>
          <w:p>
            <w:r>
              <w:rPr>
                <w:sz w:val="18"/>
              </w:rPr>
            </w:r>
            <w:r>
              <w:rPr>
                <w:sz w:val="18"/>
              </w:rPr>
              <w:t>Each extract is the COMPLETE database.</w:t>
              <w:br/>
              <w:t>No initial load needed, but every download</w:t>
              <w:br/>
              <w:t>replaces all prior data.</w:t>
            </w:r>
          </w:p>
        </w:tc>
        <w:tc>
          <w:tcPr>
            <w:tcW w:type="dxa" w:w="1984"/>
            <w:shd w:fill="F2F6FA" w:val="clear"/>
          </w:tcPr>
          <w:p>
            <w:r>
              <w:rPr>
                <w:sz w:val="18"/>
              </w:rPr>
            </w:r>
            <w:r>
              <w:rPr>
                <w:sz w:val="18"/>
              </w:rPr>
              <w:t>Simple but less efficient</w:t>
              <w:br/>
              <w:t>— re-parses all records</w:t>
              <w:br/>
              <w:t>each cycle.</w:t>
            </w:r>
          </w:p>
        </w:tc>
      </w:tr>
      <w:tr>
        <w:tc>
          <w:tcPr>
            <w:tcW w:type="dxa" w:w="1701"/>
            <w:shd w:fill="FFFFFF" w:val="clear"/>
          </w:tcPr>
          <w:p>
            <w:r>
              <w:rPr>
                <w:sz w:val="18"/>
              </w:rPr>
            </w:r>
            <w:r>
              <w:rPr>
                <w:sz w:val="18"/>
              </w:rPr>
              <w:t>To Be Verified</w:t>
            </w:r>
          </w:p>
        </w:tc>
        <w:tc>
          <w:tcPr>
            <w:tcW w:type="dxa" w:w="1701"/>
            <w:shd w:fill="FFFFFF" w:val="clear"/>
          </w:tcPr>
          <w:p>
            <w:r>
              <w:rPr>
                <w:sz w:val="18"/>
              </w:rPr>
            </w:r>
            <w:r>
              <w:rPr>
                <w:sz w:val="18"/>
              </w:rPr>
              <w:t>KY, WV, ND, AR,</w:t>
              <w:br/>
              <w:t>IN, NY, NC, SC,</w:t>
              <w:br/>
              <w:t>SD, AZ</w:t>
            </w:r>
          </w:p>
        </w:tc>
        <w:tc>
          <w:tcPr>
            <w:tcW w:type="dxa" w:w="3118"/>
            <w:shd w:fill="FFFFFF" w:val="clear"/>
          </w:tcPr>
          <w:p>
            <w:r>
              <w:rPr>
                <w:sz w:val="18"/>
              </w:rPr>
            </w:r>
            <w:r>
              <w:rPr>
                <w:sz w:val="18"/>
              </w:rPr>
              <w:t>These states offer bulk subscriptions but we</w:t>
              <w:br/>
              <w:t>have not yet confirmed whether they deliver</w:t>
              <w:br/>
              <w:t>full dumps or incremental deltas.</w:t>
            </w:r>
          </w:p>
        </w:tc>
        <w:tc>
          <w:tcPr>
            <w:tcW w:type="dxa" w:w="1984"/>
            <w:shd w:fill="FFFFFF" w:val="clear"/>
          </w:tcPr>
          <w:p>
            <w:r>
              <w:rPr>
                <w:sz w:val="18"/>
              </w:rPr>
            </w:r>
            <w:r>
              <w:rPr>
                <w:sz w:val="18"/>
              </w:rPr>
              <w:t>Will be verified during</w:t>
              <w:br/>
              <w:t>subscription setup for</w:t>
              <w:br/>
              <w:t>each state.</w:t>
            </w:r>
          </w:p>
        </w:tc>
      </w:tr>
    </w:tbl>
    <w:p/>
    <w:p>
      <w:r>
        <w:t>The ingestion pipeline handles all three models safely. Every record is stored via an upsert operation (insert if new, update if existing) keyed on the unique combination of filing number, state, debtor name, and secured party name. This means that even full-replacement downloads will not create duplicate records — existing records are simply updated in place.</w:t>
      </w:r>
    </w:p>
    <w:p>
      <w:pPr>
        <w:pStyle w:val="Heading2"/>
      </w:pPr>
      <w:r>
        <w:t>Per-State Details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304"/>
            <w:shd w:fill="1B3A5C" w:val="clear"/>
          </w:tcPr>
          <w:p>
            <w:pPr>
              <w:jc w:val="center"/>
            </w:pPr>
            <w:r>
              <w:rPr>
                <w:b/>
                <w:color w:val="FFFFFF"/>
                <w:sz w:val="18"/>
              </w:rPr>
            </w:r>
            <w:r>
              <w:rPr>
                <w:b/>
                <w:color w:val="FFFFFF"/>
                <w:sz w:val="18"/>
              </w:rPr>
              <w:t>State</w:t>
            </w:r>
          </w:p>
        </w:tc>
        <w:tc>
          <w:tcPr>
            <w:tcW w:type="dxa" w:w="1247"/>
            <w:shd w:fill="1B3A5C" w:val="clear"/>
          </w:tcPr>
          <w:p>
            <w:pPr>
              <w:jc w:val="center"/>
            </w:pPr>
            <w:r>
              <w:rPr>
                <w:b/>
                <w:color w:val="FFFFFF"/>
                <w:sz w:val="18"/>
              </w:rPr>
            </w:r>
            <w:r>
              <w:rPr>
                <w:b/>
                <w:color w:val="FFFFFF"/>
                <w:sz w:val="18"/>
              </w:rPr>
              <w:t>Format</w:t>
            </w:r>
          </w:p>
        </w:tc>
        <w:tc>
          <w:tcPr>
            <w:tcW w:type="dxa" w:w="1020"/>
            <w:shd w:fill="1B3A5C" w:val="clear"/>
          </w:tcPr>
          <w:p>
            <w:pPr>
              <w:jc w:val="center"/>
            </w:pPr>
            <w:r>
              <w:rPr>
                <w:b/>
                <w:color w:val="FFFFFF"/>
                <w:sz w:val="18"/>
              </w:rPr>
            </w:r>
            <w:r>
              <w:rPr>
                <w:b/>
                <w:color w:val="FFFFFF"/>
                <w:sz w:val="18"/>
              </w:rPr>
              <w:t>Frequency</w:t>
            </w:r>
          </w:p>
        </w:tc>
        <w:tc>
          <w:tcPr>
            <w:tcW w:type="dxa" w:w="850"/>
            <w:shd w:fill="1B3A5C" w:val="clear"/>
          </w:tcPr>
          <w:p>
            <w:pPr>
              <w:jc w:val="center"/>
            </w:pPr>
            <w:r>
              <w:rPr>
                <w:b/>
                <w:color w:val="FFFFFF"/>
                <w:sz w:val="18"/>
              </w:rPr>
            </w:r>
            <w:r>
              <w:rPr>
                <w:b/>
                <w:color w:val="FFFFFF"/>
                <w:sz w:val="18"/>
              </w:rPr>
              <w:t>Latency</w:t>
            </w:r>
          </w:p>
        </w:tc>
        <w:tc>
          <w:tcPr>
            <w:tcW w:type="dxa" w:w="1134"/>
            <w:shd w:fill="1B3A5C" w:val="clear"/>
          </w:tcPr>
          <w:p>
            <w:pPr>
              <w:jc w:val="center"/>
            </w:pPr>
            <w:r>
              <w:rPr>
                <w:b/>
                <w:color w:val="FFFFFF"/>
                <w:sz w:val="18"/>
              </w:rPr>
            </w:r>
            <w:r>
              <w:rPr>
                <w:b/>
                <w:color w:val="FFFFFF"/>
                <w:sz w:val="18"/>
              </w:rPr>
              <w:t>Annual Cost</w:t>
            </w:r>
          </w:p>
        </w:tc>
        <w:tc>
          <w:tcPr>
            <w:tcW w:type="dxa" w:w="2948"/>
            <w:shd w:fill="1B3A5C" w:val="clear"/>
          </w:tcPr>
          <w:p>
            <w:pPr>
              <w:jc w:val="center"/>
            </w:pPr>
            <w:r>
              <w:rPr>
                <w:b/>
                <w:color w:val="FFFFFF"/>
                <w:sz w:val="18"/>
              </w:rPr>
            </w:r>
            <w:r>
              <w:rPr>
                <w:b/>
                <w:color w:val="FFFFFF"/>
                <w:sz w:val="18"/>
              </w:rPr>
              <w:t>Notes</w:t>
            </w:r>
          </w:p>
        </w:tc>
      </w:tr>
      <w:tr>
        <w:tc>
          <w:tcPr>
            <w:tcW w:type="dxa" w:w="1304"/>
            <w:shd w:fill="FFFFFF" w:val="clear"/>
          </w:tcPr>
          <w:p>
            <w:r>
              <w:rPr>
                <w:sz w:val="18"/>
              </w:rPr>
            </w:r>
            <w:r>
              <w:rPr>
                <w:sz w:val="18"/>
              </w:rPr>
              <w:t>California</w:t>
            </w:r>
          </w:p>
        </w:tc>
        <w:tc>
          <w:tcPr>
            <w:tcW w:type="dxa" w:w="1247"/>
            <w:shd w:fill="FFFFFF" w:val="clear"/>
          </w:tcPr>
          <w:p>
            <w:r>
              <w:rPr>
                <w:sz w:val="18"/>
              </w:rPr>
            </w:r>
            <w:r>
              <w:rPr>
                <w:sz w:val="18"/>
              </w:rPr>
              <w:t>XML</w:t>
            </w:r>
          </w:p>
        </w:tc>
        <w:tc>
          <w:tcPr>
            <w:tcW w:type="dxa" w:w="1020"/>
            <w:shd w:fill="FFFFFF" w:val="clear"/>
          </w:tcPr>
          <w:p>
            <w:r>
              <w:rPr>
                <w:sz w:val="18"/>
              </w:rPr>
            </w:r>
            <w:r>
              <w:rPr>
                <w:sz w:val="18"/>
              </w:rPr>
              <w:t>Weekly</w:t>
            </w:r>
          </w:p>
        </w:tc>
        <w:tc>
          <w:tcPr>
            <w:tcW w:type="dxa" w:w="850"/>
            <w:shd w:fill="FFFFFF" w:val="clear"/>
          </w:tcPr>
          <w:p>
            <w:r>
              <w:rPr>
                <w:sz w:val="18"/>
              </w:rPr>
            </w:r>
            <w:r>
              <w:rPr>
                <w:sz w:val="18"/>
              </w:rPr>
              <w:t>≤3 days</w:t>
            </w:r>
          </w:p>
        </w:tc>
        <w:tc>
          <w:tcPr>
            <w:tcW w:type="dxa" w:w="1134"/>
            <w:shd w:fill="FFFFFF" w:val="clear"/>
          </w:tcPr>
          <w:p>
            <w:r>
              <w:rPr>
                <w:sz w:val="18"/>
              </w:rPr>
            </w:r>
            <w:r>
              <w:rPr>
                <w:sz w:val="18"/>
              </w:rPr>
              <w:t>$0</w:t>
            </w:r>
          </w:p>
        </w:tc>
        <w:tc>
          <w:tcPr>
            <w:tcW w:type="dxa" w:w="2948"/>
            <w:shd w:fill="FFFFFF" w:val="clear"/>
          </w:tcPr>
          <w:p>
            <w:r>
              <w:rPr>
                <w:sz w:val="18"/>
              </w:rPr>
            </w:r>
            <w:r>
              <w:rPr>
                <w:sz w:val="18"/>
              </w:rPr>
              <w:t>Master file ($100) + free weekly updates</w:t>
            </w:r>
          </w:p>
        </w:tc>
      </w:tr>
      <w:tr>
        <w:tc>
          <w:tcPr>
            <w:tcW w:type="dxa" w:w="1304"/>
            <w:shd w:fill="F2F6FA" w:val="clear"/>
          </w:tcPr>
          <w:p>
            <w:r>
              <w:rPr>
                <w:sz w:val="18"/>
              </w:rPr>
            </w:r>
            <w:r>
              <w:rPr>
                <w:sz w:val="18"/>
              </w:rPr>
              <w:t>Texas</w:t>
            </w:r>
          </w:p>
        </w:tc>
        <w:tc>
          <w:tcPr>
            <w:tcW w:type="dxa" w:w="1247"/>
            <w:shd w:fill="F2F6FA" w:val="clear"/>
          </w:tcPr>
          <w:p>
            <w:r>
              <w:rPr>
                <w:sz w:val="18"/>
              </w:rPr>
            </w:r>
            <w:r>
              <w:rPr>
                <w:sz w:val="18"/>
              </w:rPr>
              <w:t>JSON</w:t>
            </w:r>
          </w:p>
        </w:tc>
        <w:tc>
          <w:tcPr>
            <w:tcW w:type="dxa" w:w="1020"/>
            <w:shd w:fill="F2F6FA" w:val="clear"/>
          </w:tcPr>
          <w:p>
            <w:r>
              <w:rPr>
                <w:sz w:val="18"/>
              </w:rPr>
            </w:r>
            <w:r>
              <w:rPr>
                <w:sz w:val="18"/>
              </w:rPr>
              <w:t>Daily</w:t>
            </w:r>
          </w:p>
        </w:tc>
        <w:tc>
          <w:tcPr>
            <w:tcW w:type="dxa" w:w="850"/>
            <w:shd w:fill="F2F6FA" w:val="clear"/>
          </w:tcPr>
          <w:p>
            <w:r>
              <w:rPr>
                <w:sz w:val="18"/>
              </w:rPr>
            </w:r>
            <w:r>
              <w:rPr>
                <w:sz w:val="18"/>
              </w:rPr>
              <w:t>1 day</w:t>
            </w:r>
          </w:p>
        </w:tc>
        <w:tc>
          <w:tcPr>
            <w:tcW w:type="dxa" w:w="1134"/>
            <w:shd w:fill="F2F6FA" w:val="clear"/>
          </w:tcPr>
          <w:p>
            <w:r>
              <w:rPr>
                <w:sz w:val="18"/>
              </w:rPr>
            </w:r>
            <w:r>
              <w:rPr>
                <w:sz w:val="18"/>
              </w:rPr>
              <w:t>$1,350</w:t>
            </w:r>
          </w:p>
        </w:tc>
        <w:tc>
          <w:tcPr>
            <w:tcW w:type="dxa" w:w="2948"/>
            <w:shd w:fill="F2F6FA" w:val="clear"/>
          </w:tcPr>
          <w:p>
            <w:r>
              <w:rPr>
                <w:sz w:val="18"/>
              </w:rPr>
            </w:r>
            <w:r>
              <w:rPr>
                <w:sz w:val="18"/>
              </w:rPr>
              <w:t>Master Unload + Daily Filing Data Updates</w:t>
            </w:r>
          </w:p>
        </w:tc>
      </w:tr>
      <w:tr>
        <w:tc>
          <w:tcPr>
            <w:tcW w:type="dxa" w:w="1304"/>
            <w:shd w:fill="FFFFFF" w:val="clear"/>
          </w:tcPr>
          <w:p>
            <w:r>
              <w:rPr>
                <w:sz w:val="18"/>
              </w:rPr>
            </w:r>
            <w:r>
              <w:rPr>
                <w:sz w:val="18"/>
              </w:rPr>
              <w:t>Kentucky</w:t>
            </w:r>
          </w:p>
        </w:tc>
        <w:tc>
          <w:tcPr>
            <w:tcW w:type="dxa" w:w="1247"/>
            <w:shd w:fill="FFFFFF" w:val="clear"/>
          </w:tcPr>
          <w:p>
            <w:r>
              <w:rPr>
                <w:sz w:val="18"/>
              </w:rPr>
            </w:r>
            <w:r>
              <w:rPr>
                <w:sz w:val="18"/>
              </w:rPr>
              <w:t>CSV</w:t>
            </w:r>
          </w:p>
        </w:tc>
        <w:tc>
          <w:tcPr>
            <w:tcW w:type="dxa" w:w="1020"/>
            <w:shd w:fill="FFFFFF" w:val="clear"/>
          </w:tcPr>
          <w:p>
            <w:r>
              <w:rPr>
                <w:sz w:val="18"/>
              </w:rPr>
            </w:r>
            <w:r>
              <w:rPr>
                <w:sz w:val="18"/>
              </w:rPr>
              <w:t>Daily</w:t>
            </w:r>
          </w:p>
        </w:tc>
        <w:tc>
          <w:tcPr>
            <w:tcW w:type="dxa" w:w="850"/>
            <w:shd w:fill="FFFFFF" w:val="clear"/>
          </w:tcPr>
          <w:p>
            <w:r>
              <w:rPr>
                <w:sz w:val="18"/>
              </w:rPr>
            </w:r>
            <w:r>
              <w:rPr>
                <w:sz w:val="18"/>
              </w:rPr>
              <w:t>1 day</w:t>
            </w:r>
          </w:p>
        </w:tc>
        <w:tc>
          <w:tcPr>
            <w:tcW w:type="dxa" w:w="1134"/>
            <w:shd w:fill="FFFFFF" w:val="clear"/>
          </w:tcPr>
          <w:p>
            <w:r>
              <w:rPr>
                <w:sz w:val="18"/>
              </w:rPr>
            </w:r>
            <w:r>
              <w:rPr>
                <w:sz w:val="18"/>
              </w:rPr>
              <w:t>$18,000</w:t>
            </w:r>
          </w:p>
        </w:tc>
        <w:tc>
          <w:tcPr>
            <w:tcW w:type="dxa" w:w="2948"/>
            <w:shd w:fill="FFFFFF" w:val="clear"/>
          </w:tcPr>
          <w:p>
            <w:r>
              <w:rPr>
                <w:sz w:val="18"/>
              </w:rPr>
            </w:r>
            <w:r>
              <w:rPr>
                <w:sz w:val="18"/>
              </w:rPr>
              <w:t>$1,500/mo; delivery model TBD</w:t>
            </w:r>
          </w:p>
        </w:tc>
      </w:tr>
      <w:tr>
        <w:tc>
          <w:tcPr>
            <w:tcW w:type="dxa" w:w="1304"/>
            <w:shd w:fill="F2F6FA" w:val="clear"/>
          </w:tcPr>
          <w:p>
            <w:r>
              <w:rPr>
                <w:sz w:val="18"/>
              </w:rPr>
            </w:r>
            <w:r>
              <w:rPr>
                <w:sz w:val="18"/>
              </w:rPr>
              <w:t>West Virginia</w:t>
            </w:r>
          </w:p>
        </w:tc>
        <w:tc>
          <w:tcPr>
            <w:tcW w:type="dxa" w:w="1247"/>
            <w:shd w:fill="F2F6FA" w:val="clear"/>
          </w:tcPr>
          <w:p>
            <w:r>
              <w:rPr>
                <w:sz w:val="18"/>
              </w:rPr>
            </w:r>
            <w:r>
              <w:rPr>
                <w:sz w:val="18"/>
              </w:rPr>
              <w:t>CSV</w:t>
            </w:r>
          </w:p>
        </w:tc>
        <w:tc>
          <w:tcPr>
            <w:tcW w:type="dxa" w:w="1020"/>
            <w:shd w:fill="F2F6FA" w:val="clear"/>
          </w:tcPr>
          <w:p>
            <w:r>
              <w:rPr>
                <w:sz w:val="18"/>
              </w:rPr>
            </w:r>
            <w:r>
              <w:rPr>
                <w:sz w:val="18"/>
              </w:rPr>
              <w:t>Weekly</w:t>
            </w:r>
          </w:p>
        </w:tc>
        <w:tc>
          <w:tcPr>
            <w:tcW w:type="dxa" w:w="850"/>
            <w:shd w:fill="F2F6FA" w:val="clear"/>
          </w:tcPr>
          <w:p>
            <w:r>
              <w:rPr>
                <w:sz w:val="18"/>
              </w:rPr>
            </w:r>
            <w:r>
              <w:rPr>
                <w:sz w:val="18"/>
              </w:rPr>
              <w:t>≤3 days</w:t>
            </w:r>
          </w:p>
        </w:tc>
        <w:tc>
          <w:tcPr>
            <w:tcW w:type="dxa" w:w="1134"/>
            <w:shd w:fill="F2F6FA" w:val="clear"/>
          </w:tcPr>
          <w:p>
            <w:r>
              <w:rPr>
                <w:sz w:val="18"/>
              </w:rPr>
            </w:r>
            <w:r>
              <w:rPr>
                <w:sz w:val="18"/>
              </w:rPr>
              <w:t>$5,000</w:t>
            </w:r>
          </w:p>
        </w:tc>
        <w:tc>
          <w:tcPr>
            <w:tcW w:type="dxa" w:w="2948"/>
            <w:shd w:fill="F2F6FA" w:val="clear"/>
          </w:tcPr>
          <w:p>
            <w:r>
              <w:rPr>
                <w:sz w:val="18"/>
              </w:rPr>
            </w:r>
            <w:r>
              <w:rPr>
                <w:sz w:val="18"/>
              </w:rPr>
              <w:t>3 files per week; delivery model TBD</w:t>
            </w:r>
          </w:p>
        </w:tc>
      </w:tr>
      <w:tr>
        <w:tc>
          <w:tcPr>
            <w:tcW w:type="dxa" w:w="1304"/>
            <w:shd w:fill="FFFFFF" w:val="clear"/>
          </w:tcPr>
          <w:p>
            <w:r>
              <w:rPr>
                <w:sz w:val="18"/>
              </w:rPr>
            </w:r>
            <w:r>
              <w:rPr>
                <w:sz w:val="18"/>
              </w:rPr>
              <w:t>Idaho</w:t>
            </w:r>
          </w:p>
        </w:tc>
        <w:tc>
          <w:tcPr>
            <w:tcW w:type="dxa" w:w="1247"/>
            <w:shd w:fill="FFFFFF" w:val="clear"/>
          </w:tcPr>
          <w:p>
            <w:r>
              <w:rPr>
                <w:sz w:val="18"/>
              </w:rPr>
            </w:r>
            <w:r>
              <w:rPr>
                <w:sz w:val="18"/>
              </w:rPr>
              <w:t>Tab-delimited</w:t>
            </w:r>
          </w:p>
        </w:tc>
        <w:tc>
          <w:tcPr>
            <w:tcW w:type="dxa" w:w="1020"/>
            <w:shd w:fill="FFFFFF" w:val="clear"/>
          </w:tcPr>
          <w:p>
            <w:r>
              <w:rPr>
                <w:sz w:val="18"/>
              </w:rPr>
            </w:r>
            <w:r>
              <w:rPr>
                <w:sz w:val="18"/>
              </w:rPr>
              <w:t>Biweekly</w:t>
            </w:r>
          </w:p>
        </w:tc>
        <w:tc>
          <w:tcPr>
            <w:tcW w:type="dxa" w:w="850"/>
            <w:shd w:fill="FFFFFF" w:val="clear"/>
          </w:tcPr>
          <w:p>
            <w:r>
              <w:rPr>
                <w:sz w:val="18"/>
              </w:rPr>
            </w:r>
            <w:r>
              <w:rPr>
                <w:sz w:val="18"/>
              </w:rPr>
              <w:t>≤3 days</w:t>
            </w:r>
          </w:p>
        </w:tc>
        <w:tc>
          <w:tcPr>
            <w:tcW w:type="dxa" w:w="1134"/>
            <w:shd w:fill="FFFFFF" w:val="clear"/>
          </w:tcPr>
          <w:p>
            <w:r>
              <w:rPr>
                <w:sz w:val="18"/>
              </w:rPr>
            </w:r>
            <w:r>
              <w:rPr>
                <w:sz w:val="18"/>
              </w:rPr>
              <w:t>$3,250</w:t>
            </w:r>
          </w:p>
        </w:tc>
        <w:tc>
          <w:tcPr>
            <w:tcW w:type="dxa" w:w="2948"/>
            <w:shd w:fill="FFFFFF" w:val="clear"/>
          </w:tcPr>
          <w:p>
            <w:r>
              <w:rPr>
                <w:sz w:val="18"/>
              </w:rPr>
            </w:r>
            <w:r>
              <w:rPr>
                <w:sz w:val="18"/>
              </w:rPr>
              <w:t>Full replacement each extract</w:t>
            </w:r>
          </w:p>
        </w:tc>
      </w:tr>
      <w:tr>
        <w:tc>
          <w:tcPr>
            <w:tcW w:type="dxa" w:w="1304"/>
            <w:shd w:fill="F2F6FA" w:val="clear"/>
          </w:tcPr>
          <w:p>
            <w:r>
              <w:rPr>
                <w:sz w:val="18"/>
              </w:rPr>
            </w:r>
            <w:r>
              <w:rPr>
                <w:sz w:val="18"/>
              </w:rPr>
              <w:t>North Dakota</w:t>
            </w:r>
          </w:p>
        </w:tc>
        <w:tc>
          <w:tcPr>
            <w:tcW w:type="dxa" w:w="1247"/>
            <w:shd w:fill="F2F6FA" w:val="clear"/>
          </w:tcPr>
          <w:p>
            <w:r>
              <w:rPr>
                <w:sz w:val="18"/>
              </w:rPr>
            </w:r>
            <w:r>
              <w:rPr>
                <w:sz w:val="18"/>
              </w:rPr>
              <w:t>CSV</w:t>
            </w:r>
          </w:p>
        </w:tc>
        <w:tc>
          <w:tcPr>
            <w:tcW w:type="dxa" w:w="1020"/>
            <w:shd w:fill="F2F6FA" w:val="clear"/>
          </w:tcPr>
          <w:p>
            <w:r>
              <w:rPr>
                <w:sz w:val="18"/>
              </w:rPr>
            </w:r>
            <w:r>
              <w:rPr>
                <w:sz w:val="18"/>
              </w:rPr>
              <w:t>Biweekly</w:t>
            </w:r>
          </w:p>
        </w:tc>
        <w:tc>
          <w:tcPr>
            <w:tcW w:type="dxa" w:w="850"/>
            <w:shd w:fill="F2F6FA" w:val="clear"/>
          </w:tcPr>
          <w:p>
            <w:r>
              <w:rPr>
                <w:sz w:val="18"/>
              </w:rPr>
            </w:r>
            <w:r>
              <w:rPr>
                <w:sz w:val="18"/>
              </w:rPr>
              <w:t>≤3 days</w:t>
            </w:r>
          </w:p>
        </w:tc>
        <w:tc>
          <w:tcPr>
            <w:tcW w:type="dxa" w:w="1134"/>
            <w:shd w:fill="F2F6FA" w:val="clear"/>
          </w:tcPr>
          <w:p>
            <w:r>
              <w:rPr>
                <w:sz w:val="18"/>
              </w:rPr>
            </w:r>
            <w:r>
              <w:rPr>
                <w:sz w:val="18"/>
              </w:rPr>
              <w:t>$480</w:t>
            </w:r>
          </w:p>
        </w:tc>
        <w:tc>
          <w:tcPr>
            <w:tcW w:type="dxa" w:w="2948"/>
            <w:shd w:fill="F2F6FA" w:val="clear"/>
          </w:tcPr>
          <w:p>
            <w:r>
              <w:rPr>
                <w:sz w:val="18"/>
              </w:rPr>
            </w:r>
            <w:r>
              <w:rPr>
                <w:sz w:val="18"/>
              </w:rPr>
              <w:t>$40/mo; delivery model TBD</w:t>
            </w:r>
          </w:p>
        </w:tc>
      </w:tr>
      <w:tr>
        <w:tc>
          <w:tcPr>
            <w:tcW w:type="dxa" w:w="1304"/>
            <w:shd w:fill="FFFFFF" w:val="clear"/>
          </w:tcPr>
          <w:p>
            <w:r>
              <w:rPr>
                <w:sz w:val="18"/>
              </w:rPr>
            </w:r>
            <w:r>
              <w:rPr>
                <w:sz w:val="18"/>
              </w:rPr>
              <w:t>Minnesota</w:t>
            </w:r>
          </w:p>
        </w:tc>
        <w:tc>
          <w:tcPr>
            <w:tcW w:type="dxa" w:w="1247"/>
            <w:shd w:fill="FFFFFF" w:val="clear"/>
          </w:tcPr>
          <w:p>
            <w:r>
              <w:rPr>
                <w:sz w:val="18"/>
              </w:rPr>
            </w:r>
            <w:r>
              <w:rPr>
                <w:sz w:val="18"/>
              </w:rPr>
              <w:t>CSV</w:t>
            </w:r>
          </w:p>
        </w:tc>
        <w:tc>
          <w:tcPr>
            <w:tcW w:type="dxa" w:w="1020"/>
            <w:shd w:fill="FFFFFF" w:val="clear"/>
          </w:tcPr>
          <w:p>
            <w:r>
              <w:rPr>
                <w:sz w:val="18"/>
              </w:rPr>
            </w:r>
            <w:r>
              <w:rPr>
                <w:sz w:val="18"/>
              </w:rPr>
              <w:t>Weekly</w:t>
            </w:r>
          </w:p>
        </w:tc>
        <w:tc>
          <w:tcPr>
            <w:tcW w:type="dxa" w:w="850"/>
            <w:shd w:fill="FFFFFF" w:val="clear"/>
          </w:tcPr>
          <w:p>
            <w:r>
              <w:rPr>
                <w:sz w:val="18"/>
              </w:rPr>
            </w:r>
            <w:r>
              <w:rPr>
                <w:sz w:val="18"/>
              </w:rPr>
              <w:t>≤3 days</w:t>
            </w:r>
          </w:p>
        </w:tc>
        <w:tc>
          <w:tcPr>
            <w:tcW w:type="dxa" w:w="1134"/>
            <w:shd w:fill="FFFFFF" w:val="clear"/>
          </w:tcPr>
          <w:p>
            <w:r>
              <w:rPr>
                <w:sz w:val="18"/>
              </w:rPr>
            </w:r>
            <w:r>
              <w:rPr>
                <w:sz w:val="18"/>
              </w:rPr>
              <w:t>$5,000</w:t>
            </w:r>
          </w:p>
        </w:tc>
        <w:tc>
          <w:tcPr>
            <w:tcW w:type="dxa" w:w="2948"/>
            <w:shd w:fill="FFFFFF" w:val="clear"/>
          </w:tcPr>
          <w:p>
            <w:r>
              <w:rPr>
                <w:sz w:val="18"/>
              </w:rPr>
            </w:r>
            <w:r>
              <w:rPr>
                <w:sz w:val="18"/>
              </w:rPr>
              <w:t>Initial dataset + weekly updates</w:t>
            </w:r>
          </w:p>
        </w:tc>
      </w:tr>
      <w:tr>
        <w:tc>
          <w:tcPr>
            <w:tcW w:type="dxa" w:w="1304"/>
            <w:shd w:fill="F2F6FA" w:val="clear"/>
          </w:tcPr>
          <w:p>
            <w:r>
              <w:rPr>
                <w:sz w:val="18"/>
              </w:rPr>
            </w:r>
            <w:r>
              <w:rPr>
                <w:sz w:val="18"/>
              </w:rPr>
              <w:t>Arkansas</w:t>
            </w:r>
          </w:p>
        </w:tc>
        <w:tc>
          <w:tcPr>
            <w:tcW w:type="dxa" w:w="1247"/>
            <w:shd w:fill="F2F6FA" w:val="clear"/>
          </w:tcPr>
          <w:p>
            <w:r>
              <w:rPr>
                <w:sz w:val="18"/>
              </w:rPr>
            </w:r>
            <w:r>
              <w:rPr>
                <w:sz w:val="18"/>
              </w:rPr>
              <w:t>CSV</w:t>
            </w:r>
          </w:p>
        </w:tc>
        <w:tc>
          <w:tcPr>
            <w:tcW w:type="dxa" w:w="1020"/>
            <w:shd w:fill="F2F6FA" w:val="clear"/>
          </w:tcPr>
          <w:p>
            <w:r>
              <w:rPr>
                <w:sz w:val="18"/>
              </w:rPr>
            </w:r>
            <w:r>
              <w:rPr>
                <w:sz w:val="18"/>
              </w:rPr>
              <w:t>Weekly</w:t>
            </w:r>
          </w:p>
        </w:tc>
        <w:tc>
          <w:tcPr>
            <w:tcW w:type="dxa" w:w="850"/>
            <w:shd w:fill="F2F6FA" w:val="clear"/>
          </w:tcPr>
          <w:p>
            <w:r>
              <w:rPr>
                <w:sz w:val="18"/>
              </w:rPr>
            </w:r>
            <w:r>
              <w:rPr>
                <w:sz w:val="18"/>
              </w:rPr>
              <w:t>≤3 days</w:t>
            </w:r>
          </w:p>
        </w:tc>
        <w:tc>
          <w:tcPr>
            <w:tcW w:type="dxa" w:w="1134"/>
            <w:shd w:fill="F2F6FA" w:val="clear"/>
          </w:tcPr>
          <w:p>
            <w:r>
              <w:rPr>
                <w:sz w:val="18"/>
              </w:rPr>
            </w:r>
            <w:r>
              <w:rPr>
                <w:sz w:val="18"/>
              </w:rPr>
              <w:t>$150</w:t>
            </w:r>
          </w:p>
        </w:tc>
        <w:tc>
          <w:tcPr>
            <w:tcW w:type="dxa" w:w="2948"/>
            <w:shd w:fill="F2F6FA" w:val="clear"/>
          </w:tcPr>
          <w:p>
            <w:r>
              <w:rPr>
                <w:sz w:val="18"/>
              </w:rPr>
            </w:r>
            <w:r>
              <w:rPr>
                <w:sz w:val="18"/>
              </w:rPr>
              <w:t>$150/yr INA; delivery model TBD</w:t>
            </w:r>
          </w:p>
        </w:tc>
      </w:tr>
      <w:tr>
        <w:tc>
          <w:tcPr>
            <w:tcW w:type="dxa" w:w="1304"/>
            <w:shd w:fill="FFFFFF" w:val="clear"/>
          </w:tcPr>
          <w:p>
            <w:r>
              <w:rPr>
                <w:sz w:val="18"/>
              </w:rPr>
            </w:r>
            <w:r>
              <w:rPr>
                <w:sz w:val="18"/>
              </w:rPr>
              <w:t>Indiana</w:t>
            </w:r>
          </w:p>
        </w:tc>
        <w:tc>
          <w:tcPr>
            <w:tcW w:type="dxa" w:w="1247"/>
            <w:shd w:fill="FFFFFF" w:val="clear"/>
          </w:tcPr>
          <w:p>
            <w:r>
              <w:rPr>
                <w:sz w:val="18"/>
              </w:rPr>
            </w:r>
            <w:r>
              <w:rPr>
                <w:sz w:val="18"/>
              </w:rPr>
              <w:t>XML (IACA v4.0)</w:t>
            </w:r>
          </w:p>
        </w:tc>
        <w:tc>
          <w:tcPr>
            <w:tcW w:type="dxa" w:w="1020"/>
            <w:shd w:fill="FFFFFF" w:val="clear"/>
          </w:tcPr>
          <w:p>
            <w:r>
              <w:rPr>
                <w:sz w:val="18"/>
              </w:rPr>
            </w:r>
            <w:r>
              <w:rPr>
                <w:sz w:val="18"/>
              </w:rPr>
              <w:t>Weekly</w:t>
            </w:r>
          </w:p>
        </w:tc>
        <w:tc>
          <w:tcPr>
            <w:tcW w:type="dxa" w:w="850"/>
            <w:shd w:fill="FFFFFF" w:val="clear"/>
          </w:tcPr>
          <w:p>
            <w:r>
              <w:rPr>
                <w:sz w:val="18"/>
              </w:rPr>
            </w:r>
            <w:r>
              <w:rPr>
                <w:sz w:val="18"/>
              </w:rPr>
              <w:t>≤3 days</w:t>
            </w:r>
          </w:p>
        </w:tc>
        <w:tc>
          <w:tcPr>
            <w:tcW w:type="dxa" w:w="1134"/>
            <w:shd w:fill="FFFFFF" w:val="clear"/>
          </w:tcPr>
          <w:p>
            <w:r>
              <w:rPr>
                <w:sz w:val="18"/>
              </w:rPr>
            </w:r>
            <w:r>
              <w:rPr>
                <w:sz w:val="18"/>
              </w:rPr>
              <w:t>$2,000</w:t>
            </w:r>
          </w:p>
        </w:tc>
        <w:tc>
          <w:tcPr>
            <w:tcW w:type="dxa" w:w="2948"/>
            <w:shd w:fill="FFFFFF" w:val="clear"/>
          </w:tcPr>
          <w:p>
            <w:r>
              <w:rPr>
                <w:sz w:val="18"/>
              </w:rPr>
            </w:r>
            <w:r>
              <w:rPr>
                <w:sz w:val="18"/>
              </w:rPr>
              <w:t>REST API via INBiz; model TBD</w:t>
            </w:r>
          </w:p>
        </w:tc>
      </w:tr>
      <w:tr>
        <w:tc>
          <w:tcPr>
            <w:tcW w:type="dxa" w:w="1304"/>
            <w:shd w:fill="F2F6FA" w:val="clear"/>
          </w:tcPr>
          <w:p>
            <w:r>
              <w:rPr>
                <w:sz w:val="18"/>
              </w:rPr>
            </w:r>
            <w:r>
              <w:rPr>
                <w:sz w:val="18"/>
              </w:rPr>
              <w:t>New York</w:t>
            </w:r>
          </w:p>
        </w:tc>
        <w:tc>
          <w:tcPr>
            <w:tcW w:type="dxa" w:w="1247"/>
            <w:shd w:fill="F2F6FA" w:val="clear"/>
          </w:tcPr>
          <w:p>
            <w:r>
              <w:rPr>
                <w:sz w:val="18"/>
              </w:rPr>
            </w:r>
            <w:r>
              <w:rPr>
                <w:sz w:val="18"/>
              </w:rPr>
              <w:t>XML</w:t>
            </w:r>
          </w:p>
        </w:tc>
        <w:tc>
          <w:tcPr>
            <w:tcW w:type="dxa" w:w="1020"/>
            <w:shd w:fill="F2F6FA" w:val="clear"/>
          </w:tcPr>
          <w:p>
            <w:r>
              <w:rPr>
                <w:sz w:val="18"/>
              </w:rPr>
            </w:r>
            <w:r>
              <w:rPr>
                <w:sz w:val="18"/>
              </w:rPr>
              <w:t>Weekly</w:t>
            </w:r>
          </w:p>
        </w:tc>
        <w:tc>
          <w:tcPr>
            <w:tcW w:type="dxa" w:w="850"/>
            <w:shd w:fill="F2F6FA" w:val="clear"/>
          </w:tcPr>
          <w:p>
            <w:r>
              <w:rPr>
                <w:sz w:val="18"/>
              </w:rPr>
            </w:r>
            <w:r>
              <w:rPr>
                <w:sz w:val="18"/>
              </w:rPr>
              <w:t>≤3 days</w:t>
            </w:r>
          </w:p>
        </w:tc>
        <w:tc>
          <w:tcPr>
            <w:tcW w:type="dxa" w:w="1134"/>
            <w:shd w:fill="F2F6FA" w:val="clear"/>
          </w:tcPr>
          <w:p>
            <w:r>
              <w:rPr>
                <w:sz w:val="18"/>
              </w:rPr>
            </w:r>
            <w:r>
              <w:rPr>
                <w:sz w:val="18"/>
              </w:rPr>
              <w:t>$3,600</w:t>
            </w:r>
          </w:p>
        </w:tc>
        <w:tc>
          <w:tcPr>
            <w:tcW w:type="dxa" w:w="2948"/>
            <w:shd w:fill="F2F6FA" w:val="clear"/>
          </w:tcPr>
          <w:p>
            <w:r>
              <w:rPr>
                <w:sz w:val="18"/>
              </w:rPr>
            </w:r>
            <w:r>
              <w:rPr>
                <w:sz w:val="18"/>
              </w:rPr>
              <w:t>$300/mo subscription; model TBD</w:t>
            </w:r>
          </w:p>
        </w:tc>
      </w:tr>
      <w:tr>
        <w:tc>
          <w:tcPr>
            <w:tcW w:type="dxa" w:w="1304"/>
            <w:shd w:fill="FFFFFF" w:val="clear"/>
          </w:tcPr>
          <w:p>
            <w:r>
              <w:rPr>
                <w:sz w:val="18"/>
              </w:rPr>
            </w:r>
            <w:r>
              <w:rPr>
                <w:sz w:val="18"/>
              </w:rPr>
              <w:t>North Carolina</w:t>
            </w:r>
          </w:p>
        </w:tc>
        <w:tc>
          <w:tcPr>
            <w:tcW w:type="dxa" w:w="1247"/>
            <w:shd w:fill="FFFFFF" w:val="clear"/>
          </w:tcPr>
          <w:p>
            <w:r>
              <w:rPr>
                <w:sz w:val="18"/>
              </w:rPr>
            </w:r>
            <w:r>
              <w:rPr>
                <w:sz w:val="18"/>
              </w:rPr>
              <w:t>CSV</w:t>
            </w:r>
          </w:p>
        </w:tc>
        <w:tc>
          <w:tcPr>
            <w:tcW w:type="dxa" w:w="1020"/>
            <w:shd w:fill="FFFFFF" w:val="clear"/>
          </w:tcPr>
          <w:p>
            <w:r>
              <w:rPr>
                <w:sz w:val="18"/>
              </w:rPr>
            </w:r>
            <w:r>
              <w:rPr>
                <w:sz w:val="18"/>
              </w:rPr>
              <w:t>Weekly</w:t>
            </w:r>
          </w:p>
        </w:tc>
        <w:tc>
          <w:tcPr>
            <w:tcW w:type="dxa" w:w="850"/>
            <w:shd w:fill="FFFFFF" w:val="clear"/>
          </w:tcPr>
          <w:p>
            <w:r>
              <w:rPr>
                <w:sz w:val="18"/>
              </w:rPr>
            </w:r>
            <w:r>
              <w:rPr>
                <w:sz w:val="18"/>
              </w:rPr>
              <w:t>≤3 days</w:t>
            </w:r>
          </w:p>
        </w:tc>
        <w:tc>
          <w:tcPr>
            <w:tcW w:type="dxa" w:w="1134"/>
            <w:shd w:fill="FFFFFF" w:val="clear"/>
          </w:tcPr>
          <w:p>
            <w:r>
              <w:rPr>
                <w:sz w:val="18"/>
              </w:rPr>
            </w:r>
            <w:r>
              <w:rPr>
                <w:sz w:val="18"/>
              </w:rPr>
              <w:t>$5,000</w:t>
            </w:r>
          </w:p>
        </w:tc>
        <w:tc>
          <w:tcPr>
            <w:tcW w:type="dxa" w:w="2948"/>
            <w:shd w:fill="FFFFFF" w:val="clear"/>
          </w:tcPr>
          <w:p>
            <w:r>
              <w:rPr>
                <w:sz w:val="18"/>
              </w:rPr>
            </w:r>
            <w:r>
              <w:rPr>
                <w:sz w:val="18"/>
              </w:rPr>
              <w:t>Contract-based; model TBD</w:t>
            </w:r>
          </w:p>
        </w:tc>
      </w:tr>
      <w:tr>
        <w:tc>
          <w:tcPr>
            <w:tcW w:type="dxa" w:w="1304"/>
            <w:shd w:fill="F2F6FA" w:val="clear"/>
          </w:tcPr>
          <w:p>
            <w:r>
              <w:rPr>
                <w:sz w:val="18"/>
              </w:rPr>
            </w:r>
            <w:r>
              <w:rPr>
                <w:sz w:val="18"/>
              </w:rPr>
              <w:t>South Carolina</w:t>
            </w:r>
          </w:p>
        </w:tc>
        <w:tc>
          <w:tcPr>
            <w:tcW w:type="dxa" w:w="1247"/>
            <w:shd w:fill="F2F6FA" w:val="clear"/>
          </w:tcPr>
          <w:p>
            <w:r>
              <w:rPr>
                <w:sz w:val="18"/>
              </w:rPr>
            </w:r>
            <w:r>
              <w:rPr>
                <w:sz w:val="18"/>
              </w:rPr>
              <w:t>CSV</w:t>
            </w:r>
          </w:p>
        </w:tc>
        <w:tc>
          <w:tcPr>
            <w:tcW w:type="dxa" w:w="1020"/>
            <w:shd w:fill="F2F6FA" w:val="clear"/>
          </w:tcPr>
          <w:p>
            <w:r>
              <w:rPr>
                <w:sz w:val="18"/>
              </w:rPr>
            </w:r>
            <w:r>
              <w:rPr>
                <w:sz w:val="18"/>
              </w:rPr>
              <w:t>Weekly</w:t>
            </w:r>
          </w:p>
        </w:tc>
        <w:tc>
          <w:tcPr>
            <w:tcW w:type="dxa" w:w="850"/>
            <w:shd w:fill="F2F6FA" w:val="clear"/>
          </w:tcPr>
          <w:p>
            <w:r>
              <w:rPr>
                <w:sz w:val="18"/>
              </w:rPr>
            </w:r>
            <w:r>
              <w:rPr>
                <w:sz w:val="18"/>
              </w:rPr>
              <w:t>≤3 days</w:t>
            </w:r>
          </w:p>
        </w:tc>
        <w:tc>
          <w:tcPr>
            <w:tcW w:type="dxa" w:w="1134"/>
            <w:shd w:fill="F2F6FA" w:val="clear"/>
          </w:tcPr>
          <w:p>
            <w:r>
              <w:rPr>
                <w:sz w:val="18"/>
              </w:rPr>
            </w:r>
            <w:r>
              <w:rPr>
                <w:sz w:val="18"/>
              </w:rPr>
              <w:t>$54,000</w:t>
            </w:r>
          </w:p>
        </w:tc>
        <w:tc>
          <w:tcPr>
            <w:tcW w:type="dxa" w:w="2948"/>
            <w:shd w:fill="F2F6FA" w:val="clear"/>
          </w:tcPr>
          <w:p>
            <w:r>
              <w:rPr>
                <w:sz w:val="18"/>
              </w:rPr>
            </w:r>
            <w:r>
              <w:rPr>
                <w:sz w:val="18"/>
              </w:rPr>
              <w:t>$4,500/mo; delivery model TBD</w:t>
            </w:r>
          </w:p>
        </w:tc>
      </w:tr>
      <w:tr>
        <w:tc>
          <w:tcPr>
            <w:tcW w:type="dxa" w:w="1304"/>
            <w:shd w:fill="FFFFFF" w:val="clear"/>
          </w:tcPr>
          <w:p>
            <w:r>
              <w:rPr>
                <w:sz w:val="18"/>
              </w:rPr>
            </w:r>
            <w:r>
              <w:rPr>
                <w:sz w:val="18"/>
              </w:rPr>
              <w:t>South Dakota</w:t>
            </w:r>
          </w:p>
        </w:tc>
        <w:tc>
          <w:tcPr>
            <w:tcW w:type="dxa" w:w="1247"/>
            <w:shd w:fill="FFFFFF" w:val="clear"/>
          </w:tcPr>
          <w:p>
            <w:r>
              <w:rPr>
                <w:sz w:val="18"/>
              </w:rPr>
            </w:r>
            <w:r>
              <w:rPr>
                <w:sz w:val="18"/>
              </w:rPr>
              <w:t>CSV</w:t>
            </w:r>
          </w:p>
        </w:tc>
        <w:tc>
          <w:tcPr>
            <w:tcW w:type="dxa" w:w="1020"/>
            <w:shd w:fill="FFFFFF" w:val="clear"/>
          </w:tcPr>
          <w:p>
            <w:r>
              <w:rPr>
                <w:sz w:val="18"/>
              </w:rPr>
            </w:r>
            <w:r>
              <w:rPr>
                <w:sz w:val="18"/>
              </w:rPr>
              <w:t>Weekly</w:t>
            </w:r>
          </w:p>
        </w:tc>
        <w:tc>
          <w:tcPr>
            <w:tcW w:type="dxa" w:w="850"/>
            <w:shd w:fill="FFFFFF" w:val="clear"/>
          </w:tcPr>
          <w:p>
            <w:r>
              <w:rPr>
                <w:sz w:val="18"/>
              </w:rPr>
            </w:r>
            <w:r>
              <w:rPr>
                <w:sz w:val="18"/>
              </w:rPr>
              <w:t>≤3 days</w:t>
            </w:r>
          </w:p>
        </w:tc>
        <w:tc>
          <w:tcPr>
            <w:tcW w:type="dxa" w:w="1134"/>
            <w:shd w:fill="FFFFFF" w:val="clear"/>
          </w:tcPr>
          <w:p>
            <w:r>
              <w:rPr>
                <w:sz w:val="18"/>
              </w:rPr>
            </w:r>
            <w:r>
              <w:rPr>
                <w:sz w:val="18"/>
              </w:rPr>
              <w:t>$1,000</w:t>
            </w:r>
          </w:p>
        </w:tc>
        <w:tc>
          <w:tcPr>
            <w:tcW w:type="dxa" w:w="2948"/>
            <w:shd w:fill="FFFFFF" w:val="clear"/>
          </w:tcPr>
          <w:p>
            <w:r>
              <w:rPr>
                <w:sz w:val="18"/>
              </w:rPr>
            </w:r>
            <w:r>
              <w:rPr>
                <w:sz w:val="18"/>
              </w:rPr>
              <w:t>Subscription-based; model TBD</w:t>
            </w:r>
          </w:p>
        </w:tc>
      </w:tr>
      <w:tr>
        <w:tc>
          <w:tcPr>
            <w:tcW w:type="dxa" w:w="1304"/>
            <w:shd w:fill="F2F6FA" w:val="clear"/>
          </w:tcPr>
          <w:p>
            <w:r>
              <w:rPr>
                <w:sz w:val="18"/>
              </w:rPr>
            </w:r>
            <w:r>
              <w:rPr>
                <w:sz w:val="18"/>
              </w:rPr>
              <w:t>Arizona</w:t>
            </w:r>
          </w:p>
        </w:tc>
        <w:tc>
          <w:tcPr>
            <w:tcW w:type="dxa" w:w="1247"/>
            <w:shd w:fill="F2F6FA" w:val="clear"/>
          </w:tcPr>
          <w:p>
            <w:r>
              <w:rPr>
                <w:sz w:val="18"/>
              </w:rPr>
            </w:r>
            <w:r>
              <w:rPr>
                <w:sz w:val="18"/>
              </w:rPr>
              <w:t>CSV</w:t>
            </w:r>
          </w:p>
        </w:tc>
        <w:tc>
          <w:tcPr>
            <w:tcW w:type="dxa" w:w="1020"/>
            <w:shd w:fill="F2F6FA" w:val="clear"/>
          </w:tcPr>
          <w:p>
            <w:r>
              <w:rPr>
                <w:sz w:val="18"/>
              </w:rPr>
            </w:r>
            <w:r>
              <w:rPr>
                <w:sz w:val="18"/>
              </w:rPr>
              <w:t>Monthly</w:t>
            </w:r>
          </w:p>
        </w:tc>
        <w:tc>
          <w:tcPr>
            <w:tcW w:type="dxa" w:w="850"/>
            <w:shd w:fill="F2F6FA" w:val="clear"/>
          </w:tcPr>
          <w:p>
            <w:r>
              <w:rPr>
                <w:sz w:val="18"/>
              </w:rPr>
            </w:r>
            <w:r>
              <w:rPr>
                <w:sz w:val="18"/>
              </w:rPr>
              <w:t>≤3 days*</w:t>
            </w:r>
          </w:p>
        </w:tc>
        <w:tc>
          <w:tcPr>
            <w:tcW w:type="dxa" w:w="1134"/>
            <w:shd w:fill="F2F6FA" w:val="clear"/>
          </w:tcPr>
          <w:p>
            <w:r>
              <w:rPr>
                <w:sz w:val="18"/>
              </w:rPr>
            </w:r>
            <w:r>
              <w:rPr>
                <w:sz w:val="18"/>
              </w:rPr>
              <w:t>$2,000</w:t>
            </w:r>
          </w:p>
        </w:tc>
        <w:tc>
          <w:tcPr>
            <w:tcW w:type="dxa" w:w="2948"/>
            <w:shd w:fill="F2F6FA" w:val="clear"/>
          </w:tcPr>
          <w:p>
            <w:r>
              <w:rPr>
                <w:sz w:val="18"/>
              </w:rPr>
            </w:r>
            <w:r>
              <w:rPr>
                <w:sz w:val="18"/>
              </w:rPr>
              <w:t>*Monthly cadence; model TBD</w:t>
            </w:r>
          </w:p>
        </w:tc>
      </w:tr>
      <w:tr>
        <w:tc>
          <w:tcPr>
            <w:tcW w:type="dxa" w:w="1304"/>
            <w:shd w:fill="FFFFFF" w:val="clear"/>
          </w:tcPr>
          <w:p>
            <w:r>
              <w:rPr>
                <w:sz w:val="18"/>
              </w:rPr>
            </w:r>
            <w:r>
              <w:rPr>
                <w:sz w:val="18"/>
              </w:rPr>
              <w:t>Florida</w:t>
            </w:r>
          </w:p>
        </w:tc>
        <w:tc>
          <w:tcPr>
            <w:tcW w:type="dxa" w:w="1247"/>
            <w:shd w:fill="FFFFFF" w:val="clear"/>
          </w:tcPr>
          <w:p>
            <w:r>
              <w:rPr>
                <w:sz w:val="18"/>
              </w:rPr>
            </w:r>
            <w:r>
              <w:rPr>
                <w:sz w:val="18"/>
              </w:rPr>
              <w:t>Fixed-width</w:t>
            </w:r>
          </w:p>
        </w:tc>
        <w:tc>
          <w:tcPr>
            <w:tcW w:type="dxa" w:w="1020"/>
            <w:shd w:fill="FFFFFF" w:val="clear"/>
          </w:tcPr>
          <w:p>
            <w:r>
              <w:rPr>
                <w:sz w:val="18"/>
              </w:rPr>
            </w:r>
            <w:r>
              <w:rPr>
                <w:sz w:val="18"/>
              </w:rPr>
              <w:t>Daily</w:t>
            </w:r>
          </w:p>
        </w:tc>
        <w:tc>
          <w:tcPr>
            <w:tcW w:type="dxa" w:w="850"/>
            <w:shd w:fill="FFFFFF" w:val="clear"/>
          </w:tcPr>
          <w:p>
            <w:r>
              <w:rPr>
                <w:sz w:val="18"/>
              </w:rPr>
            </w:r>
            <w:r>
              <w:rPr>
                <w:sz w:val="18"/>
              </w:rPr>
              <w:t>1 day</w:t>
            </w:r>
          </w:p>
        </w:tc>
        <w:tc>
          <w:tcPr>
            <w:tcW w:type="dxa" w:w="1134"/>
            <w:shd w:fill="FFFFFF" w:val="clear"/>
          </w:tcPr>
          <w:p>
            <w:r>
              <w:rPr>
                <w:sz w:val="18"/>
              </w:rPr>
            </w:r>
            <w:r>
              <w:rPr>
                <w:sz w:val="18"/>
              </w:rPr>
              <w:t>$3,000</w:t>
            </w:r>
          </w:p>
        </w:tc>
        <w:tc>
          <w:tcPr>
            <w:tcW w:type="dxa" w:w="2948"/>
            <w:shd w:fill="FFFFFF" w:val="clear"/>
          </w:tcPr>
          <w:p>
            <w:r>
              <w:rPr>
                <w:sz w:val="18"/>
              </w:rPr>
            </w:r>
            <w:r>
              <w:rPr>
                <w:sz w:val="18"/>
              </w:rPr>
              <w:t>Quarterly full dump + daily updates</w:t>
            </w:r>
          </w:p>
        </w:tc>
      </w:tr>
    </w:tbl>
    <w:p/>
    <w:p>
      <w:pPr>
        <w:pStyle w:val="Heading2"/>
      </w:pPr>
      <w:r>
        <w:t>Subscription Priority Order</w:t>
      </w:r>
    </w:p>
    <w:p>
      <w:r>
        <w:t>We recommend activating Tier 2 subscriptions in the following order, based on cost efficiency and data freshness:</w:t>
      </w:r>
    </w:p>
    <w:p>
      <w:pPr>
        <w:pStyle w:val="ListBullet"/>
        <w:spacing w:after="40"/>
        <w:ind w:left="720"/>
      </w:pPr>
      <w:r>
        <w:rPr>
          <w:b/>
          <w:sz w:val="20"/>
        </w:rPr>
        <w:t xml:space="preserve">Priority 1: </w:t>
      </w:r>
      <w:r>
        <w:rPr>
          <w:sz w:val="20"/>
        </w:rPr>
        <w:t>California (free), Texas ($1,350 Master Unload + Daily Filing Data Updates) — highest value, daily/weekly data</w:t>
      </w:r>
    </w:p>
    <w:p>
      <w:pPr>
        <w:pStyle w:val="ListBullet"/>
        <w:spacing w:after="40"/>
        <w:ind w:left="720"/>
      </w:pPr>
      <w:r>
        <w:rPr>
          <w:b/>
          <w:sz w:val="20"/>
        </w:rPr>
        <w:t xml:space="preserve">Priority 2: </w:t>
      </w:r>
      <w:r>
        <w:rPr>
          <w:sz w:val="20"/>
        </w:rPr>
        <w:t>Kentucky ($18K), Florida ($3K) — daily data, important jurisdictions</w:t>
      </w:r>
    </w:p>
    <w:p>
      <w:pPr>
        <w:pStyle w:val="ListBullet"/>
        <w:spacing w:after="40"/>
        <w:ind w:left="720"/>
      </w:pPr>
      <w:r>
        <w:rPr>
          <w:b/>
          <w:sz w:val="20"/>
        </w:rPr>
        <w:t xml:space="preserve">Priority 3: </w:t>
      </w:r>
      <w:r>
        <w:rPr>
          <w:sz w:val="20"/>
        </w:rPr>
        <w:t>New York ($3,600) — large filing volume state</w:t>
      </w:r>
    </w:p>
    <w:p>
      <w:pPr>
        <w:pStyle w:val="ListBullet"/>
        <w:spacing w:after="40"/>
        <w:ind w:left="720"/>
      </w:pPr>
      <w:r>
        <w:rPr>
          <w:b/>
          <w:sz w:val="20"/>
        </w:rPr>
        <w:t xml:space="preserve">Priority 4: </w:t>
      </w:r>
      <w:r>
        <w:rPr>
          <w:sz w:val="20"/>
        </w:rPr>
        <w:t>WV, MN, NC, IN, AR, ND, SD, ID (~$21K combined)</w:t>
      </w:r>
    </w:p>
    <w:p>
      <w:pPr>
        <w:pStyle w:val="ListBullet"/>
        <w:spacing w:after="40"/>
        <w:ind w:left="720"/>
      </w:pPr>
      <w:r>
        <w:rPr>
          <w:b/>
          <w:sz w:val="20"/>
        </w:rPr>
        <w:t xml:space="preserve">Priority 5: </w:t>
      </w:r>
      <w:r>
        <w:rPr>
          <w:sz w:val="20"/>
        </w:rPr>
        <w:t>South Carolina ($54K) — evaluate if commercial provider covers adequately first</w:t>
      </w:r>
    </w:p>
    <w:p>
      <w:pPr>
        <w:pStyle w:val="ListBullet"/>
        <w:spacing w:after="40"/>
        <w:ind w:left="720"/>
      </w:pPr>
      <w:r>
        <w:rPr>
          <w:b/>
          <w:sz w:val="20"/>
        </w:rPr>
        <w:t xml:space="preserve">Priority 6: </w:t>
      </w:r>
      <w:r>
        <w:rPr>
          <w:sz w:val="20"/>
        </w:rPr>
        <w:t>Arizona ($2K) — monthly cadence may require commercial backup</w:t>
      </w:r>
    </w:p>
    <w:p>
      <w:pPr>
        <w:pStyle w:val="Heading2"/>
      </w:pPr>
      <w:r>
        <w:t>Texas: Master Unload + Daily Filing Data Updates</w:t>
      </w:r>
    </w:p>
    <w:p>
      <w:r>
        <w:t>Texas uses a two-step process managed by the Secretary of State's office. This is the model for how we establish and maintain the Texas portion of our UCC database:</w:t>
      </w:r>
    </w:p>
    <w:p>
      <w:pPr>
        <w:pStyle w:val="ListBullet"/>
        <w:spacing w:after="40"/>
        <w:ind w:left="720"/>
      </w:pPr>
      <w:r>
        <w:rPr>
          <w:b/>
          <w:sz w:val="20"/>
        </w:rPr>
        <w:t xml:space="preserve">Step 1 — Master Unload: </w:t>
      </w:r>
      <w:r>
        <w:rPr>
          <w:sz w:val="20"/>
        </w:rPr>
        <w:t>Purchase the Master Unload ($1,350) from the Texas SOS. This is a one-time purchase containing every historical UCC filing in the SOS database. It seeds our local database with the complete Texas filing index.</w:t>
      </w:r>
    </w:p>
    <w:p>
      <w:pPr>
        <w:pStyle w:val="ListBullet"/>
        <w:spacing w:after="40"/>
        <w:ind w:left="720"/>
      </w:pPr>
      <w:r>
        <w:rPr>
          <w:b/>
          <w:sz w:val="20"/>
        </w:rPr>
        <w:t xml:space="preserve">Step 2 — Daily Filing Data Updates: </w:t>
      </w:r>
      <w:r>
        <w:rPr>
          <w:sz w:val="20"/>
        </w:rPr>
        <w:t>Subscribe to the Daily Filing Data Updates. This is an ongoing subscription that delivers a daily incremental JSON file containing only filings that were recorded, amended, or updated since the previous day. These daily updates are downloaded and applied against the Master Unload to keep our local database current with the data maintained in the SOS database.</w:t>
      </w:r>
    </w:p>
    <w:p/>
    <w:p>
      <w:r>
        <w:t>Both the Master Unload and Daily Filing Data Updates use the same JSON schema, so the ingestion pipeline handles them with a single parser. The pipeline automatically detects which mode to use: if no Texas data exists in the local database, it expects a Master Unload file; if Texas data already exists, it looks for the latest Daily Filing Data Update.</w:t>
      </w:r>
    </w:p>
    <w:p>
      <w:r>
        <w:rPr>
          <w:b/>
        </w:rPr>
        <w:t>Total Tier 2 cost: ~$98,830/year</w:t>
      </w:r>
    </w:p>
    <w:p>
      <w:pPr>
        <w:pStyle w:val="Heading1"/>
      </w:pPr>
      <w:r>
        <w:t>6. Tier 3 — Commercial Data Provider</w:t>
      </w:r>
    </w:p>
    <w:p>
      <w:r>
        <w:t>The remaining ~34 states do not offer practical direct bulk data access. For these jurisdictions, we recommend contracting with a single commercial UCC data provider that aggregates filings nationwide and exposes them via a REST/JSON API.</w:t>
      </w:r>
    </w:p>
    <w:p/>
    <w:p>
      <w:r>
        <w:t>The commercial provider acts as a catch-all — it covers every state that we don't have a cheaper, more direct source for. As we activate more Tier 2 subscriptions over time, the commercial provider's role (and negotiating leverage for a lower contract price) can be adjusted.</w:t>
      </w:r>
    </w:p>
    <w:p>
      <w:pPr>
        <w:pStyle w:val="Heading2"/>
      </w:pPr>
      <w:r>
        <w:t>States Covered by Tier 3</w:t>
      </w:r>
    </w:p>
    <w:p>
      <w:r>
        <w:rPr>
          <w:color w:val="556B82"/>
          <w:sz w:val="18"/>
        </w:rPr>
        <w:t>Alabama, Alaska, Delaware, DC, Georgia, Hawaii, Iowa, Illinois, Kansas, Louisiana, Maine, Maryland, Massachusetts, Michigan, Mississippi, Missouri, Montana, Nebraska, Nevada, New Hampshire, New Jersey, New Mexico, Ohio, Oklahoma, Oregon, Pennsylvania, Rhode Island, Tennessee, Utah, Vermont, Virginia, Washington, Wisconsin, Wyoming</w:t>
      </w:r>
    </w:p>
    <w:p>
      <w:pPr>
        <w:pStyle w:val="Heading1"/>
      </w:pPr>
      <w:r>
        <w:t>7. Commercial Provider Comparison</w:t>
      </w:r>
    </w:p>
    <w:p>
      <w:r>
        <w:t>Three commercial providers have been identified as suitable candidates for the Tier 3 data feed. We recommend soliciting quotes from all three and selecting based on price, API quality, and data freshness.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87"/>
            <w:shd w:fill="1B3A5C" w:val="clear"/>
          </w:tcPr>
          <w:p>
            <w:pPr>
              <w:jc w:val="center"/>
            </w:pPr>
            <w:r>
              <w:rPr>
                <w:b/>
                <w:color w:val="FFFFFF"/>
                <w:sz w:val="18"/>
              </w:rPr>
            </w:r>
            <w:r>
              <w:rPr>
                <w:b/>
                <w:color w:val="FFFFFF"/>
                <w:sz w:val="18"/>
              </w:rPr>
              <w:t>Provider</w:t>
            </w:r>
          </w:p>
        </w:tc>
        <w:tc>
          <w:tcPr>
            <w:tcW w:type="dxa" w:w="1134"/>
            <w:shd w:fill="1B3A5C" w:val="clear"/>
          </w:tcPr>
          <w:p>
            <w:pPr>
              <w:jc w:val="center"/>
            </w:pPr>
            <w:r>
              <w:rPr>
                <w:b/>
                <w:color w:val="FFFFFF"/>
                <w:sz w:val="18"/>
              </w:rPr>
            </w:r>
            <w:r>
              <w:rPr>
                <w:b/>
                <w:color w:val="FFFFFF"/>
                <w:sz w:val="18"/>
              </w:rPr>
              <w:t>Coverage</w:t>
            </w:r>
          </w:p>
        </w:tc>
        <w:tc>
          <w:tcPr>
            <w:tcW w:type="dxa" w:w="1134"/>
            <w:shd w:fill="1B3A5C" w:val="clear"/>
          </w:tcPr>
          <w:p>
            <w:pPr>
              <w:jc w:val="center"/>
            </w:pPr>
            <w:r>
              <w:rPr>
                <w:b/>
                <w:color w:val="FFFFFF"/>
                <w:sz w:val="18"/>
              </w:rPr>
            </w:r>
            <w:r>
              <w:rPr>
                <w:b/>
                <w:color w:val="FFFFFF"/>
                <w:sz w:val="18"/>
              </w:rPr>
              <w:t>API Style</w:t>
            </w:r>
          </w:p>
        </w:tc>
        <w:tc>
          <w:tcPr>
            <w:tcW w:type="dxa" w:w="1701"/>
            <w:shd w:fill="1B3A5C" w:val="clear"/>
          </w:tcPr>
          <w:p>
            <w:pPr>
              <w:jc w:val="center"/>
            </w:pPr>
            <w:r>
              <w:rPr>
                <w:b/>
                <w:color w:val="FFFFFF"/>
                <w:sz w:val="18"/>
              </w:rPr>
            </w:r>
            <w:r>
              <w:rPr>
                <w:b/>
                <w:color w:val="FFFFFF"/>
                <w:sz w:val="18"/>
              </w:rPr>
              <w:t>Est. Annual Cost</w:t>
            </w:r>
          </w:p>
        </w:tc>
        <w:tc>
          <w:tcPr>
            <w:tcW w:type="dxa" w:w="2948"/>
            <w:shd w:fill="1B3A5C" w:val="clear"/>
          </w:tcPr>
          <w:p>
            <w:pPr>
              <w:jc w:val="center"/>
            </w:pPr>
            <w:r>
              <w:rPr>
                <w:b/>
                <w:color w:val="FFFFFF"/>
                <w:sz w:val="18"/>
              </w:rPr>
            </w:r>
            <w:r>
              <w:rPr>
                <w:b/>
                <w:color w:val="FFFFFF"/>
                <w:sz w:val="18"/>
              </w:rPr>
              <w:t>Key Strengths</w:t>
            </w:r>
          </w:p>
        </w:tc>
      </w:tr>
      <w:tr>
        <w:tc>
          <w:tcPr>
            <w:tcW w:type="dxa" w:w="1587"/>
            <w:shd w:fill="FFFFFF" w:val="clear"/>
          </w:tcPr>
          <w:p>
            <w:r>
              <w:rPr>
                <w:sz w:val="18"/>
              </w:rPr>
            </w:r>
            <w:r>
              <w:rPr>
                <w:sz w:val="18"/>
              </w:rPr>
              <w:t>Baselayer</w:t>
            </w:r>
          </w:p>
        </w:tc>
        <w:tc>
          <w:tcPr>
            <w:tcW w:type="dxa" w:w="1134"/>
            <w:shd w:fill="FFFFFF" w:val="clear"/>
          </w:tcPr>
          <w:p>
            <w:r>
              <w:rPr>
                <w:sz w:val="18"/>
              </w:rPr>
            </w:r>
            <w:r>
              <w:rPr>
                <w:sz w:val="18"/>
              </w:rPr>
              <w:t>50 states</w:t>
            </w:r>
          </w:p>
        </w:tc>
        <w:tc>
          <w:tcPr>
            <w:tcW w:type="dxa" w:w="1134"/>
            <w:shd w:fill="FFFFFF" w:val="clear"/>
          </w:tcPr>
          <w:p>
            <w:r>
              <w:rPr>
                <w:sz w:val="18"/>
              </w:rPr>
            </w:r>
            <w:r>
              <w:rPr>
                <w:sz w:val="18"/>
              </w:rPr>
              <w:t>REST / JSON</w:t>
            </w:r>
          </w:p>
        </w:tc>
        <w:tc>
          <w:tcPr>
            <w:tcW w:type="dxa" w:w="1701"/>
            <w:shd w:fill="FFFFFF" w:val="clear"/>
          </w:tcPr>
          <w:p>
            <w:r>
              <w:rPr>
                <w:sz w:val="18"/>
              </w:rPr>
            </w:r>
            <w:r>
              <w:rPr>
                <w:sz w:val="18"/>
              </w:rPr>
              <w:t>$200K–$400K</w:t>
            </w:r>
          </w:p>
        </w:tc>
        <w:tc>
          <w:tcPr>
            <w:tcW w:type="dxa" w:w="2948"/>
            <w:shd w:fill="FFFFFF" w:val="clear"/>
          </w:tcPr>
          <w:p>
            <w:r>
              <w:rPr>
                <w:sz w:val="18"/>
              </w:rPr>
            </w:r>
            <w:r>
              <w:rPr>
                <w:sz w:val="18"/>
              </w:rPr>
              <w:t>API-first, modern platform, daily refresh</w:t>
            </w:r>
          </w:p>
        </w:tc>
      </w:tr>
      <w:tr>
        <w:tc>
          <w:tcPr>
            <w:tcW w:type="dxa" w:w="1587"/>
            <w:shd w:fill="F2F6FA" w:val="clear"/>
          </w:tcPr>
          <w:p>
            <w:r>
              <w:rPr>
                <w:sz w:val="18"/>
              </w:rPr>
            </w:r>
            <w:r>
              <w:rPr>
                <w:sz w:val="18"/>
              </w:rPr>
              <w:t>First Corporate</w:t>
              <w:br/>
              <w:t>Solutions (FCS)</w:t>
            </w:r>
          </w:p>
        </w:tc>
        <w:tc>
          <w:tcPr>
            <w:tcW w:type="dxa" w:w="1134"/>
            <w:shd w:fill="F2F6FA" w:val="clear"/>
          </w:tcPr>
          <w:p>
            <w:r>
              <w:rPr>
                <w:sz w:val="18"/>
              </w:rPr>
            </w:r>
            <w:r>
              <w:rPr>
                <w:sz w:val="18"/>
              </w:rPr>
              <w:t>50 states</w:t>
            </w:r>
          </w:p>
        </w:tc>
        <w:tc>
          <w:tcPr>
            <w:tcW w:type="dxa" w:w="1134"/>
            <w:shd w:fill="F2F6FA" w:val="clear"/>
          </w:tcPr>
          <w:p>
            <w:r>
              <w:rPr>
                <w:sz w:val="18"/>
              </w:rPr>
            </w:r>
            <w:r>
              <w:rPr>
                <w:sz w:val="18"/>
              </w:rPr>
              <w:t>REST / JSON</w:t>
            </w:r>
          </w:p>
        </w:tc>
        <w:tc>
          <w:tcPr>
            <w:tcW w:type="dxa" w:w="1701"/>
            <w:shd w:fill="F2F6FA" w:val="clear"/>
          </w:tcPr>
          <w:p>
            <w:r>
              <w:rPr>
                <w:sz w:val="18"/>
              </w:rPr>
            </w:r>
            <w:r>
              <w:rPr>
                <w:sz w:val="18"/>
              </w:rPr>
              <w:t>$200K–$400K</w:t>
            </w:r>
          </w:p>
        </w:tc>
        <w:tc>
          <w:tcPr>
            <w:tcW w:type="dxa" w:w="2948"/>
            <w:shd w:fill="F2F6FA" w:val="clear"/>
          </w:tcPr>
          <w:p>
            <w:r>
              <w:rPr>
                <w:sz w:val="18"/>
              </w:rPr>
            </w:r>
            <w:r>
              <w:rPr>
                <w:sz w:val="18"/>
              </w:rPr>
              <w:t>Purchases direct from states; also covers Delaware</w:t>
            </w:r>
          </w:p>
        </w:tc>
      </w:tr>
      <w:tr>
        <w:tc>
          <w:tcPr>
            <w:tcW w:type="dxa" w:w="1587"/>
            <w:shd w:fill="FFFFFF" w:val="clear"/>
          </w:tcPr>
          <w:p>
            <w:r>
              <w:rPr>
                <w:sz w:val="18"/>
              </w:rPr>
            </w:r>
            <w:r>
              <w:rPr>
                <w:sz w:val="18"/>
              </w:rPr>
              <w:t>LexisNexis</w:t>
            </w:r>
          </w:p>
        </w:tc>
        <w:tc>
          <w:tcPr>
            <w:tcW w:type="dxa" w:w="1134"/>
            <w:shd w:fill="FFFFFF" w:val="clear"/>
          </w:tcPr>
          <w:p>
            <w:r>
              <w:rPr>
                <w:sz w:val="18"/>
              </w:rPr>
            </w:r>
            <w:r>
              <w:rPr>
                <w:sz w:val="18"/>
              </w:rPr>
              <w:t>48 states daily</w:t>
            </w:r>
          </w:p>
        </w:tc>
        <w:tc>
          <w:tcPr>
            <w:tcW w:type="dxa" w:w="1134"/>
            <w:shd w:fill="FFFFFF" w:val="clear"/>
          </w:tcPr>
          <w:p>
            <w:r>
              <w:rPr>
                <w:sz w:val="18"/>
              </w:rPr>
            </w:r>
            <w:r>
              <w:rPr>
                <w:sz w:val="18"/>
              </w:rPr>
              <w:t>REST / JSON</w:t>
            </w:r>
          </w:p>
        </w:tc>
        <w:tc>
          <w:tcPr>
            <w:tcW w:type="dxa" w:w="1701"/>
            <w:shd w:fill="FFFFFF" w:val="clear"/>
          </w:tcPr>
          <w:p>
            <w:r>
              <w:rPr>
                <w:sz w:val="18"/>
              </w:rPr>
            </w:r>
            <w:r>
              <w:rPr>
                <w:sz w:val="18"/>
              </w:rPr>
              <w:t>$300K–$500K</w:t>
            </w:r>
          </w:p>
        </w:tc>
        <w:tc>
          <w:tcPr>
            <w:tcW w:type="dxa" w:w="2948"/>
            <w:shd w:fill="FFFFFF" w:val="clear"/>
          </w:tcPr>
          <w:p>
            <w:r>
              <w:rPr>
                <w:sz w:val="18"/>
              </w:rPr>
            </w:r>
            <w:r>
              <w:rPr>
                <w:sz w:val="18"/>
              </w:rPr>
              <w:t>Deepest historical archive, most comprehensive</w:t>
            </w:r>
          </w:p>
        </w:tc>
      </w:tr>
    </w:tbl>
    <w:p/>
    <w:p>
      <w:pPr>
        <w:pStyle w:val="Heading2"/>
      </w:pPr>
      <w:r>
        <w:t>Recommendation</w:t>
      </w:r>
    </w:p>
    <w:p>
      <w:r>
        <w:t>Begin with Baselayer or First Corporate Solutions due to their lower price range and modern API design. FCS has the additional advantage of being an existing Delaware Authorized Searcher, which is relevant because Delaware is the only state that restricts UCC search access to a closed set of 25 certified searchers — FCS is one of them.</w:t>
      </w:r>
    </w:p>
    <w:p>
      <w:pPr>
        <w:pStyle w:val="Heading1"/>
      </w:pPr>
      <w:r>
        <w:t>8. Data Normalization &amp; Storage</w:t>
      </w:r>
    </w:p>
    <w:p>
      <w:r>
        <w:t>Data arrives in at least five different formats (JSON, CSV, XML, tab-delimited, fixed-width ASCII) with inconsistent field names, date formats, and status codes. A normalization layer standardizes all records before storage.</w:t>
      </w:r>
    </w:p>
    <w:p>
      <w:pPr>
        <w:pStyle w:val="Heading2"/>
      </w:pPr>
      <w:r>
        <w:t>Normalization Rules</w:t>
      </w:r>
    </w:p>
    <w:p>
      <w:pPr>
        <w:pStyle w:val="ListBullet"/>
        <w:spacing w:after="40"/>
        <w:ind w:left="720"/>
      </w:pPr>
      <w:r>
        <w:rPr>
          <w:b/>
          <w:sz w:val="20"/>
        </w:rPr>
        <w:t xml:space="preserve">Dates: </w:t>
      </w:r>
      <w:r>
        <w:rPr>
          <w:sz w:val="20"/>
        </w:rPr>
        <w:t>All dates converted to ISO 8601 format (YYYY-MM-DD)</w:t>
      </w:r>
    </w:p>
    <w:p>
      <w:pPr>
        <w:pStyle w:val="ListBullet"/>
        <w:spacing w:after="40"/>
        <w:ind w:left="720"/>
      </w:pPr>
      <w:r>
        <w:rPr>
          <w:b/>
          <w:sz w:val="20"/>
        </w:rPr>
        <w:t xml:space="preserve">Filing types: </w:t>
      </w:r>
      <w:r>
        <w:rPr>
          <w:sz w:val="20"/>
        </w:rPr>
        <w:t>Mapped to standard codes: UCC-1, UCC-3, UCC-3 Amendment, UCC-3 Assignment, UCC-3 Continuation, UCC-3 Termination, UCC-5</w:t>
      </w:r>
    </w:p>
    <w:p>
      <w:pPr>
        <w:pStyle w:val="ListBullet"/>
        <w:spacing w:after="40"/>
        <w:ind w:left="720"/>
      </w:pPr>
      <w:r>
        <w:rPr>
          <w:b/>
          <w:sz w:val="20"/>
        </w:rPr>
        <w:t xml:space="preserve">Status codes: </w:t>
      </w:r>
      <w:r>
        <w:rPr>
          <w:sz w:val="20"/>
        </w:rPr>
        <w:t>Normalized to: active, lapsed, terminated, continued</w:t>
      </w:r>
    </w:p>
    <w:p>
      <w:pPr>
        <w:pStyle w:val="ListBullet"/>
        <w:spacing w:after="40"/>
        <w:ind w:left="720"/>
      </w:pPr>
      <w:r>
        <w:rPr>
          <w:b/>
          <w:sz w:val="20"/>
        </w:rPr>
        <w:t xml:space="preserve">Names: </w:t>
      </w:r>
      <w:r>
        <w:rPr>
          <w:sz w:val="20"/>
        </w:rPr>
        <w:t>Whitespace normalized; extra spaces collapsed</w:t>
      </w:r>
    </w:p>
    <w:p>
      <w:pPr>
        <w:pStyle w:val="ListBullet"/>
        <w:spacing w:after="40"/>
        <w:ind w:left="720"/>
      </w:pPr>
      <w:r>
        <w:rPr>
          <w:b/>
          <w:sz w:val="20"/>
        </w:rPr>
        <w:t xml:space="preserve">ZIP codes: </w:t>
      </w:r>
      <w:r>
        <w:rPr>
          <w:sz w:val="20"/>
        </w:rPr>
        <w:t>Standardized to 5-digit or ZIP+4 format</w:t>
      </w:r>
    </w:p>
    <w:p>
      <w:pPr>
        <w:pStyle w:val="Heading2"/>
      </w:pPr>
      <w:r>
        <w:t>Database Schema</w:t>
      </w:r>
    </w:p>
    <w:p>
      <w:r>
        <w:t>All records are stored in a SQLite database with the following normalized schema:</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B3A5C" w:val="clear"/>
          </w:tcPr>
          <w:p>
            <w:pPr>
              <w:jc w:val="center"/>
            </w:pPr>
            <w:r>
              <w:rPr>
                <w:b/>
                <w:color w:val="FFFFFF"/>
                <w:sz w:val="18"/>
              </w:rPr>
            </w:r>
            <w:r>
              <w:rPr>
                <w:b/>
                <w:color w:val="FFFFFF"/>
                <w:sz w:val="18"/>
              </w:rPr>
              <w:t>Field Group</w:t>
            </w:r>
          </w:p>
        </w:tc>
        <w:tc>
          <w:tcPr>
            <w:tcW w:type="dxa" w:w="3118"/>
            <w:shd w:fill="1B3A5C" w:val="clear"/>
          </w:tcPr>
          <w:p>
            <w:pPr>
              <w:jc w:val="center"/>
            </w:pPr>
            <w:r>
              <w:rPr>
                <w:b/>
                <w:color w:val="FFFFFF"/>
                <w:sz w:val="18"/>
              </w:rPr>
            </w:r>
            <w:r>
              <w:rPr>
                <w:b/>
                <w:color w:val="FFFFFF"/>
                <w:sz w:val="18"/>
              </w:rPr>
              <w:t>Fields</w:t>
            </w:r>
          </w:p>
        </w:tc>
        <w:tc>
          <w:tcPr>
            <w:tcW w:type="dxa" w:w="2835"/>
            <w:shd w:fill="1B3A5C" w:val="clear"/>
          </w:tcPr>
          <w:p>
            <w:pPr>
              <w:jc w:val="center"/>
            </w:pPr>
            <w:r>
              <w:rPr>
                <w:b/>
                <w:color w:val="FFFFFF"/>
                <w:sz w:val="18"/>
              </w:rPr>
            </w:r>
            <w:r>
              <w:rPr>
                <w:b/>
                <w:color w:val="FFFFFF"/>
                <w:sz w:val="18"/>
              </w:rPr>
              <w:t>Purpose</w:t>
            </w:r>
          </w:p>
        </w:tc>
      </w:tr>
      <w:tr>
        <w:tc>
          <w:tcPr>
            <w:tcW w:type="dxa" w:w="1417"/>
            <w:shd w:fill="FFFFFF" w:val="clear"/>
          </w:tcPr>
          <w:p>
            <w:r>
              <w:rPr>
                <w:sz w:val="18"/>
              </w:rPr>
            </w:r>
            <w:r>
              <w:rPr>
                <w:sz w:val="18"/>
              </w:rPr>
              <w:t>Identity</w:t>
            </w:r>
          </w:p>
        </w:tc>
        <w:tc>
          <w:tcPr>
            <w:tcW w:type="dxa" w:w="3118"/>
            <w:shd w:fill="FFFFFF" w:val="clear"/>
          </w:tcPr>
          <w:p>
            <w:r>
              <w:rPr>
                <w:sz w:val="18"/>
              </w:rPr>
            </w:r>
            <w:r>
              <w:rPr>
                <w:sz w:val="18"/>
              </w:rPr>
              <w:t>filing_number, state</w:t>
            </w:r>
          </w:p>
        </w:tc>
        <w:tc>
          <w:tcPr>
            <w:tcW w:type="dxa" w:w="2835"/>
            <w:shd w:fill="FFFFFF" w:val="clear"/>
          </w:tcPr>
          <w:p>
            <w:r>
              <w:rPr>
                <w:sz w:val="18"/>
              </w:rPr>
            </w:r>
            <w:r>
              <w:rPr>
                <w:sz w:val="18"/>
              </w:rPr>
              <w:t>Unique filing identification</w:t>
            </w:r>
          </w:p>
        </w:tc>
      </w:tr>
      <w:tr>
        <w:tc>
          <w:tcPr>
            <w:tcW w:type="dxa" w:w="1417"/>
            <w:shd w:fill="F2F6FA" w:val="clear"/>
          </w:tcPr>
          <w:p>
            <w:r>
              <w:rPr>
                <w:sz w:val="18"/>
              </w:rPr>
            </w:r>
            <w:r>
              <w:rPr>
                <w:sz w:val="18"/>
              </w:rPr>
              <w:t>Filing Details</w:t>
            </w:r>
          </w:p>
        </w:tc>
        <w:tc>
          <w:tcPr>
            <w:tcW w:type="dxa" w:w="3118"/>
            <w:shd w:fill="F2F6FA" w:val="clear"/>
          </w:tcPr>
          <w:p>
            <w:r>
              <w:rPr>
                <w:sz w:val="18"/>
              </w:rPr>
            </w:r>
            <w:r>
              <w:rPr>
                <w:sz w:val="18"/>
              </w:rPr>
              <w:t>filing_type, filing_date, lapse_date, filing_status</w:t>
            </w:r>
          </w:p>
        </w:tc>
        <w:tc>
          <w:tcPr>
            <w:tcW w:type="dxa" w:w="2835"/>
            <w:shd w:fill="F2F6FA" w:val="clear"/>
          </w:tcPr>
          <w:p>
            <w:r>
              <w:rPr>
                <w:sz w:val="18"/>
              </w:rPr>
            </w:r>
            <w:r>
              <w:rPr>
                <w:sz w:val="18"/>
              </w:rPr>
              <w:t>Core filing metadata</w:t>
            </w:r>
          </w:p>
        </w:tc>
      </w:tr>
      <w:tr>
        <w:tc>
          <w:tcPr>
            <w:tcW w:type="dxa" w:w="1417"/>
            <w:shd w:fill="FFFFFF" w:val="clear"/>
          </w:tcPr>
          <w:p>
            <w:r>
              <w:rPr>
                <w:sz w:val="18"/>
              </w:rPr>
            </w:r>
            <w:r>
              <w:rPr>
                <w:sz w:val="18"/>
              </w:rPr>
              <w:t>Debtor Info</w:t>
            </w:r>
          </w:p>
        </w:tc>
        <w:tc>
          <w:tcPr>
            <w:tcW w:type="dxa" w:w="3118"/>
            <w:shd w:fill="FFFFFF" w:val="clear"/>
          </w:tcPr>
          <w:p>
            <w:r>
              <w:rPr>
                <w:sz w:val="18"/>
              </w:rPr>
            </w:r>
            <w:r>
              <w:rPr>
                <w:sz w:val="18"/>
              </w:rPr>
              <w:t>debtor_name, debtor_address, debtor_city,</w:t>
              <w:br/>
              <w:t>debtor_state, debtor_zip, debtor_type</w:t>
            </w:r>
          </w:p>
        </w:tc>
        <w:tc>
          <w:tcPr>
            <w:tcW w:type="dxa" w:w="2835"/>
            <w:shd w:fill="FFFFFF" w:val="clear"/>
          </w:tcPr>
          <w:p>
            <w:r>
              <w:rPr>
                <w:sz w:val="18"/>
              </w:rPr>
            </w:r>
            <w:r>
              <w:rPr>
                <w:sz w:val="18"/>
              </w:rPr>
              <w:t>Who owes the debt</w:t>
            </w:r>
          </w:p>
        </w:tc>
      </w:tr>
      <w:tr>
        <w:tc>
          <w:tcPr>
            <w:tcW w:type="dxa" w:w="1417"/>
            <w:shd w:fill="F2F6FA" w:val="clear"/>
          </w:tcPr>
          <w:p>
            <w:r>
              <w:rPr>
                <w:sz w:val="18"/>
              </w:rPr>
            </w:r>
            <w:r>
              <w:rPr>
                <w:sz w:val="18"/>
              </w:rPr>
              <w:t>Secured Party</w:t>
            </w:r>
          </w:p>
        </w:tc>
        <w:tc>
          <w:tcPr>
            <w:tcW w:type="dxa" w:w="3118"/>
            <w:shd w:fill="F2F6FA" w:val="clear"/>
          </w:tcPr>
          <w:p>
            <w:r>
              <w:rPr>
                <w:sz w:val="18"/>
              </w:rPr>
            </w:r>
            <w:r>
              <w:rPr>
                <w:sz w:val="18"/>
              </w:rPr>
              <w:t>secured_party_name, secured_party_address,</w:t>
              <w:br/>
              <w:t>secured_party_city, secured_party_state, secured_party_zip</w:t>
            </w:r>
          </w:p>
        </w:tc>
        <w:tc>
          <w:tcPr>
            <w:tcW w:type="dxa" w:w="2835"/>
            <w:shd w:fill="F2F6FA" w:val="clear"/>
          </w:tcPr>
          <w:p>
            <w:r>
              <w:rPr>
                <w:sz w:val="18"/>
              </w:rPr>
            </w:r>
            <w:r>
              <w:rPr>
                <w:sz w:val="18"/>
              </w:rPr>
              <w:t>Who holds the lien</w:t>
            </w:r>
          </w:p>
        </w:tc>
      </w:tr>
      <w:tr>
        <w:tc>
          <w:tcPr>
            <w:tcW w:type="dxa" w:w="1417"/>
            <w:shd w:fill="FFFFFF" w:val="clear"/>
          </w:tcPr>
          <w:p>
            <w:r>
              <w:rPr>
                <w:sz w:val="18"/>
              </w:rPr>
            </w:r>
            <w:r>
              <w:rPr>
                <w:sz w:val="18"/>
              </w:rPr>
              <w:t>Collateral</w:t>
            </w:r>
          </w:p>
        </w:tc>
        <w:tc>
          <w:tcPr>
            <w:tcW w:type="dxa" w:w="3118"/>
            <w:shd w:fill="FFFFFF" w:val="clear"/>
          </w:tcPr>
          <w:p>
            <w:r>
              <w:rPr>
                <w:sz w:val="18"/>
              </w:rPr>
            </w:r>
            <w:r>
              <w:rPr>
                <w:sz w:val="18"/>
              </w:rPr>
              <w:t>collateral_description</w:t>
            </w:r>
          </w:p>
        </w:tc>
        <w:tc>
          <w:tcPr>
            <w:tcW w:type="dxa" w:w="2835"/>
            <w:shd w:fill="FFFFFF" w:val="clear"/>
          </w:tcPr>
          <w:p>
            <w:r>
              <w:rPr>
                <w:sz w:val="18"/>
              </w:rPr>
            </w:r>
            <w:r>
              <w:rPr>
                <w:sz w:val="18"/>
              </w:rPr>
              <w:t>What secures the filing</w:t>
            </w:r>
          </w:p>
        </w:tc>
      </w:tr>
      <w:tr>
        <w:tc>
          <w:tcPr>
            <w:tcW w:type="dxa" w:w="1417"/>
            <w:shd w:fill="F2F6FA" w:val="clear"/>
          </w:tcPr>
          <w:p>
            <w:r>
              <w:rPr>
                <w:sz w:val="18"/>
              </w:rPr>
            </w:r>
            <w:r>
              <w:rPr>
                <w:sz w:val="18"/>
              </w:rPr>
              <w:t>Amendments</w:t>
            </w:r>
          </w:p>
        </w:tc>
        <w:tc>
          <w:tcPr>
            <w:tcW w:type="dxa" w:w="3118"/>
            <w:shd w:fill="F2F6FA" w:val="clear"/>
          </w:tcPr>
          <w:p>
            <w:r>
              <w:rPr>
                <w:sz w:val="18"/>
              </w:rPr>
            </w:r>
            <w:r>
              <w:rPr>
                <w:sz w:val="18"/>
              </w:rPr>
              <w:t>original_filing_number, amendment_type</w:t>
            </w:r>
          </w:p>
        </w:tc>
        <w:tc>
          <w:tcPr>
            <w:tcW w:type="dxa" w:w="2835"/>
            <w:shd w:fill="F2F6FA" w:val="clear"/>
          </w:tcPr>
          <w:p>
            <w:r>
              <w:rPr>
                <w:sz w:val="18"/>
              </w:rPr>
            </w:r>
            <w:r>
              <w:rPr>
                <w:sz w:val="18"/>
              </w:rPr>
              <w:t>Links to parent filing</w:t>
            </w:r>
          </w:p>
        </w:tc>
      </w:tr>
      <w:tr>
        <w:tc>
          <w:tcPr>
            <w:tcW w:type="dxa" w:w="1417"/>
            <w:shd w:fill="FFFFFF" w:val="clear"/>
          </w:tcPr>
          <w:p>
            <w:r>
              <w:rPr>
                <w:sz w:val="18"/>
              </w:rPr>
            </w:r>
            <w:r>
              <w:rPr>
                <w:sz w:val="18"/>
              </w:rPr>
              <w:t>Audit</w:t>
            </w:r>
          </w:p>
        </w:tc>
        <w:tc>
          <w:tcPr>
            <w:tcW w:type="dxa" w:w="3118"/>
            <w:shd w:fill="FFFFFF" w:val="clear"/>
          </w:tcPr>
          <w:p>
            <w:r>
              <w:rPr>
                <w:sz w:val="18"/>
              </w:rPr>
            </w:r>
            <w:r>
              <w:rPr>
                <w:sz w:val="18"/>
              </w:rPr>
              <w:t>source_tier, source_raw, ingested_at, last_updated_at</w:t>
            </w:r>
          </w:p>
        </w:tc>
        <w:tc>
          <w:tcPr>
            <w:tcW w:type="dxa" w:w="2835"/>
            <w:shd w:fill="FFFFFF" w:val="clear"/>
          </w:tcPr>
          <w:p>
            <w:r>
              <w:rPr>
                <w:sz w:val="18"/>
              </w:rPr>
            </w:r>
            <w:r>
              <w:rPr>
                <w:sz w:val="18"/>
              </w:rPr>
              <w:t>Full traceability to original source</w:t>
            </w:r>
          </w:p>
        </w:tc>
      </w:tr>
    </w:tbl>
    <w:p/>
    <w:p>
      <w:r>
        <w:t>The source_raw column preserves the original record exactly as received from the data source, ensuring that any normalization decisions can be audited or reversed.</w:t>
      </w:r>
    </w:p>
    <w:p>
      <w:pPr>
        <w:pStyle w:val="Heading2"/>
      </w:pPr>
      <w:r>
        <w:t>Storage Capacity</w:t>
      </w:r>
    </w:p>
    <w:p>
      <w:pPr>
        <w:pStyle w:val="ListBullet"/>
        <w:spacing w:after="40"/>
        <w:ind w:left="720"/>
      </w:pPr>
      <w:r>
        <w:rPr>
          <w:b/>
          <w:sz w:val="20"/>
        </w:rPr>
        <w:t xml:space="preserve">Expected volume: </w:t>
      </w:r>
      <w:r>
        <w:rPr>
          <w:sz w:val="20"/>
        </w:rPr>
        <w:t>~145,000 new records per month (~1.7 million per year)</w:t>
      </w:r>
    </w:p>
    <w:p>
      <w:pPr>
        <w:pStyle w:val="ListBullet"/>
        <w:spacing w:after="40"/>
        <w:ind w:left="720"/>
      </w:pPr>
      <w:r>
        <w:rPr>
          <w:b/>
          <w:sz w:val="20"/>
        </w:rPr>
        <w:t xml:space="preserve">Initial storage: </w:t>
      </w:r>
      <w:r>
        <w:rPr>
          <w:sz w:val="20"/>
        </w:rPr>
        <w:t>SQLite with WAL (Write-Ahead Logging) mode for concurrent read access</w:t>
      </w:r>
    </w:p>
    <w:p>
      <w:pPr>
        <w:pStyle w:val="ListBullet"/>
        <w:spacing w:after="40"/>
        <w:ind w:left="720"/>
      </w:pPr>
      <w:r>
        <w:rPr>
          <w:b/>
          <w:sz w:val="20"/>
        </w:rPr>
        <w:t xml:space="preserve">Migration path: </w:t>
      </w:r>
      <w:r>
        <w:rPr>
          <w:sz w:val="20"/>
        </w:rPr>
        <w:t>PostgreSQL, if concurrent write access or higher volumes demand it</w:t>
      </w:r>
    </w:p>
    <w:p>
      <w:pPr>
        <w:pStyle w:val="Heading1"/>
      </w:pPr>
      <w:r>
        <w:t>9. Cost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B3A5C" w:val="clear"/>
          </w:tcPr>
          <w:p>
            <w:pPr>
              <w:jc w:val="center"/>
            </w:pPr>
            <w:r>
              <w:rPr>
                <w:b/>
                <w:color w:val="FFFFFF"/>
                <w:sz w:val="18"/>
              </w:rPr>
            </w:r>
            <w:r>
              <w:rPr>
                <w:b/>
                <w:color w:val="FFFFFF"/>
                <w:sz w:val="18"/>
              </w:rPr>
              <w:t>Tier</w:t>
            </w:r>
          </w:p>
        </w:tc>
        <w:tc>
          <w:tcPr>
            <w:tcW w:type="dxa" w:w="3118"/>
            <w:shd w:fill="1B3A5C" w:val="clear"/>
          </w:tcPr>
          <w:p>
            <w:pPr>
              <w:jc w:val="center"/>
            </w:pPr>
            <w:r>
              <w:rPr>
                <w:b/>
                <w:color w:val="FFFFFF"/>
                <w:sz w:val="18"/>
              </w:rPr>
            </w:r>
            <w:r>
              <w:rPr>
                <w:b/>
                <w:color w:val="FFFFFF"/>
                <w:sz w:val="18"/>
              </w:rPr>
              <w:t>Source</w:t>
            </w:r>
          </w:p>
        </w:tc>
        <w:tc>
          <w:tcPr>
            <w:tcW w:type="dxa" w:w="1701"/>
            <w:shd w:fill="1B3A5C" w:val="clear"/>
          </w:tcPr>
          <w:p>
            <w:pPr>
              <w:jc w:val="center"/>
            </w:pPr>
            <w:r>
              <w:rPr>
                <w:b/>
                <w:color w:val="FFFFFF"/>
                <w:sz w:val="18"/>
              </w:rPr>
            </w:r>
            <w:r>
              <w:rPr>
                <w:b/>
                <w:color w:val="FFFFFF"/>
                <w:sz w:val="18"/>
              </w:rPr>
              <w:t>States</w:t>
            </w:r>
          </w:p>
        </w:tc>
        <w:tc>
          <w:tcPr>
            <w:tcW w:type="dxa" w:w="1701"/>
            <w:shd w:fill="1B3A5C" w:val="clear"/>
          </w:tcPr>
          <w:p>
            <w:pPr>
              <w:jc w:val="center"/>
            </w:pPr>
            <w:r>
              <w:rPr>
                <w:b/>
                <w:color w:val="FFFFFF"/>
                <w:sz w:val="18"/>
              </w:rPr>
            </w:r>
            <w:r>
              <w:rPr>
                <w:b/>
                <w:color w:val="FFFFFF"/>
                <w:sz w:val="18"/>
              </w:rPr>
              <w:t>Annual Cost</w:t>
            </w:r>
          </w:p>
        </w:tc>
      </w:tr>
      <w:tr>
        <w:tc>
          <w:tcPr>
            <w:tcW w:type="dxa" w:w="1134"/>
            <w:shd w:fill="FFFFFF" w:val="clear"/>
          </w:tcPr>
          <w:p>
            <w:r>
              <w:rPr>
                <w:sz w:val="18"/>
              </w:rPr>
            </w:r>
            <w:r>
              <w:rPr>
                <w:sz w:val="18"/>
              </w:rPr>
              <w:t>Tier 1</w:t>
            </w:r>
          </w:p>
        </w:tc>
        <w:tc>
          <w:tcPr>
            <w:tcW w:type="dxa" w:w="3118"/>
            <w:shd w:fill="FFFFFF" w:val="clear"/>
          </w:tcPr>
          <w:p>
            <w:r>
              <w:rPr>
                <w:sz w:val="18"/>
              </w:rPr>
            </w:r>
            <w:r>
              <w:rPr>
                <w:sz w:val="18"/>
              </w:rPr>
              <w:t>Free Open Data APIs (Socrata)</w:t>
            </w:r>
          </w:p>
        </w:tc>
        <w:tc>
          <w:tcPr>
            <w:tcW w:type="dxa" w:w="1701"/>
            <w:shd w:fill="FFFFFF" w:val="clear"/>
          </w:tcPr>
          <w:p>
            <w:r>
              <w:rPr>
                <w:sz w:val="18"/>
              </w:rPr>
            </w:r>
            <w:r>
              <w:rPr>
                <w:sz w:val="18"/>
              </w:rPr>
              <w:t>2</w:t>
            </w:r>
          </w:p>
        </w:tc>
        <w:tc>
          <w:tcPr>
            <w:tcW w:type="dxa" w:w="1701"/>
            <w:shd w:fill="FFFFFF" w:val="clear"/>
          </w:tcPr>
          <w:p>
            <w:r>
              <w:rPr>
                <w:sz w:val="18"/>
              </w:rPr>
            </w:r>
            <w:r>
              <w:rPr>
                <w:sz w:val="18"/>
              </w:rPr>
              <w:t>$0</w:t>
            </w:r>
          </w:p>
        </w:tc>
      </w:tr>
      <w:tr>
        <w:tc>
          <w:tcPr>
            <w:tcW w:type="dxa" w:w="1134"/>
            <w:shd w:fill="F2F6FA" w:val="clear"/>
          </w:tcPr>
          <w:p>
            <w:r>
              <w:rPr>
                <w:sz w:val="18"/>
              </w:rPr>
            </w:r>
            <w:r>
              <w:rPr>
                <w:sz w:val="18"/>
              </w:rPr>
              <w:t>Tier 2</w:t>
            </w:r>
          </w:p>
        </w:tc>
        <w:tc>
          <w:tcPr>
            <w:tcW w:type="dxa" w:w="3118"/>
            <w:shd w:fill="F2F6FA" w:val="clear"/>
          </w:tcPr>
          <w:p>
            <w:r>
              <w:rPr>
                <w:sz w:val="18"/>
              </w:rPr>
            </w:r>
            <w:r>
              <w:rPr>
                <w:sz w:val="18"/>
              </w:rPr>
              <w:t>State Bulk Subscriptions</w:t>
            </w:r>
          </w:p>
        </w:tc>
        <w:tc>
          <w:tcPr>
            <w:tcW w:type="dxa" w:w="1701"/>
            <w:shd w:fill="F2F6FA" w:val="clear"/>
          </w:tcPr>
          <w:p>
            <w:r>
              <w:rPr>
                <w:sz w:val="18"/>
              </w:rPr>
            </w:r>
            <w:r>
              <w:rPr>
                <w:sz w:val="18"/>
              </w:rPr>
              <w:t>15</w:t>
            </w:r>
          </w:p>
        </w:tc>
        <w:tc>
          <w:tcPr>
            <w:tcW w:type="dxa" w:w="1701"/>
            <w:shd w:fill="F2F6FA" w:val="clear"/>
          </w:tcPr>
          <w:p>
            <w:r>
              <w:rPr>
                <w:sz w:val="18"/>
              </w:rPr>
            </w:r>
            <w:r>
              <w:rPr>
                <w:sz w:val="18"/>
              </w:rPr>
              <w:t>$98,830</w:t>
            </w:r>
          </w:p>
        </w:tc>
      </w:tr>
      <w:tr>
        <w:tc>
          <w:tcPr>
            <w:tcW w:type="dxa" w:w="1134"/>
            <w:shd w:fill="FFFFFF" w:val="clear"/>
          </w:tcPr>
          <w:p>
            <w:r>
              <w:rPr>
                <w:sz w:val="18"/>
              </w:rPr>
            </w:r>
            <w:r>
              <w:rPr>
                <w:sz w:val="18"/>
              </w:rPr>
              <w:t>Tier 3</w:t>
            </w:r>
          </w:p>
        </w:tc>
        <w:tc>
          <w:tcPr>
            <w:tcW w:type="dxa" w:w="3118"/>
            <w:shd w:fill="FFFFFF" w:val="clear"/>
          </w:tcPr>
          <w:p>
            <w:r>
              <w:rPr>
                <w:sz w:val="18"/>
              </w:rPr>
            </w:r>
            <w:r>
              <w:rPr>
                <w:sz w:val="18"/>
              </w:rPr>
              <w:t>Commercial Provider (est.)</w:t>
            </w:r>
          </w:p>
        </w:tc>
        <w:tc>
          <w:tcPr>
            <w:tcW w:type="dxa" w:w="1701"/>
            <w:shd w:fill="FFFFFF" w:val="clear"/>
          </w:tcPr>
          <w:p>
            <w:r>
              <w:rPr>
                <w:sz w:val="18"/>
              </w:rPr>
            </w:r>
            <w:r>
              <w:rPr>
                <w:sz w:val="18"/>
              </w:rPr>
              <w:t>~34</w:t>
            </w:r>
          </w:p>
        </w:tc>
        <w:tc>
          <w:tcPr>
            <w:tcW w:type="dxa" w:w="1701"/>
            <w:shd w:fill="FFFFFF" w:val="clear"/>
          </w:tcPr>
          <w:p>
            <w:r>
              <w:rPr>
                <w:sz w:val="18"/>
              </w:rPr>
            </w:r>
            <w:r>
              <w:rPr>
                <w:sz w:val="18"/>
              </w:rPr>
              <w:t>$300,000</w:t>
            </w:r>
          </w:p>
        </w:tc>
      </w:tr>
      <w:tr>
        <w:tc>
          <w:tcPr>
            <w:tcW w:type="dxa" w:w="1134"/>
            <w:shd w:fill="F2F6FA" w:val="clear"/>
          </w:tcPr>
          <w:p>
            <w:r>
              <w:rPr>
                <w:sz w:val="18"/>
              </w:rPr>
            </w:r>
            <w:r>
              <w:rPr>
                <w:sz w:val="18"/>
              </w:rPr>
            </w:r>
          </w:p>
        </w:tc>
        <w:tc>
          <w:tcPr>
            <w:tcW w:type="dxa" w:w="3118"/>
            <w:shd w:fill="F2F6FA" w:val="clear"/>
          </w:tcPr>
          <w:p>
            <w:r>
              <w:rPr>
                <w:sz w:val="18"/>
              </w:rPr>
            </w:r>
            <w:r>
              <w:rPr>
                <w:sz w:val="18"/>
              </w:rPr>
            </w:r>
          </w:p>
        </w:tc>
        <w:tc>
          <w:tcPr>
            <w:tcW w:type="dxa" w:w="1701"/>
            <w:shd w:fill="F2F6FA" w:val="clear"/>
          </w:tcPr>
          <w:p>
            <w:r>
              <w:rPr>
                <w:sz w:val="18"/>
              </w:rPr>
            </w:r>
            <w:r>
              <w:rPr>
                <w:sz w:val="18"/>
              </w:rPr>
              <w:t>Total</w:t>
            </w:r>
          </w:p>
        </w:tc>
        <w:tc>
          <w:tcPr>
            <w:tcW w:type="dxa" w:w="1701"/>
            <w:shd w:fill="F2F6FA" w:val="clear"/>
          </w:tcPr>
          <w:p>
            <w:r>
              <w:rPr>
                <w:sz w:val="18"/>
              </w:rPr>
            </w:r>
            <w:r>
              <w:rPr>
                <w:sz w:val="18"/>
              </w:rPr>
              <w:t>$398,830</w:t>
            </w:r>
          </w:p>
        </w:tc>
      </w:tr>
      <w:tr>
        <w:tc>
          <w:tcPr>
            <w:tcW w:type="dxa" w:w="1134"/>
            <w:shd w:fill="FFFFFF" w:val="clear"/>
          </w:tcPr>
          <w:p>
            <w:r>
              <w:rPr>
                <w:sz w:val="18"/>
              </w:rPr>
            </w:r>
            <w:r>
              <w:rPr>
                <w:sz w:val="18"/>
              </w:rPr>
            </w:r>
          </w:p>
        </w:tc>
        <w:tc>
          <w:tcPr>
            <w:tcW w:type="dxa" w:w="3118"/>
            <w:shd w:fill="FFFFFF" w:val="clear"/>
          </w:tcPr>
          <w:p>
            <w:r>
              <w:rPr>
                <w:sz w:val="18"/>
              </w:rPr>
            </w:r>
            <w:r>
              <w:rPr>
                <w:sz w:val="18"/>
              </w:rPr>
            </w:r>
          </w:p>
        </w:tc>
        <w:tc>
          <w:tcPr>
            <w:tcW w:type="dxa" w:w="1701"/>
            <w:shd w:fill="FFFFFF" w:val="clear"/>
          </w:tcPr>
          <w:p>
            <w:r>
              <w:rPr>
                <w:sz w:val="18"/>
              </w:rPr>
            </w:r>
            <w:r>
              <w:rPr>
                <w:sz w:val="18"/>
              </w:rPr>
              <w:t>Budget ($1M) Remaining</w:t>
            </w:r>
          </w:p>
        </w:tc>
        <w:tc>
          <w:tcPr>
            <w:tcW w:type="dxa" w:w="1701"/>
            <w:shd w:fill="FFFFFF" w:val="clear"/>
          </w:tcPr>
          <w:p>
            <w:r>
              <w:rPr>
                <w:sz w:val="18"/>
              </w:rPr>
            </w:r>
            <w:r>
              <w:rPr>
                <w:sz w:val="18"/>
              </w:rPr>
              <w:t>$601,170</w:t>
            </w:r>
          </w:p>
        </w:tc>
      </w:tr>
    </w:tbl>
    <w:p/>
    <w:p>
      <w:pPr>
        <w:pStyle w:val="Heading2"/>
      </w:pPr>
      <w:r>
        <w:t>Budget Buffer Allocation</w:t>
      </w:r>
    </w:p>
    <w:p>
      <w:r>
        <w:t>The ~$600K buffer provides substantial headroom for:</w:t>
      </w:r>
    </w:p>
    <w:p>
      <w:pPr>
        <w:pStyle w:val="ListBullet"/>
        <w:spacing w:after="40"/>
        <w:ind w:left="720"/>
      </w:pPr>
      <w:r>
        <w:rPr>
          <w:sz w:val="20"/>
        </w:rPr>
        <w:t>Higher-than-estimated commercial provider contract costs (quotes range $200K–$500K)</w:t>
      </w:r>
    </w:p>
    <w:p>
      <w:pPr>
        <w:pStyle w:val="ListBullet"/>
        <w:spacing w:after="40"/>
        <w:ind w:left="720"/>
      </w:pPr>
      <w:r>
        <w:rPr>
          <w:sz w:val="20"/>
        </w:rPr>
        <w:t>Additional Tier 2 subscriptions as states open new bulk access programs</w:t>
      </w:r>
    </w:p>
    <w:p>
      <w:pPr>
        <w:pStyle w:val="ListBullet"/>
        <w:spacing w:after="40"/>
        <w:ind w:left="720"/>
      </w:pPr>
      <w:r>
        <w:rPr>
          <w:sz w:val="20"/>
        </w:rPr>
        <w:t>Infrastructure and compute costs (servers, storage, monitoring)</w:t>
      </w:r>
    </w:p>
    <w:p>
      <w:pPr>
        <w:pStyle w:val="ListBullet"/>
        <w:spacing w:after="40"/>
        <w:ind w:left="720"/>
      </w:pPr>
      <w:r>
        <w:rPr>
          <w:sz w:val="20"/>
        </w:rPr>
        <w:t>Annual price increases from state agencies and commercial providers</w:t>
      </w:r>
    </w:p>
    <w:p>
      <w:pPr>
        <w:pStyle w:val="ListBullet"/>
        <w:spacing w:after="40"/>
        <w:ind w:left="720"/>
      </w:pPr>
      <w:r>
        <w:rPr>
          <w:sz w:val="20"/>
        </w:rPr>
        <w:t>Potential migration to managed PostgreSQL hosting</w:t>
      </w:r>
    </w:p>
    <w:p>
      <w:pPr>
        <w:pStyle w:val="Heading1"/>
      </w:pPr>
      <w:r>
        <w:t>10. Expected Latency by Source</w:t>
      </w:r>
    </w:p>
    <w:p>
      <w:r>
        <w:t>All 51 jurisdictions meet the ≤3 calendar day latency target: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3A5C" w:val="clear"/>
          </w:tcPr>
          <w:p>
            <w:pPr>
              <w:jc w:val="center"/>
            </w:pPr>
            <w:r>
              <w:rPr>
                <w:b/>
                <w:color w:val="FFFFFF"/>
                <w:sz w:val="18"/>
              </w:rPr>
            </w:r>
            <w:r>
              <w:rPr>
                <w:b/>
                <w:color w:val="FFFFFF"/>
                <w:sz w:val="18"/>
              </w:rPr>
              <w:t>Data Source</w:t>
            </w:r>
          </w:p>
        </w:tc>
        <w:tc>
          <w:tcPr>
            <w:tcW w:type="dxa" w:w="2835"/>
            <w:shd w:fill="1B3A5C" w:val="clear"/>
          </w:tcPr>
          <w:p>
            <w:pPr>
              <w:jc w:val="center"/>
            </w:pPr>
            <w:r>
              <w:rPr>
                <w:b/>
                <w:color w:val="FFFFFF"/>
                <w:sz w:val="18"/>
              </w:rPr>
            </w:r>
            <w:r>
              <w:rPr>
                <w:b/>
                <w:color w:val="FFFFFF"/>
                <w:sz w:val="18"/>
              </w:rPr>
              <w:t>States</w:t>
            </w:r>
          </w:p>
        </w:tc>
        <w:tc>
          <w:tcPr>
            <w:tcW w:type="dxa" w:w="1701"/>
            <w:shd w:fill="1B3A5C" w:val="clear"/>
          </w:tcPr>
          <w:p>
            <w:pPr>
              <w:jc w:val="center"/>
            </w:pPr>
            <w:r>
              <w:rPr>
                <w:b/>
                <w:color w:val="FFFFFF"/>
                <w:sz w:val="18"/>
              </w:rPr>
            </w:r>
            <w:r>
              <w:rPr>
                <w:b/>
                <w:color w:val="FFFFFF"/>
                <w:sz w:val="18"/>
              </w:rPr>
              <w:t>Poll Frequency</w:t>
            </w:r>
          </w:p>
        </w:tc>
        <w:tc>
          <w:tcPr>
            <w:tcW w:type="dxa" w:w="1417"/>
            <w:shd w:fill="1B3A5C" w:val="clear"/>
          </w:tcPr>
          <w:p>
            <w:pPr>
              <w:jc w:val="center"/>
            </w:pPr>
            <w:r>
              <w:rPr>
                <w:b/>
                <w:color w:val="FFFFFF"/>
                <w:sz w:val="18"/>
              </w:rPr>
            </w:r>
            <w:r>
              <w:rPr>
                <w:b/>
                <w:color w:val="FFFFFF"/>
                <w:sz w:val="18"/>
              </w:rPr>
              <w:t>Typical Latency</w:t>
            </w:r>
          </w:p>
        </w:tc>
      </w:tr>
      <w:tr>
        <w:tc>
          <w:tcPr>
            <w:tcW w:type="dxa" w:w="1984"/>
            <w:shd w:fill="FFFFFF" w:val="clear"/>
          </w:tcPr>
          <w:p>
            <w:r>
              <w:rPr>
                <w:sz w:val="18"/>
              </w:rPr>
            </w:r>
            <w:r>
              <w:rPr>
                <w:sz w:val="18"/>
              </w:rPr>
              <w:t>Socrata API</w:t>
            </w:r>
          </w:p>
        </w:tc>
        <w:tc>
          <w:tcPr>
            <w:tcW w:type="dxa" w:w="2835"/>
            <w:shd w:fill="FFFFFF" w:val="clear"/>
          </w:tcPr>
          <w:p>
            <w:r>
              <w:rPr>
                <w:sz w:val="18"/>
              </w:rPr>
            </w:r>
            <w:r>
              <w:rPr>
                <w:sz w:val="18"/>
              </w:rPr>
              <w:t>CT, CO</w:t>
            </w:r>
          </w:p>
        </w:tc>
        <w:tc>
          <w:tcPr>
            <w:tcW w:type="dxa" w:w="1701"/>
            <w:shd w:fill="FFFFFF" w:val="clear"/>
          </w:tcPr>
          <w:p>
            <w:r>
              <w:rPr>
                <w:sz w:val="18"/>
              </w:rPr>
            </w:r>
            <w:r>
              <w:rPr>
                <w:sz w:val="18"/>
              </w:rPr>
              <w:t>Every 6 hours</w:t>
            </w:r>
          </w:p>
        </w:tc>
        <w:tc>
          <w:tcPr>
            <w:tcW w:type="dxa" w:w="1417"/>
            <w:shd w:fill="FFFFFF" w:val="clear"/>
          </w:tcPr>
          <w:p>
            <w:r>
              <w:rPr>
                <w:sz w:val="18"/>
              </w:rPr>
            </w:r>
            <w:r>
              <w:rPr>
                <w:sz w:val="18"/>
              </w:rPr>
              <w:t>~1 day</w:t>
            </w:r>
          </w:p>
        </w:tc>
      </w:tr>
      <w:tr>
        <w:tc>
          <w:tcPr>
            <w:tcW w:type="dxa" w:w="1984"/>
            <w:shd w:fill="F2F6FA" w:val="clear"/>
          </w:tcPr>
          <w:p>
            <w:r>
              <w:rPr>
                <w:sz w:val="18"/>
              </w:rPr>
            </w:r>
            <w:r>
              <w:rPr>
                <w:sz w:val="18"/>
              </w:rPr>
              <w:t>State daily downloads</w:t>
            </w:r>
          </w:p>
        </w:tc>
        <w:tc>
          <w:tcPr>
            <w:tcW w:type="dxa" w:w="2835"/>
            <w:shd w:fill="F2F6FA" w:val="clear"/>
          </w:tcPr>
          <w:p>
            <w:r>
              <w:rPr>
                <w:sz w:val="18"/>
              </w:rPr>
            </w:r>
            <w:r>
              <w:rPr>
                <w:sz w:val="18"/>
              </w:rPr>
              <w:t>TX, KY, FL</w:t>
            </w:r>
          </w:p>
        </w:tc>
        <w:tc>
          <w:tcPr>
            <w:tcW w:type="dxa" w:w="1701"/>
            <w:shd w:fill="F2F6FA" w:val="clear"/>
          </w:tcPr>
          <w:p>
            <w:r>
              <w:rPr>
                <w:sz w:val="18"/>
              </w:rPr>
            </w:r>
            <w:r>
              <w:rPr>
                <w:sz w:val="18"/>
              </w:rPr>
              <w:t>Daily (2 AM ET)</w:t>
            </w:r>
          </w:p>
        </w:tc>
        <w:tc>
          <w:tcPr>
            <w:tcW w:type="dxa" w:w="1417"/>
            <w:shd w:fill="F2F6FA" w:val="clear"/>
          </w:tcPr>
          <w:p>
            <w:r>
              <w:rPr>
                <w:sz w:val="18"/>
              </w:rPr>
            </w:r>
            <w:r>
              <w:rPr>
                <w:sz w:val="18"/>
              </w:rPr>
              <w:t>1 day</w:t>
            </w:r>
          </w:p>
        </w:tc>
      </w:tr>
      <w:tr>
        <w:tc>
          <w:tcPr>
            <w:tcW w:type="dxa" w:w="1984"/>
            <w:shd w:fill="FFFFFF" w:val="clear"/>
          </w:tcPr>
          <w:p>
            <w:r>
              <w:rPr>
                <w:sz w:val="18"/>
              </w:rPr>
            </w:r>
            <w:r>
              <w:rPr>
                <w:sz w:val="18"/>
              </w:rPr>
              <w:t>State weekly downloads</w:t>
            </w:r>
          </w:p>
        </w:tc>
        <w:tc>
          <w:tcPr>
            <w:tcW w:type="dxa" w:w="2835"/>
            <w:shd w:fill="FFFFFF" w:val="clear"/>
          </w:tcPr>
          <w:p>
            <w:r>
              <w:rPr>
                <w:sz w:val="18"/>
              </w:rPr>
            </w:r>
            <w:r>
              <w:rPr>
                <w:sz w:val="18"/>
              </w:rPr>
              <w:t>CA, WV, MN, AR, IN, NY, NC, SC, SD</w:t>
            </w:r>
          </w:p>
        </w:tc>
        <w:tc>
          <w:tcPr>
            <w:tcW w:type="dxa" w:w="1701"/>
            <w:shd w:fill="FFFFFF" w:val="clear"/>
          </w:tcPr>
          <w:p>
            <w:r>
              <w:rPr>
                <w:sz w:val="18"/>
              </w:rPr>
            </w:r>
            <w:r>
              <w:rPr>
                <w:sz w:val="18"/>
              </w:rPr>
              <w:t>Daily check, weekly data</w:t>
            </w:r>
          </w:p>
        </w:tc>
        <w:tc>
          <w:tcPr>
            <w:tcW w:type="dxa" w:w="1417"/>
            <w:shd w:fill="FFFFFF" w:val="clear"/>
          </w:tcPr>
          <w:p>
            <w:r>
              <w:rPr>
                <w:sz w:val="18"/>
              </w:rPr>
            </w:r>
            <w:r>
              <w:rPr>
                <w:sz w:val="18"/>
              </w:rPr>
              <w:t>1–3 days</w:t>
            </w:r>
          </w:p>
        </w:tc>
      </w:tr>
      <w:tr>
        <w:tc>
          <w:tcPr>
            <w:tcW w:type="dxa" w:w="1984"/>
            <w:shd w:fill="F2F6FA" w:val="clear"/>
          </w:tcPr>
          <w:p>
            <w:r>
              <w:rPr>
                <w:sz w:val="18"/>
              </w:rPr>
            </w:r>
            <w:r>
              <w:rPr>
                <w:sz w:val="18"/>
              </w:rPr>
              <w:t>State biweekly downloads</w:t>
            </w:r>
          </w:p>
        </w:tc>
        <w:tc>
          <w:tcPr>
            <w:tcW w:type="dxa" w:w="2835"/>
            <w:shd w:fill="F2F6FA" w:val="clear"/>
          </w:tcPr>
          <w:p>
            <w:r>
              <w:rPr>
                <w:sz w:val="18"/>
              </w:rPr>
            </w:r>
            <w:r>
              <w:rPr>
                <w:sz w:val="18"/>
              </w:rPr>
              <w:t>ID, ND</w:t>
            </w:r>
          </w:p>
        </w:tc>
        <w:tc>
          <w:tcPr>
            <w:tcW w:type="dxa" w:w="1701"/>
            <w:shd w:fill="F2F6FA" w:val="clear"/>
          </w:tcPr>
          <w:p>
            <w:r>
              <w:rPr>
                <w:sz w:val="18"/>
              </w:rPr>
            </w:r>
            <w:r>
              <w:rPr>
                <w:sz w:val="18"/>
              </w:rPr>
              <w:t>Daily check, biweekly data</w:t>
            </w:r>
          </w:p>
        </w:tc>
        <w:tc>
          <w:tcPr>
            <w:tcW w:type="dxa" w:w="1417"/>
            <w:shd w:fill="F2F6FA" w:val="clear"/>
          </w:tcPr>
          <w:p>
            <w:r>
              <w:rPr>
                <w:sz w:val="18"/>
              </w:rPr>
            </w:r>
            <w:r>
              <w:rPr>
                <w:sz w:val="18"/>
              </w:rPr>
              <w:t>1–3 days</w:t>
            </w:r>
          </w:p>
        </w:tc>
      </w:tr>
      <w:tr>
        <w:tc>
          <w:tcPr>
            <w:tcW w:type="dxa" w:w="1984"/>
            <w:shd w:fill="FFFFFF" w:val="clear"/>
          </w:tcPr>
          <w:p>
            <w:r>
              <w:rPr>
                <w:sz w:val="18"/>
              </w:rPr>
            </w:r>
            <w:r>
              <w:rPr>
                <w:sz w:val="18"/>
              </w:rPr>
              <w:t>Commercial provider API</w:t>
            </w:r>
          </w:p>
        </w:tc>
        <w:tc>
          <w:tcPr>
            <w:tcW w:type="dxa" w:w="2835"/>
            <w:shd w:fill="FFFFFF" w:val="clear"/>
          </w:tcPr>
          <w:p>
            <w:r>
              <w:rPr>
                <w:sz w:val="18"/>
              </w:rPr>
            </w:r>
            <w:r>
              <w:rPr>
                <w:sz w:val="18"/>
              </w:rPr>
              <w:t>~34 states</w:t>
            </w:r>
          </w:p>
        </w:tc>
        <w:tc>
          <w:tcPr>
            <w:tcW w:type="dxa" w:w="1701"/>
            <w:shd w:fill="FFFFFF" w:val="clear"/>
          </w:tcPr>
          <w:p>
            <w:r>
              <w:rPr>
                <w:sz w:val="18"/>
              </w:rPr>
            </w:r>
            <w:r>
              <w:rPr>
                <w:sz w:val="18"/>
              </w:rPr>
              <w:t>Daily (2 AM ET)</w:t>
            </w:r>
          </w:p>
        </w:tc>
        <w:tc>
          <w:tcPr>
            <w:tcW w:type="dxa" w:w="1417"/>
            <w:shd w:fill="FFFFFF" w:val="clear"/>
          </w:tcPr>
          <w:p>
            <w:r>
              <w:rPr>
                <w:sz w:val="18"/>
              </w:rPr>
            </w:r>
            <w:r>
              <w:rPr>
                <w:sz w:val="18"/>
              </w:rPr>
              <w:t>1–3 days</w:t>
            </w:r>
          </w:p>
        </w:tc>
      </w:tr>
    </w:tbl>
    <w:p/>
    <w:p>
      <w:r>
        <w:rPr>
          <w:i/>
          <w:color w:val="556B82"/>
          <w:sz w:val="18"/>
        </w:rPr>
        <w:t>Note: Arizona's monthly state subscription cadence may intermittently exceed 3 days. The commercial provider serves as a backup source for Arizona to ensure the latency SLA is met.</w:t>
      </w:r>
    </w:p>
    <w:p>
      <w:pPr>
        <w:pStyle w:val="Heading1"/>
      </w:pPr>
      <w:r>
        <w:t>11. Rollout Plan</w:t>
      </w:r>
    </w:p>
    <w:p>
      <w:r>
        <w:t>The rollout is structured in five phases over approximately eight weeks, with the free and lowest-risk sources activated first:</w:t>
      </w:r>
    </w:p>
    <w:p>
      <w:pPr>
        <w:pStyle w:val="Heading2"/>
      </w:pPr>
      <w:r>
        <w:t>Phase 1 — Validation (Week 1)</w:t>
      </w:r>
    </w:p>
    <w:p>
      <w:pPr>
        <w:pStyle w:val="ListBullet"/>
        <w:spacing w:after="40"/>
        <w:ind w:left="720"/>
      </w:pPr>
      <w:r>
        <w:rPr>
          <w:sz w:val="20"/>
        </w:rPr>
        <w:t>Test ingestion pipeline against Connecticut and Colorado free APIs</w:t>
      </w:r>
    </w:p>
    <w:p>
      <w:pPr>
        <w:pStyle w:val="ListBullet"/>
        <w:spacing w:after="40"/>
        <w:ind w:left="720"/>
      </w:pPr>
      <w:r>
        <w:rPr>
          <w:sz w:val="20"/>
        </w:rPr>
        <w:t>Validate database schema and normalization with real filing data</w:t>
      </w:r>
    </w:p>
    <w:p>
      <w:pPr>
        <w:pStyle w:val="ListBullet"/>
        <w:spacing w:after="40"/>
        <w:ind w:left="720"/>
      </w:pPr>
      <w:r>
        <w:rPr>
          <w:sz w:val="20"/>
        </w:rPr>
        <w:t>Verify incremental pull logic (fetch only new records since last run)</w:t>
      </w:r>
    </w:p>
    <w:p>
      <w:pPr>
        <w:pStyle w:val="ListBullet"/>
        <w:spacing w:after="40"/>
        <w:ind w:left="720"/>
      </w:pPr>
      <w:r>
        <w:rPr>
          <w:sz w:val="20"/>
        </w:rPr>
        <w:t>Cost: $0</w:t>
      </w:r>
    </w:p>
    <w:p>
      <w:pPr>
        <w:pStyle w:val="Heading2"/>
      </w:pPr>
      <w:r>
        <w:t>Phase 2 — Open APIs Live (Week 2)</w:t>
      </w:r>
    </w:p>
    <w:p>
      <w:pPr>
        <w:pStyle w:val="ListBullet"/>
        <w:spacing w:after="40"/>
        <w:ind w:left="720"/>
      </w:pPr>
      <w:r>
        <w:rPr>
          <w:sz w:val="20"/>
        </w:rPr>
        <w:t>Set up automated cron schedule for CT and CO (every 6 hours)</w:t>
      </w:r>
    </w:p>
    <w:p>
      <w:pPr>
        <w:pStyle w:val="ListBullet"/>
        <w:spacing w:after="40"/>
        <w:ind w:left="720"/>
      </w:pPr>
      <w:r>
        <w:rPr>
          <w:sz w:val="20"/>
        </w:rPr>
        <w:t>Register for Socrata app token to raise API rate limits</w:t>
      </w:r>
    </w:p>
    <w:p>
      <w:pPr>
        <w:pStyle w:val="ListBullet"/>
        <w:spacing w:after="40"/>
        <w:ind w:left="720"/>
      </w:pPr>
      <w:r>
        <w:rPr>
          <w:sz w:val="20"/>
        </w:rPr>
        <w:t>Monitor ingestion logs for errors and data quality issues</w:t>
      </w:r>
    </w:p>
    <w:p>
      <w:pPr>
        <w:pStyle w:val="ListBullet"/>
        <w:spacing w:after="40"/>
        <w:ind w:left="720"/>
      </w:pPr>
      <w:r>
        <w:rPr>
          <w:sz w:val="20"/>
        </w:rPr>
        <w:t>Cost: $0</w:t>
      </w:r>
    </w:p>
    <w:p>
      <w:pPr>
        <w:pStyle w:val="Heading2"/>
      </w:pPr>
      <w:r>
        <w:t>Phase 3 — Commercial Provider (Weeks 3–6)</w:t>
      </w:r>
    </w:p>
    <w:p>
      <w:pPr>
        <w:pStyle w:val="ListBullet"/>
        <w:spacing w:after="40"/>
        <w:ind w:left="720"/>
      </w:pPr>
      <w:r>
        <w:rPr>
          <w:sz w:val="20"/>
        </w:rPr>
        <w:t>Contact Baselayer, First Corporate Solutions, and LexisNexis for formal quotes</w:t>
      </w:r>
    </w:p>
    <w:p>
      <w:pPr>
        <w:pStyle w:val="ListBullet"/>
        <w:spacing w:after="40"/>
        <w:ind w:left="720"/>
      </w:pPr>
      <w:r>
        <w:rPr>
          <w:sz w:val="20"/>
        </w:rPr>
        <w:t>Negotiate and sign contract for nationwide daily data feed</w:t>
      </w:r>
    </w:p>
    <w:p>
      <w:pPr>
        <w:pStyle w:val="ListBullet"/>
        <w:spacing w:after="40"/>
        <w:ind w:left="720"/>
      </w:pPr>
      <w:r>
        <w:rPr>
          <w:sz w:val="20"/>
        </w:rPr>
        <w:t>Configure API credentials and run test connection</w:t>
      </w:r>
    </w:p>
    <w:p>
      <w:pPr>
        <w:pStyle w:val="ListBullet"/>
        <w:spacing w:after="40"/>
        <w:ind w:left="720"/>
      </w:pPr>
      <w:r>
        <w:rPr>
          <w:sz w:val="20"/>
        </w:rPr>
        <w:t>Execute initial full pull for all ~34 Tier 3 states</w:t>
      </w:r>
    </w:p>
    <w:p>
      <w:pPr>
        <w:pStyle w:val="ListBullet"/>
        <w:spacing w:after="40"/>
        <w:ind w:left="720"/>
      </w:pPr>
      <w:r>
        <w:rPr>
          <w:sz w:val="20"/>
        </w:rPr>
        <w:t>Set up daily automated ingestion cron job</w:t>
      </w:r>
    </w:p>
    <w:p>
      <w:pPr>
        <w:pStyle w:val="ListBullet"/>
        <w:spacing w:after="40"/>
        <w:ind w:left="720"/>
      </w:pPr>
      <w:r>
        <w:rPr>
          <w:sz w:val="20"/>
        </w:rPr>
        <w:t>Cost: ~$300,000/year (contract-dependent)</w:t>
      </w:r>
    </w:p>
    <w:p>
      <w:pPr>
        <w:pStyle w:val="Heading2"/>
      </w:pPr>
      <w:r>
        <w:t>Phase 4 — State Subscriptions (Weeks 4–8)</w:t>
      </w:r>
    </w:p>
    <w:p>
      <w:pPr>
        <w:pStyle w:val="ListBullet"/>
        <w:spacing w:after="40"/>
        <w:ind w:left="720"/>
      </w:pPr>
      <w:r>
        <w:rPr>
          <w:sz w:val="20"/>
        </w:rPr>
        <w:t>Activate Tier 2 subscriptions in priority order (see Section 5)</w:t>
      </w:r>
    </w:p>
    <w:p>
      <w:pPr>
        <w:pStyle w:val="ListBullet"/>
        <w:spacing w:after="40"/>
        <w:ind w:left="720"/>
      </w:pPr>
      <w:r>
        <w:rPr>
          <w:sz w:val="20"/>
        </w:rPr>
        <w:t>Begin with California (free) and Texas ($1,350), then expand</w:t>
      </w:r>
    </w:p>
    <w:p>
      <w:pPr>
        <w:pStyle w:val="ListBullet"/>
        <w:spacing w:after="40"/>
        <w:ind w:left="720"/>
      </w:pPr>
      <w:r>
        <w:rPr>
          <w:sz w:val="20"/>
        </w:rPr>
        <w:t>Verify each state's delivery model (initial load + incremental vs. full replacement) during subscription setup</w:t>
      </w:r>
    </w:p>
    <w:p>
      <w:pPr>
        <w:pStyle w:val="ListBullet"/>
        <w:spacing w:after="40"/>
        <w:ind w:left="720"/>
      </w:pPr>
      <w:r>
        <w:rPr>
          <w:sz w:val="20"/>
        </w:rPr>
        <w:t>Cross-reference Tier 2 direct data against Tier 3 commercial data for quality assurance</w:t>
      </w:r>
    </w:p>
    <w:p>
      <w:pPr>
        <w:pStyle w:val="ListBullet"/>
        <w:spacing w:after="40"/>
        <w:ind w:left="720"/>
      </w:pPr>
      <w:r>
        <w:rPr>
          <w:sz w:val="20"/>
        </w:rPr>
        <w:t>Cost: ~$98,830/year (incremental)</w:t>
      </w:r>
    </w:p>
    <w:p>
      <w:pPr>
        <w:pStyle w:val="Heading2"/>
      </w:pPr>
      <w:r>
        <w:t>Phase 5 — Steady State (Week 8+)</w:t>
      </w:r>
    </w:p>
    <w:p>
      <w:pPr>
        <w:pStyle w:val="ListBullet"/>
        <w:spacing w:after="40"/>
        <w:ind w:left="720"/>
      </w:pPr>
      <w:r>
        <w:rPr>
          <w:sz w:val="20"/>
        </w:rPr>
        <w:t>All 51 jurisdictions ingesting on their defined schedules</w:t>
      </w:r>
    </w:p>
    <w:p>
      <w:pPr>
        <w:pStyle w:val="ListBullet"/>
        <w:spacing w:after="40"/>
        <w:ind w:left="720"/>
      </w:pPr>
      <w:r>
        <w:rPr>
          <w:sz w:val="20"/>
        </w:rPr>
        <w:t>Monitor latency SLA dashboard daily</w:t>
      </w:r>
    </w:p>
    <w:p>
      <w:pPr>
        <w:pStyle w:val="ListBullet"/>
        <w:spacing w:after="40"/>
        <w:ind w:left="720"/>
      </w:pPr>
      <w:r>
        <w:rPr>
          <w:sz w:val="20"/>
        </w:rPr>
        <w:t>Evaluate South Carolina subscription ($54K) vs. commercial provider coverage</w:t>
      </w:r>
    </w:p>
    <w:p>
      <w:pPr>
        <w:pStyle w:val="ListBullet"/>
        <w:spacing w:after="40"/>
        <w:ind w:left="720"/>
      </w:pPr>
      <w:r>
        <w:rPr>
          <w:sz w:val="20"/>
        </w:rPr>
        <w:t>Evaluate PostgreSQL migration if data volumes or concurrent access demands increase</w:t>
      </w:r>
    </w:p>
    <w:p>
      <w:pPr>
        <w:pStyle w:val="Heading1"/>
      </w:pPr>
      <w:r>
        <w:t>12. Risk Factors &amp; Mitigations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1B3A5C" w:val="clear"/>
          </w:tcPr>
          <w:p>
            <w:pPr>
              <w:jc w:val="center"/>
            </w:pPr>
            <w:r>
              <w:rPr>
                <w:b/>
                <w:color w:val="FFFFFF"/>
                <w:sz w:val="18"/>
              </w:rPr>
            </w:r>
            <w:r>
              <w:rPr>
                <w:b/>
                <w:color w:val="FFFFFF"/>
                <w:sz w:val="18"/>
              </w:rPr>
              <w:t>Risk</w:t>
            </w:r>
          </w:p>
        </w:tc>
        <w:tc>
          <w:tcPr>
            <w:tcW w:type="dxa" w:w="1134"/>
            <w:shd w:fill="1B3A5C" w:val="clear"/>
          </w:tcPr>
          <w:p>
            <w:pPr>
              <w:jc w:val="center"/>
            </w:pPr>
            <w:r>
              <w:rPr>
                <w:b/>
                <w:color w:val="FFFFFF"/>
                <w:sz w:val="18"/>
              </w:rPr>
            </w:r>
            <w:r>
              <w:rPr>
                <w:b/>
                <w:color w:val="FFFFFF"/>
                <w:sz w:val="18"/>
              </w:rPr>
              <w:t>Likelihood</w:t>
            </w:r>
          </w:p>
        </w:tc>
        <w:tc>
          <w:tcPr>
            <w:tcW w:type="dxa" w:w="850"/>
            <w:shd w:fill="1B3A5C" w:val="clear"/>
          </w:tcPr>
          <w:p>
            <w:pPr>
              <w:jc w:val="center"/>
            </w:pPr>
            <w:r>
              <w:rPr>
                <w:b/>
                <w:color w:val="FFFFFF"/>
                <w:sz w:val="18"/>
              </w:rPr>
            </w:r>
            <w:r>
              <w:rPr>
                <w:b/>
                <w:color w:val="FFFFFF"/>
                <w:sz w:val="18"/>
              </w:rPr>
              <w:t>Impact</w:t>
            </w:r>
          </w:p>
        </w:tc>
        <w:tc>
          <w:tcPr>
            <w:tcW w:type="dxa" w:w="3402"/>
            <w:shd w:fill="1B3A5C" w:val="clear"/>
          </w:tcPr>
          <w:p>
            <w:pPr>
              <w:jc w:val="center"/>
            </w:pPr>
            <w:r>
              <w:rPr>
                <w:b/>
                <w:color w:val="FFFFFF"/>
                <w:sz w:val="18"/>
              </w:rPr>
            </w:r>
            <w:r>
              <w:rPr>
                <w:b/>
                <w:color w:val="FFFFFF"/>
                <w:sz w:val="18"/>
              </w:rPr>
              <w:t>Mitigation</w:t>
            </w:r>
          </w:p>
        </w:tc>
      </w:tr>
      <w:tr>
        <w:tc>
          <w:tcPr>
            <w:tcW w:type="dxa" w:w="1984"/>
            <w:shd w:fill="FFFFFF" w:val="clear"/>
          </w:tcPr>
          <w:p>
            <w:r>
              <w:rPr>
                <w:sz w:val="18"/>
              </w:rPr>
            </w:r>
            <w:r>
              <w:rPr>
                <w:sz w:val="18"/>
              </w:rPr>
              <w:t>Commercial provider contract</w:t>
              <w:br/>
              <w:t>exceeds $300K estimate</w:t>
            </w:r>
          </w:p>
        </w:tc>
        <w:tc>
          <w:tcPr>
            <w:tcW w:type="dxa" w:w="1134"/>
            <w:shd w:fill="FFFFFF" w:val="clear"/>
          </w:tcPr>
          <w:p>
            <w:r>
              <w:rPr>
                <w:sz w:val="18"/>
              </w:rPr>
            </w:r>
            <w:r>
              <w:rPr>
                <w:sz w:val="18"/>
              </w:rPr>
              <w:t>Medium</w:t>
            </w:r>
          </w:p>
        </w:tc>
        <w:tc>
          <w:tcPr>
            <w:tcW w:type="dxa" w:w="850"/>
            <w:shd w:fill="FFFFFF" w:val="clear"/>
          </w:tcPr>
          <w:p>
            <w:r>
              <w:rPr>
                <w:sz w:val="18"/>
              </w:rPr>
            </w:r>
            <w:r>
              <w:rPr>
                <w:sz w:val="18"/>
              </w:rPr>
              <w:t>Medium</w:t>
            </w:r>
          </w:p>
        </w:tc>
        <w:tc>
          <w:tcPr>
            <w:tcW w:type="dxa" w:w="3402"/>
            <w:shd w:fill="FFFFFF" w:val="clear"/>
          </w:tcPr>
          <w:p>
            <w:r>
              <w:rPr>
                <w:sz w:val="18"/>
              </w:rPr>
            </w:r>
            <w:r>
              <w:rPr>
                <w:sz w:val="18"/>
              </w:rPr>
              <w:t>Budget buffer of $601K absorbs up to $500K.</w:t>
              <w:br/>
              <w:t>Negotiate multi-year discount.</w:t>
            </w:r>
          </w:p>
        </w:tc>
      </w:tr>
      <w:tr>
        <w:tc>
          <w:tcPr>
            <w:tcW w:type="dxa" w:w="1984"/>
            <w:shd w:fill="F2F6FA" w:val="clear"/>
          </w:tcPr>
          <w:p>
            <w:r>
              <w:rPr>
                <w:sz w:val="18"/>
              </w:rPr>
            </w:r>
            <w:r>
              <w:rPr>
                <w:sz w:val="18"/>
              </w:rPr>
              <w:t>State changes bulk data</w:t>
              <w:br/>
              <w:t>format without notice</w:t>
            </w:r>
          </w:p>
        </w:tc>
        <w:tc>
          <w:tcPr>
            <w:tcW w:type="dxa" w:w="1134"/>
            <w:shd w:fill="F2F6FA" w:val="clear"/>
          </w:tcPr>
          <w:p>
            <w:r>
              <w:rPr>
                <w:sz w:val="18"/>
              </w:rPr>
            </w:r>
            <w:r>
              <w:rPr>
                <w:sz w:val="18"/>
              </w:rPr>
              <w:t>Medium</w:t>
            </w:r>
          </w:p>
        </w:tc>
        <w:tc>
          <w:tcPr>
            <w:tcW w:type="dxa" w:w="850"/>
            <w:shd w:fill="F2F6FA" w:val="clear"/>
          </w:tcPr>
          <w:p>
            <w:r>
              <w:rPr>
                <w:sz w:val="18"/>
              </w:rPr>
            </w:r>
            <w:r>
              <w:rPr>
                <w:sz w:val="18"/>
              </w:rPr>
              <w:t>Low</w:t>
            </w:r>
          </w:p>
        </w:tc>
        <w:tc>
          <w:tcPr>
            <w:tcW w:type="dxa" w:w="3402"/>
            <w:shd w:fill="F2F6FA" w:val="clear"/>
          </w:tcPr>
          <w:p>
            <w:r>
              <w:rPr>
                <w:sz w:val="18"/>
              </w:rPr>
            </w:r>
            <w:r>
              <w:rPr>
                <w:sz w:val="18"/>
              </w:rPr>
              <w:t>Raw source data preserved; adapter can</w:t>
              <w:br/>
              <w:t>be updated without data loss.</w:t>
            </w:r>
          </w:p>
        </w:tc>
      </w:tr>
      <w:tr>
        <w:tc>
          <w:tcPr>
            <w:tcW w:type="dxa" w:w="1984"/>
            <w:shd w:fill="FFFFFF" w:val="clear"/>
          </w:tcPr>
          <w:p>
            <w:r>
              <w:rPr>
                <w:sz w:val="18"/>
              </w:rPr>
            </w:r>
            <w:r>
              <w:rPr>
                <w:sz w:val="18"/>
              </w:rPr>
              <w:t>Socrata API rate limiting</w:t>
              <w:br/>
              <w:t>or deprecation</w:t>
            </w:r>
          </w:p>
        </w:tc>
        <w:tc>
          <w:tcPr>
            <w:tcW w:type="dxa" w:w="1134"/>
            <w:shd w:fill="FFFFFF" w:val="clear"/>
          </w:tcPr>
          <w:p>
            <w:r>
              <w:rPr>
                <w:sz w:val="18"/>
              </w:rPr>
            </w:r>
            <w:r>
              <w:rPr>
                <w:sz w:val="18"/>
              </w:rPr>
              <w:t>Low</w:t>
            </w:r>
          </w:p>
        </w:tc>
        <w:tc>
          <w:tcPr>
            <w:tcW w:type="dxa" w:w="850"/>
            <w:shd w:fill="FFFFFF" w:val="clear"/>
          </w:tcPr>
          <w:p>
            <w:r>
              <w:rPr>
                <w:sz w:val="18"/>
              </w:rPr>
            </w:r>
            <w:r>
              <w:rPr>
                <w:sz w:val="18"/>
              </w:rPr>
              <w:t>Low</w:t>
            </w:r>
          </w:p>
        </w:tc>
        <w:tc>
          <w:tcPr>
            <w:tcW w:type="dxa" w:w="3402"/>
            <w:shd w:fill="FFFFFF" w:val="clear"/>
          </w:tcPr>
          <w:p>
            <w:r>
              <w:rPr>
                <w:sz w:val="18"/>
              </w:rPr>
            </w:r>
            <w:r>
              <w:rPr>
                <w:sz w:val="18"/>
              </w:rPr>
              <w:t>Only 2 states affected; fall back to</w:t>
              <w:br/>
              <w:t>commercial provider for CT/CO.</w:t>
            </w:r>
          </w:p>
        </w:tc>
      </w:tr>
      <w:tr>
        <w:tc>
          <w:tcPr>
            <w:tcW w:type="dxa" w:w="1984"/>
            <w:shd w:fill="F2F6FA" w:val="clear"/>
          </w:tcPr>
          <w:p>
            <w:r>
              <w:rPr>
                <w:sz w:val="18"/>
              </w:rPr>
            </w:r>
            <w:r>
              <w:rPr>
                <w:sz w:val="18"/>
              </w:rPr>
              <w:t>State bulk subscription</w:t>
              <w:br/>
              <w:t>price increases</w:t>
            </w:r>
          </w:p>
        </w:tc>
        <w:tc>
          <w:tcPr>
            <w:tcW w:type="dxa" w:w="1134"/>
            <w:shd w:fill="F2F6FA" w:val="clear"/>
          </w:tcPr>
          <w:p>
            <w:r>
              <w:rPr>
                <w:sz w:val="18"/>
              </w:rPr>
            </w:r>
            <w:r>
              <w:rPr>
                <w:sz w:val="18"/>
              </w:rPr>
              <w:t>Medium</w:t>
            </w:r>
          </w:p>
        </w:tc>
        <w:tc>
          <w:tcPr>
            <w:tcW w:type="dxa" w:w="850"/>
            <w:shd w:fill="F2F6FA" w:val="clear"/>
          </w:tcPr>
          <w:p>
            <w:r>
              <w:rPr>
                <w:sz w:val="18"/>
              </w:rPr>
            </w:r>
            <w:r>
              <w:rPr>
                <w:sz w:val="18"/>
              </w:rPr>
              <w:t>Low</w:t>
            </w:r>
          </w:p>
        </w:tc>
        <w:tc>
          <w:tcPr>
            <w:tcW w:type="dxa" w:w="3402"/>
            <w:shd w:fill="F2F6FA" w:val="clear"/>
          </w:tcPr>
          <w:p>
            <w:r>
              <w:rPr>
                <w:sz w:val="18"/>
              </w:rPr>
            </w:r>
            <w:r>
              <w:rPr>
                <w:sz w:val="18"/>
              </w:rPr>
              <w:t>Budget buffer; can drop Tier 2 states</w:t>
              <w:br/>
              <w:t>and use commercial provider instead.</w:t>
            </w:r>
          </w:p>
        </w:tc>
      </w:tr>
      <w:tr>
        <w:tc>
          <w:tcPr>
            <w:tcW w:type="dxa" w:w="1984"/>
            <w:shd w:fill="FFFFFF" w:val="clear"/>
          </w:tcPr>
          <w:p>
            <w:r>
              <w:rPr>
                <w:sz w:val="18"/>
              </w:rPr>
            </w:r>
            <w:r>
              <w:rPr>
                <w:sz w:val="18"/>
              </w:rPr>
              <w:t>Delaware authorized</w:t>
              <w:br/>
              <w:t>searcher access</w:t>
            </w:r>
          </w:p>
        </w:tc>
        <w:tc>
          <w:tcPr>
            <w:tcW w:type="dxa" w:w="1134"/>
            <w:shd w:fill="FFFFFF" w:val="clear"/>
          </w:tcPr>
          <w:p>
            <w:r>
              <w:rPr>
                <w:sz w:val="18"/>
              </w:rPr>
            </w:r>
            <w:r>
              <w:rPr>
                <w:sz w:val="18"/>
              </w:rPr>
              <w:t>High</w:t>
            </w:r>
          </w:p>
        </w:tc>
        <w:tc>
          <w:tcPr>
            <w:tcW w:type="dxa" w:w="850"/>
            <w:shd w:fill="FFFFFF" w:val="clear"/>
          </w:tcPr>
          <w:p>
            <w:r>
              <w:rPr>
                <w:sz w:val="18"/>
              </w:rPr>
            </w:r>
            <w:r>
              <w:rPr>
                <w:sz w:val="18"/>
              </w:rPr>
              <w:t>Low</w:t>
            </w:r>
          </w:p>
        </w:tc>
        <w:tc>
          <w:tcPr>
            <w:tcW w:type="dxa" w:w="3402"/>
            <w:shd w:fill="FFFFFF" w:val="clear"/>
          </w:tcPr>
          <w:p>
            <w:r>
              <w:rPr>
                <w:sz w:val="18"/>
              </w:rPr>
            </w:r>
            <w:r>
              <w:rPr>
                <w:sz w:val="18"/>
              </w:rPr>
              <w:t>Use FCS (an existing Authorized Searcher)</w:t>
              <w:br/>
              <w:t>for Delaware via commercial API.</w:t>
            </w:r>
          </w:p>
        </w:tc>
      </w:tr>
      <w:tr>
        <w:tc>
          <w:tcPr>
            <w:tcW w:type="dxa" w:w="1984"/>
            <w:shd w:fill="F2F6FA" w:val="clear"/>
          </w:tcPr>
          <w:p>
            <w:r>
              <w:rPr>
                <w:sz w:val="18"/>
              </w:rPr>
            </w:r>
            <w:r>
              <w:rPr>
                <w:sz w:val="18"/>
              </w:rPr>
              <w:t>Data quality inconsistencies</w:t>
              <w:br/>
              <w:t>across sources</w:t>
            </w:r>
          </w:p>
        </w:tc>
        <w:tc>
          <w:tcPr>
            <w:tcW w:type="dxa" w:w="1134"/>
            <w:shd w:fill="F2F6FA" w:val="clear"/>
          </w:tcPr>
          <w:p>
            <w:r>
              <w:rPr>
                <w:sz w:val="18"/>
              </w:rPr>
            </w:r>
            <w:r>
              <w:rPr>
                <w:sz w:val="18"/>
              </w:rPr>
              <w:t>High</w:t>
            </w:r>
          </w:p>
        </w:tc>
        <w:tc>
          <w:tcPr>
            <w:tcW w:type="dxa" w:w="850"/>
            <w:shd w:fill="F2F6FA" w:val="clear"/>
          </w:tcPr>
          <w:p>
            <w:r>
              <w:rPr>
                <w:sz w:val="18"/>
              </w:rPr>
            </w:r>
            <w:r>
              <w:rPr>
                <w:sz w:val="18"/>
              </w:rPr>
              <w:t>Medium</w:t>
            </w:r>
          </w:p>
        </w:tc>
        <w:tc>
          <w:tcPr>
            <w:tcW w:type="dxa" w:w="3402"/>
            <w:shd w:fill="F2F6FA" w:val="clear"/>
          </w:tcPr>
          <w:p>
            <w:r>
              <w:rPr>
                <w:sz w:val="18"/>
              </w:rPr>
            </w:r>
            <w:r>
              <w:rPr>
                <w:sz w:val="18"/>
              </w:rPr>
              <w:t>Normalizer layer + source_raw preservation</w:t>
              <w:br/>
              <w:t>for audit. Cross-reference Tier 2 vs Tier 3.</w:t>
            </w:r>
          </w:p>
        </w:tc>
      </w:tr>
      <w:tr>
        <w:tc>
          <w:tcPr>
            <w:tcW w:type="dxa" w:w="1984"/>
            <w:shd w:fill="FFFFFF" w:val="clear"/>
          </w:tcPr>
          <w:p>
            <w:r>
              <w:rPr>
                <w:sz w:val="18"/>
              </w:rPr>
            </w:r>
            <w:r>
              <w:rPr>
                <w:sz w:val="18"/>
              </w:rPr>
              <w:t>SQLite performance at scale</w:t>
              <w:br/>
              <w:t>(&gt;5M records)</w:t>
            </w:r>
          </w:p>
        </w:tc>
        <w:tc>
          <w:tcPr>
            <w:tcW w:type="dxa" w:w="1134"/>
            <w:shd w:fill="FFFFFF" w:val="clear"/>
          </w:tcPr>
          <w:p>
            <w:r>
              <w:rPr>
                <w:sz w:val="18"/>
              </w:rPr>
            </w:r>
            <w:r>
              <w:rPr>
                <w:sz w:val="18"/>
              </w:rPr>
              <w:t>Low</w:t>
            </w:r>
          </w:p>
        </w:tc>
        <w:tc>
          <w:tcPr>
            <w:tcW w:type="dxa" w:w="850"/>
            <w:shd w:fill="FFFFFF" w:val="clear"/>
          </w:tcPr>
          <w:p>
            <w:r>
              <w:rPr>
                <w:sz w:val="18"/>
              </w:rPr>
            </w:r>
            <w:r>
              <w:rPr>
                <w:sz w:val="18"/>
              </w:rPr>
              <w:t>Medium</w:t>
            </w:r>
          </w:p>
        </w:tc>
        <w:tc>
          <w:tcPr>
            <w:tcW w:type="dxa" w:w="3402"/>
            <w:shd w:fill="FFFFFF" w:val="clear"/>
          </w:tcPr>
          <w:p>
            <w:r>
              <w:rPr>
                <w:sz w:val="18"/>
              </w:rPr>
            </w:r>
            <w:r>
              <w:rPr>
                <w:sz w:val="18"/>
              </w:rPr>
              <w:t>Designed for easy migration to PostgreSQL.</w:t>
              <w:br/>
              <w:t>SQLite WAL mode handles 1.7M/yr comfortably.</w:t>
            </w:r>
          </w:p>
        </w:tc>
      </w:tr>
    </w:tbl>
    <w:p/>
    <w:p>
      <w:pPr>
        <w:pStyle w:val="Heading1"/>
      </w:pPr>
      <w:r>
        <w:t>13. Recommendation</w:t>
      </w:r>
    </w:p>
    <w:p>
      <w:r>
        <w:t>We recommend proceeding with the hybrid 3-tier ingestion architecture as described in this document. The approach balances cost, data quality, and operational simplicity:</w:t>
      </w:r>
    </w:p>
    <w:p/>
    <w:p>
      <w:pPr>
        <w:pStyle w:val="ListBullet"/>
        <w:spacing w:after="40"/>
        <w:ind w:left="720"/>
      </w:pPr>
      <w:r>
        <w:rPr>
          <w:b/>
          <w:sz w:val="20"/>
        </w:rPr>
        <w:t xml:space="preserve">Start with free validation: </w:t>
      </w:r>
      <w:r>
        <w:rPr>
          <w:sz w:val="20"/>
        </w:rPr>
        <w:t>Begin Phase 1 immediately — test the pipeline against the free CT and CO APIs at zero cost and zero risk. This validates the entire ingestion, normalization, and storage pipeline end-to-end with real data.</w:t>
      </w:r>
    </w:p>
    <w:p/>
    <w:p>
      <w:pPr>
        <w:pStyle w:val="ListBullet"/>
        <w:spacing w:after="40"/>
        <w:ind w:left="720"/>
      </w:pPr>
      <w:r>
        <w:rPr>
          <w:b/>
          <w:sz w:val="20"/>
        </w:rPr>
        <w:t xml:space="preserve">Begin commercial provider outreach: </w:t>
      </w:r>
      <w:r>
        <w:rPr>
          <w:sz w:val="20"/>
        </w:rPr>
        <w:t>In parallel with Phase 1 testing, initiate contact with Baselayer, First Corporate Solutions, and LexisNexis to solicit formal quotes. This is the longest lead-time item and should start as early as possible.</w:t>
      </w:r>
    </w:p>
    <w:p/>
    <w:p>
      <w:pPr>
        <w:pStyle w:val="ListBullet"/>
        <w:spacing w:after="40"/>
        <w:ind w:left="720"/>
      </w:pPr>
      <w:r>
        <w:rPr>
          <w:b/>
          <w:sz w:val="20"/>
        </w:rPr>
        <w:t xml:space="preserve">Layer in state subscriptions: </w:t>
      </w:r>
      <w:r>
        <w:rPr>
          <w:sz w:val="20"/>
        </w:rPr>
        <w:t>Once the commercial provider is live, begin activating Tier 2 state subscriptions in priority order. Each Tier 2 source activated reduces dependence on the commercial provider and provides a higher-authority data source for cross-validation.</w:t>
      </w:r>
    </w:p>
    <w:p/>
    <w:p/>
    <w:p>
      <w:pPr>
        <w:jc w:val="center"/>
      </w:pPr>
      <w:r>
        <w:rPr>
          <w:color w:val="1B3A5C"/>
        </w:rPr>
        <w:t>━━━━━━━━━━━━━━━━━━━━━━━━━━━━━━━━━━━━━━━━━━━━━━━━━━</w:t>
      </w:r>
    </w:p>
    <w:p>
      <w:pPr>
        <w:jc w:val="center"/>
      </w:pPr>
      <w:r>
        <w:rPr>
          <w:i/>
          <w:color w:val="888888"/>
          <w:sz w:val="18"/>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