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jc w:val="left"/>
      </w:pPr>
      <w:r>
        <w:rPr>
          <w:rFonts w:ascii="Arial" w:cs="Arial" w:eastAsia="Arial" w:hAnsi="Arial"/>
          <w:b/>
          <w:bCs/>
          <w:color w:val="2C2C2A"/>
          <w:sz w:val="52"/>
          <w:szCs w:val="52"/>
        </w:rPr>
        <w:t xml:space="preserve">Client Services Agreement</w:t>
      </w:r>
    </w:p>
    <w:p>
      <w:pPr>
        <w:pBdr>
          <w:bottom w:val="single" w:color="1D9E75" w:sz="8" w:space="6"/>
        </w:pBdr>
        <w:spacing w:after="40"/>
        <w:jc w:val="left"/>
      </w:pPr>
      <w:r>
        <w:rPr>
          <w:rFonts w:ascii="Arial" w:cs="Arial" w:eastAsia="Arial" w:hAnsi="Arial"/>
          <w:color w:val="5F5E5A"/>
          <w:sz w:val="24"/>
          <w:szCs w:val="24"/>
        </w:rPr>
        <w:t xml:space="preserve">3-Vertical Growth Ecosystem</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20"/>
                <w:szCs w:val="20"/>
              </w:rPr>
              <w:t xml:space="preserve">Client</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20"/>
                <w:szCs w:val="20"/>
              </w:rPr>
              <w:t xml:space="preserve">[CLIENT LEGAL ENTITY NAME]</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20"/>
                <w:szCs w:val="20"/>
              </w:rPr>
              <w:t xml:space="preserve">Client address</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20"/>
                <w:szCs w:val="20"/>
              </w:rPr>
              <w:t xml:space="preserve">[ADDRESS]</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20"/>
                <w:szCs w:val="20"/>
              </w:rPr>
              <w:t xml:space="preserve">Agency</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20"/>
                <w:szCs w:val="20"/>
              </w:rPr>
              <w:t xml:space="preserve">AltusFlow.ai LLC</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20"/>
                <w:szCs w:val="20"/>
              </w:rPr>
              <w:t xml:space="preserve">Effective date</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20"/>
                <w:szCs w:val="20"/>
              </w:rPr>
              <w:t xml:space="preserve">[DATE]</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20"/>
                <w:szCs w:val="20"/>
              </w:rPr>
              <w:t xml:space="preserve">Initial term</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20"/>
                <w:szCs w:val="20"/>
              </w:rPr>
              <w:t xml:space="preserve">3 months, then month-to-month</w:t>
            </w:r>
          </w:p>
        </w:tc>
      </w:tr>
      <w:tr>
        <w:tc>
          <w:tcPr>
            <w:tcW w:type="dxa" w:w="3200"/>
            <w:tcBorders>
              <w:top w:val="single" w:color="D3D1C7" w:sz="1"/>
              <w:left w:val="single" w:color="D3D1C7" w:sz="1"/>
              <w:bottom w:val="single" w:color="D3D1C7" w:sz="1"/>
              <w:right w:val="single" w:color="D3D1C7" w:sz="1"/>
            </w:tcBorders>
            <w:shd w:fill="F1EFE8" w:val="clear"/>
            <w:tcMar>
              <w:top w:type="dxa" w:w="100"/>
              <w:left w:type="dxa" w:w="140"/>
              <w:bottom w:type="dxa" w:w="100"/>
              <w:right w:type="dxa" w:w="140"/>
            </w:tcMar>
          </w:tcPr>
          <w:p>
            <w:r>
              <w:rPr>
                <w:rFonts w:ascii="Arial" w:cs="Arial" w:eastAsia="Arial" w:hAnsi="Arial"/>
                <w:b/>
                <w:bCs/>
                <w:color w:val="2C2C2A"/>
                <w:sz w:val="20"/>
                <w:szCs w:val="20"/>
              </w:rPr>
              <w:t xml:space="preserve">Monthly retainer</w:t>
            </w:r>
          </w:p>
        </w:tc>
        <w:tc>
          <w:tcPr>
            <w:tcW w:type="dxa" w:w="6160"/>
            <w:tcBorders>
              <w:top w:val="single" w:color="D3D1C7" w:sz="1"/>
              <w:left w:val="single" w:color="D3D1C7" w:sz="1"/>
              <w:bottom w:val="single" w:color="D3D1C7" w:sz="1"/>
              <w:right w:val="single" w:color="D3D1C7" w:sz="1"/>
            </w:tcBorders>
            <w:tcMar>
              <w:top w:type="dxa" w:w="100"/>
              <w:left w:type="dxa" w:w="140"/>
              <w:bottom w:type="dxa" w:w="100"/>
              <w:right w:type="dxa" w:w="140"/>
            </w:tcMar>
          </w:tcPr>
          <w:p>
            <w:r>
              <w:rPr>
                <w:rFonts w:ascii="Arial" w:cs="Arial" w:eastAsia="Arial" w:hAnsi="Arial"/>
                <w:color w:val="3C3C3A"/>
                <w:sz w:val="20"/>
                <w:szCs w:val="20"/>
              </w:rPr>
              <w:t xml:space="preserve">$[AMOUNT]</w:t>
            </w:r>
          </w:p>
        </w:tc>
      </w:tr>
    </w:tbl>
    <w:p>
      <w:pPr>
        <w:spacing w:after="400" w:before="0"/>
      </w:pPr>
      <w:r>
        <w:t xml:space="preserve"/>
      </w:r>
    </w:p>
    <w:p>
      <w:pPr>
        <w:pStyle w:val="Heading1"/>
        <w:pBdr>
          <w:bottom w:val="single" w:color="1D9E75" w:sz="6" w:space="4"/>
        </w:pBdr>
        <w:spacing w:after="160" w:before="360"/>
      </w:pPr>
      <w:r>
        <w:rPr>
          <w:rFonts w:ascii="Arial" w:cs="Arial" w:eastAsia="Arial" w:hAnsi="Arial"/>
          <w:b/>
          <w:bCs/>
          <w:color w:val="2C2C2A"/>
          <w:sz w:val="28"/>
          <w:szCs w:val="28"/>
        </w:rPr>
        <w:t xml:space="preserve">1. Scope of services</w:t>
      </w:r>
    </w:p>
    <w:p>
      <w:pPr>
        <w:spacing w:after="120" w:before="60"/>
      </w:pPr>
      <w:r>
        <w:rPr>
          <w:rFonts w:ascii="Arial" w:cs="Arial" w:eastAsia="Arial" w:hAnsi="Arial"/>
          <w:color w:val="3C3C3A"/>
          <w:sz w:val="20"/>
          <w:szCs w:val="20"/>
        </w:rPr>
        <w:t xml:space="preserve">AltusFlow.ai will deliver the following standardised service verticals ("the System"). All services are productised — AltusFlow.ai deploys pre-built Master Templates customised to Client's branding. No bespoke development is included unless separately agreed in writing.</w:t>
      </w:r>
    </w:p>
    <w:p>
      <w:pPr>
        <w:spacing w:after="80" w:before="0"/>
      </w:pPr>
      <w:r>
        <w:t xml:space="preserve"/>
      </w:r>
    </w:p>
    <w:p>
      <w:pPr>
        <w:pStyle w:val="Heading2"/>
        <w:spacing w:after="100" w:before="280"/>
      </w:pPr>
      <w:r>
        <w:rPr>
          <w:rFonts w:ascii="Arial" w:cs="Arial" w:eastAsia="Arial" w:hAnsi="Arial"/>
          <w:b/>
          <w:bCs/>
          <w:color w:val="2C2C2A"/>
          <w:sz w:val="24"/>
          <w:szCs w:val="24"/>
        </w:rPr>
        <w:t xml:space="preserve">1.1 The Conversion Engine</w:t>
      </w:r>
    </w:p>
    <w:p>
      <w:pPr>
        <w:pStyle w:val="ListParagraph"/>
        <w:numPr>
          <w:ilvl w:val="0"/>
          <w:numId w:val="2"/>
        </w:numPr>
        <w:spacing w:after="80" w:before="40"/>
      </w:pPr>
      <w:r>
        <w:rPr>
          <w:rFonts w:ascii="Arial" w:cs="Arial" w:eastAsia="Arial" w:hAnsi="Arial"/>
          <w:color w:val="3C3C3A"/>
          <w:sz w:val="20"/>
          <w:szCs w:val="20"/>
        </w:rPr>
        <w:t xml:space="preserve">Deployment of AltusFlow's high-speed website template, branded for Client</w:t>
      </w:r>
    </w:p>
    <w:p>
      <w:pPr>
        <w:pStyle w:val="ListParagraph"/>
        <w:numPr>
          <w:ilvl w:val="0"/>
          <w:numId w:val="2"/>
        </w:numPr>
        <w:spacing w:after="80" w:before="40"/>
      </w:pPr>
      <w:r>
        <w:rPr>
          <w:rFonts w:ascii="Arial" w:cs="Arial" w:eastAsia="Arial" w:hAnsi="Arial"/>
          <w:color w:val="3C3C3A"/>
          <w:sz w:val="20"/>
          <w:szCs w:val="20"/>
        </w:rPr>
        <w:t xml:space="preserve">Integration of a custom-trained AI Chat Assistant for 24/7 lead qualification and meeting booking</w:t>
      </w:r>
    </w:p>
    <w:p>
      <w:pPr>
        <w:pStyle w:val="ListParagraph"/>
        <w:numPr>
          <w:ilvl w:val="0"/>
          <w:numId w:val="2"/>
        </w:numPr>
        <w:spacing w:after="80" w:before="40"/>
      </w:pPr>
      <w:r>
        <w:rPr>
          <w:rFonts w:ascii="Arial" w:cs="Arial" w:eastAsia="Arial" w:hAnsi="Arial"/>
          <w:color w:val="3C3C3A"/>
          <w:sz w:val="20"/>
          <w:szCs w:val="20"/>
        </w:rPr>
        <w:t xml:space="preserve">HubSpot CRM portal setup and configuration</w:t>
      </w:r>
    </w:p>
    <w:p>
      <w:pPr>
        <w:spacing w:after="60" w:before="0"/>
      </w:pPr>
      <w:r>
        <w:t xml:space="preserve"/>
      </w:r>
    </w:p>
    <w:p>
      <w:pPr>
        <w:pStyle w:val="Heading2"/>
        <w:spacing w:after="100" w:before="280"/>
      </w:pPr>
      <w:r>
        <w:rPr>
          <w:rFonts w:ascii="Arial" w:cs="Arial" w:eastAsia="Arial" w:hAnsi="Arial"/>
          <w:b/>
          <w:bCs/>
          <w:color w:val="2C2C2A"/>
          <w:sz w:val="24"/>
          <w:szCs w:val="24"/>
        </w:rPr>
        <w:t xml:space="preserve">1.2 The Inbound Magnet</w:t>
      </w:r>
    </w:p>
    <w:p>
      <w:pPr>
        <w:pStyle w:val="ListParagraph"/>
        <w:numPr>
          <w:ilvl w:val="0"/>
          <w:numId w:val="2"/>
        </w:numPr>
        <w:spacing w:after="80" w:before="40"/>
      </w:pPr>
      <w:r>
        <w:rPr>
          <w:rFonts w:ascii="Arial" w:cs="Arial" w:eastAsia="Arial" w:hAnsi="Arial"/>
          <w:color w:val="3C3C3A"/>
          <w:sz w:val="20"/>
          <w:szCs w:val="20"/>
        </w:rPr>
        <w:t xml:space="preserve">Meta Ads campaign setup using AltusFlow's standardised funnel framework</w:t>
      </w:r>
    </w:p>
    <w:p>
      <w:pPr>
        <w:pStyle w:val="ListParagraph"/>
        <w:numPr>
          <w:ilvl w:val="0"/>
          <w:numId w:val="2"/>
        </w:numPr>
        <w:spacing w:after="80" w:before="40"/>
      </w:pPr>
      <w:r>
        <w:rPr>
          <w:rFonts w:ascii="Arial" w:cs="Arial" w:eastAsia="Arial" w:hAnsi="Arial"/>
          <w:color w:val="3C3C3A"/>
          <w:sz w:val="20"/>
          <w:szCs w:val="20"/>
        </w:rPr>
        <w:t xml:space="preserve">UTM taxonomy implementation per AltusFlow Master Template</w:t>
      </w:r>
    </w:p>
    <w:p>
      <w:pPr>
        <w:pStyle w:val="ListParagraph"/>
        <w:numPr>
          <w:ilvl w:val="0"/>
          <w:numId w:val="2"/>
        </w:numPr>
        <w:spacing w:after="80" w:before="40"/>
      </w:pPr>
      <w:r>
        <w:rPr>
          <w:rFonts w:ascii="Arial" w:cs="Arial" w:eastAsia="Arial" w:hAnsi="Arial"/>
          <w:color w:val="3C3C3A"/>
          <w:sz w:val="20"/>
          <w:szCs w:val="20"/>
        </w:rPr>
        <w:t xml:space="preserve">Day-to-day ad management outsourced to AltusFlow's vetted media buyer; AltusFlow retains strategic oversight</w:t>
      </w:r>
    </w:p>
    <w:p>
      <w:pPr>
        <w:pStyle w:val="ListParagraph"/>
        <w:numPr>
          <w:ilvl w:val="0"/>
          <w:numId w:val="2"/>
        </w:numPr>
        <w:spacing w:after="80" w:before="40"/>
      </w:pPr>
      <w:r>
        <w:rPr>
          <w:rFonts w:ascii="Arial" w:cs="Arial" w:eastAsia="Arial" w:hAnsi="Arial"/>
          <w:color w:val="3C3C3A"/>
          <w:sz w:val="20"/>
          <w:szCs w:val="20"/>
        </w:rPr>
        <w:t xml:space="preserve">Ad spend budget managed by Client directly via their Meta Ads account</w:t>
      </w:r>
    </w:p>
    <w:p>
      <w:pPr>
        <w:spacing w:after="60" w:before="0"/>
      </w:pPr>
      <w:r>
        <w:t xml:space="preserve"/>
      </w:r>
    </w:p>
    <w:p>
      <w:pPr>
        <w:pStyle w:val="Heading2"/>
        <w:spacing w:after="100" w:before="280"/>
      </w:pPr>
      <w:r>
        <w:rPr>
          <w:rFonts w:ascii="Arial" w:cs="Arial" w:eastAsia="Arial" w:hAnsi="Arial"/>
          <w:b/>
          <w:bCs/>
          <w:color w:val="2C2C2A"/>
          <w:sz w:val="24"/>
          <w:szCs w:val="24"/>
        </w:rPr>
        <w:t xml:space="preserve">1.3 The Outbound Hunter</w:t>
      </w:r>
    </w:p>
    <w:p>
      <w:pPr>
        <w:pStyle w:val="ListParagraph"/>
        <w:numPr>
          <w:ilvl w:val="0"/>
          <w:numId w:val="2"/>
        </w:numPr>
        <w:spacing w:after="80" w:before="40"/>
      </w:pPr>
      <w:r>
        <w:rPr>
          <w:rFonts w:ascii="Arial" w:cs="Arial" w:eastAsia="Arial" w:hAnsi="Arial"/>
          <w:color w:val="3C3C3A"/>
          <w:sz w:val="20"/>
          <w:szCs w:val="20"/>
        </w:rPr>
        <w:t xml:space="preserve">Deployment of AI agents to scan LinkedIn and social platforms for intent-based prospect signals</w:t>
      </w:r>
    </w:p>
    <w:p>
      <w:pPr>
        <w:pStyle w:val="ListParagraph"/>
        <w:numPr>
          <w:ilvl w:val="0"/>
          <w:numId w:val="2"/>
        </w:numPr>
        <w:spacing w:after="80" w:before="40"/>
      </w:pPr>
      <w:r>
        <w:rPr>
          <w:rFonts w:ascii="Arial" w:cs="Arial" w:eastAsia="Arial" w:hAnsi="Arial"/>
          <w:color w:val="3C3C3A"/>
          <w:sz w:val="20"/>
          <w:szCs w:val="20"/>
        </w:rPr>
        <w:t xml:space="preserve">AI-drafted hyper-personalised outreach sequences delivered to Client's CRM</w:t>
      </w:r>
    </w:p>
    <w:p>
      <w:pPr>
        <w:pStyle w:val="ListParagraph"/>
        <w:numPr>
          <w:ilvl w:val="0"/>
          <w:numId w:val="2"/>
        </w:numPr>
        <w:spacing w:after="80" w:before="40"/>
      </w:pPr>
      <w:r>
        <w:rPr>
          <w:rFonts w:ascii="Arial" w:cs="Arial" w:eastAsia="Arial" w:hAnsi="Arial"/>
          <w:color w:val="3C3C3A"/>
          <w:sz w:val="20"/>
          <w:szCs w:val="20"/>
        </w:rPr>
        <w:t xml:space="preserve">AltusFlow defines targeting criteria; Client approves pitch templates before deployment</w:t>
      </w:r>
    </w:p>
    <w:p>
      <w:pPr>
        <w:spacing w:after="80" w:before="0"/>
      </w:pPr>
      <w:r>
        <w:t xml:space="preserve"/>
      </w:r>
    </w:p>
    <w:p>
      <w:pPr>
        <w:pStyle w:val="Heading2"/>
        <w:spacing w:after="100" w:before="280"/>
      </w:pPr>
      <w:r>
        <w:rPr>
          <w:rFonts w:ascii="Arial" w:cs="Arial" w:eastAsia="Arial" w:hAnsi="Arial"/>
          <w:b/>
          <w:bCs/>
          <w:color w:val="2C2C2A"/>
          <w:sz w:val="24"/>
          <w:szCs w:val="24"/>
        </w:rPr>
        <w:t xml:space="preserve">1.4 Reporting</w:t>
      </w:r>
    </w:p>
    <w:p>
      <w:pPr>
        <w:pStyle w:val="ListParagraph"/>
        <w:numPr>
          <w:ilvl w:val="0"/>
          <w:numId w:val="2"/>
        </w:numPr>
        <w:spacing w:after="80" w:before="40"/>
      </w:pPr>
      <w:r>
        <w:rPr>
          <w:rFonts w:ascii="Arial" w:cs="Arial" w:eastAsia="Arial" w:hAnsi="Arial"/>
          <w:color w:val="3C3C3A"/>
          <w:sz w:val="20"/>
          <w:szCs w:val="20"/>
        </w:rPr>
        <w:t xml:space="preserve">Automated KPI dashboard accessible 24/7 via Client's HubSpot portal</w:t>
      </w:r>
    </w:p>
    <w:p>
      <w:pPr>
        <w:pStyle w:val="ListParagraph"/>
        <w:numPr>
          <w:ilvl w:val="0"/>
          <w:numId w:val="2"/>
        </w:numPr>
        <w:spacing w:after="80" w:before="40"/>
      </w:pPr>
      <w:r>
        <w:rPr>
          <w:rFonts w:ascii="Arial" w:cs="Arial" w:eastAsia="Arial" w:hAnsi="Arial"/>
          <w:color w:val="3C3C3A"/>
          <w:sz w:val="20"/>
          <w:szCs w:val="20"/>
        </w:rPr>
        <w:t xml:space="preserve">Automated branded PDF report delivered on the 1st of each calendar month</w:t>
      </w:r>
    </w:p>
    <w:p>
      <w:pPr>
        <w:pStyle w:val="ListParagraph"/>
        <w:numPr>
          <w:ilvl w:val="0"/>
          <w:numId w:val="2"/>
        </w:numPr>
        <w:spacing w:after="80" w:before="40"/>
      </w:pPr>
      <w:r>
        <w:rPr>
          <w:rFonts w:ascii="Arial" w:cs="Arial" w:eastAsia="Arial" w:hAnsi="Arial"/>
          <w:color w:val="3C3C3A"/>
          <w:sz w:val="20"/>
          <w:szCs w:val="20"/>
        </w:rPr>
        <w:t xml:space="preserve">No manual reporting calls included in the standard retainer; optional monthly review call available as an add-on</w:t>
      </w:r>
    </w:p>
    <w:p>
      <w:pPr>
        <w:spacing w:after="160" w:before="0"/>
      </w:pPr>
      <w:r>
        <w:t xml:space="preserve"/>
      </w:r>
    </w:p>
    <w:p>
      <w:pPr>
        <w:pStyle w:val="Heading1"/>
        <w:pBdr>
          <w:bottom w:val="single" w:color="1D9E75" w:sz="6" w:space="4"/>
        </w:pBdr>
        <w:spacing w:after="160" w:before="360"/>
      </w:pPr>
      <w:r>
        <w:rPr>
          <w:rFonts w:ascii="Arial" w:cs="Arial" w:eastAsia="Arial" w:hAnsi="Arial"/>
          <w:b/>
          <w:bCs/>
          <w:color w:val="2C2C2A"/>
          <w:sz w:val="28"/>
          <w:szCs w:val="28"/>
        </w:rPr>
        <w:t xml:space="preserve">2. Fees and payment</w:t>
      </w:r>
    </w:p>
    <w:p>
      <w:pPr>
        <w:spacing w:after="120" w:before="60"/>
      </w:pPr>
      <w:r>
        <w:rPr>
          <w:rFonts w:ascii="Arial" w:cs="Arial" w:eastAsia="Arial" w:hAnsi="Arial"/>
          <w:color w:val="3C3C3A"/>
          <w:sz w:val="20"/>
          <w:szCs w:val="20"/>
        </w:rPr>
        <w:t xml:space="preserve">The monthly retainer fee is $[AMOUNT] USD, invoiced on the 1st of each month and due within 7 days. Late payments accrue interest at 1.5% per month.</w:t>
      </w:r>
    </w:p>
    <w:p>
      <w:pPr>
        <w:spacing w:after="80" w:before="0"/>
      </w:pPr>
      <w:r>
        <w:t xml:space="preserve"/>
      </w:r>
    </w:p>
    <w:p>
      <w:pPr>
        <w:spacing w:after="120" w:before="60"/>
      </w:pPr>
      <w:r>
        <w:rPr>
          <w:rFonts w:ascii="Arial" w:cs="Arial" w:eastAsia="Arial" w:hAnsi="Arial"/>
          <w:color w:val="3C3C3A"/>
          <w:sz w:val="20"/>
          <w:szCs w:val="20"/>
        </w:rPr>
        <w:t xml:space="preserve">Ad spend for Meta Ads campaigns is excluded from the retainer. Client is solely responsible for funding their Meta Ads account. AltusFlow.ai does not handle or advance Client ad spend funds under any circumstances.</w:t>
      </w:r>
    </w:p>
    <w:p>
      <w:pPr>
        <w:spacing w:after="80" w:before="0"/>
      </w:pPr>
      <w:r>
        <w:t xml:space="preserve"/>
      </w:r>
    </w:p>
    <w:p>
      <w:pPr>
        <w:spacing w:after="120" w:before="60"/>
      </w:pPr>
      <w:r>
        <w:rPr>
          <w:rFonts w:ascii="Arial" w:cs="Arial" w:eastAsia="Arial" w:hAnsi="Arial"/>
          <w:color w:val="3C3C3A"/>
          <w:sz w:val="20"/>
          <w:szCs w:val="20"/>
        </w:rPr>
        <w:t xml:space="preserve">All fees are non-refundable once a monthly period has commenced.</w:t>
      </w:r>
    </w:p>
    <w:p>
      <w:pPr>
        <w:spacing w:after="160" w:before="0"/>
      </w:pPr>
      <w:r>
        <w:t xml:space="preserve"/>
      </w:r>
    </w:p>
    <w:p>
      <w:pPr>
        <w:pStyle w:val="Heading1"/>
        <w:pBdr>
          <w:bottom w:val="single" w:color="1D9E75" w:sz="6" w:space="4"/>
        </w:pBdr>
        <w:spacing w:after="160" w:before="360"/>
      </w:pPr>
      <w:r>
        <w:rPr>
          <w:rFonts w:ascii="Arial" w:cs="Arial" w:eastAsia="Arial" w:hAnsi="Arial"/>
          <w:b/>
          <w:bCs/>
          <w:color w:val="2C2C2A"/>
          <w:sz w:val="28"/>
          <w:szCs w:val="28"/>
        </w:rPr>
        <w:t xml:space="preserve">3. Term and termination</w:t>
      </w:r>
    </w:p>
    <w:p>
      <w:pPr>
        <w:spacing w:after="120" w:before="60"/>
      </w:pPr>
      <w:r>
        <w:rPr>
          <w:rFonts w:ascii="Arial" w:cs="Arial" w:eastAsia="Arial" w:hAnsi="Arial"/>
          <w:color w:val="3C3C3A"/>
          <w:sz w:val="20"/>
          <w:szCs w:val="20"/>
        </w:rPr>
        <w:t xml:space="preserve">This Agreement commences on the Effective Date and continues for an initial term of three (3) months. After the initial term, this Agreement renews month-to-month automatically unless either party provides 30 days' written notice of non-renewal.</w:t>
      </w:r>
    </w:p>
    <w:p>
      <w:pPr>
        <w:spacing w:after="80" w:before="0"/>
      </w:pPr>
      <w:r>
        <w:t xml:space="preserve"/>
      </w:r>
    </w:p>
    <w:p>
      <w:pPr>
        <w:spacing w:after="120" w:before="60"/>
      </w:pPr>
      <w:r>
        <w:rPr>
          <w:rFonts w:ascii="Arial" w:cs="Arial" w:eastAsia="Arial" w:hAnsi="Arial"/>
          <w:color w:val="3C3C3A"/>
          <w:sz w:val="20"/>
          <w:szCs w:val="20"/>
        </w:rPr>
        <w:t xml:space="preserve">Either party may terminate this Agreement immediately upon written notice if the other party materially breaches this Agreement and fails to cure such breach within 14 days of receiving written notice of the breach.</w:t>
      </w:r>
    </w:p>
    <w:p>
      <w:pPr>
        <w:spacing w:after="80" w:before="0"/>
      </w:pPr>
      <w:r>
        <w:t xml:space="preserve"/>
      </w:r>
    </w:p>
    <w:p>
      <w:pPr>
        <w:spacing w:after="120" w:before="60"/>
      </w:pPr>
      <w:r>
        <w:rPr>
          <w:rFonts w:ascii="Arial" w:cs="Arial" w:eastAsia="Arial" w:hAnsi="Arial"/>
          <w:color w:val="3C3C3A"/>
          <w:sz w:val="20"/>
          <w:szCs w:val="20"/>
        </w:rPr>
        <w:t xml:space="preserve">Upon termination, AltusFlow.ai will provide Client with an export of their HubSpot data. Access to AltusFlow's proprietary templates, automation scripts, and dashboard infrastructure will be revoked.</w:t>
      </w:r>
    </w:p>
    <w:p>
      <w:pPr>
        <w:spacing w:after="160" w:before="0"/>
      </w:pPr>
      <w:r>
        <w:t xml:space="preserve"/>
      </w:r>
    </w:p>
    <w:p>
      <w:pPr>
        <w:pStyle w:val="Heading1"/>
        <w:pBdr>
          <w:bottom w:val="single" w:color="1D9E75" w:sz="6" w:space="4"/>
        </w:pBdr>
        <w:spacing w:after="160" w:before="360"/>
      </w:pPr>
      <w:r>
        <w:rPr>
          <w:rFonts w:ascii="Arial" w:cs="Arial" w:eastAsia="Arial" w:hAnsi="Arial"/>
          <w:b/>
          <w:bCs/>
          <w:color w:val="2C2C2A"/>
          <w:sz w:val="28"/>
          <w:szCs w:val="28"/>
        </w:rPr>
        <w:t xml:space="preserve">4. Ownership and IP</w:t>
      </w:r>
    </w:p>
    <w:p>
      <w:pPr>
        <w:spacing w:after="120" w:before="60"/>
      </w:pPr>
      <w:r>
        <w:rPr>
          <w:rFonts w:ascii="Arial" w:cs="Arial" w:eastAsia="Arial" w:hAnsi="Arial"/>
          <w:color w:val="3C3C3A"/>
          <w:sz w:val="20"/>
          <w:szCs w:val="20"/>
        </w:rPr>
        <w:t xml:space="preserve">Client owns all data in their HubSpot CRM portal, including contact records, deal data, and CRM configurations specific to their business.</w:t>
      </w:r>
    </w:p>
    <w:p>
      <w:pPr>
        <w:spacing w:after="80" w:before="0"/>
      </w:pPr>
      <w:r>
        <w:t xml:space="preserve"/>
      </w:r>
    </w:p>
    <w:p>
      <w:pPr>
        <w:spacing w:after="120" w:before="60"/>
      </w:pPr>
      <w:r>
        <w:rPr>
          <w:rFonts w:ascii="Arial" w:cs="Arial" w:eastAsia="Arial" w:hAnsi="Arial"/>
          <w:color w:val="3C3C3A"/>
          <w:sz w:val="20"/>
          <w:szCs w:val="20"/>
        </w:rPr>
        <w:t xml:space="preserve">AltusFlow.ai retains all rights to its Master Templates, automation scripts, AI prompt frameworks, dashboard designs, and reporting infrastructure ("AltusFlow IP"). Client is granted a limited, non-transferable, non-sublicensable licence to use AltusFlow IP solely for the purpose of receiving the services during the term of this Agreement.</w:t>
      </w:r>
    </w:p>
    <w:p>
      <w:pPr>
        <w:spacing w:after="80" w:before="0"/>
      </w:pPr>
      <w:r>
        <w:t xml:space="preserve"/>
      </w:r>
    </w:p>
    <w:p>
      <w:pPr>
        <w:spacing w:after="120" w:before="60"/>
      </w:pPr>
      <w:r>
        <w:rPr>
          <w:rFonts w:ascii="Arial" w:cs="Arial" w:eastAsia="Arial" w:hAnsi="Arial"/>
          <w:color w:val="3C3C3A"/>
          <w:sz w:val="20"/>
          <w:szCs w:val="20"/>
        </w:rPr>
        <w:t xml:space="preserve">Client may not reverse-engineer, copy, resell, or sub-licence any AltusFlow IP.</w:t>
      </w:r>
    </w:p>
    <w:p>
      <w:pPr>
        <w:spacing w:after="160" w:before="0"/>
      </w:pPr>
      <w:r>
        <w:t xml:space="preserve"/>
      </w:r>
    </w:p>
    <w:p>
      <w:pPr>
        <w:pStyle w:val="Heading1"/>
        <w:pBdr>
          <w:bottom w:val="single" w:color="1D9E75" w:sz="6" w:space="4"/>
        </w:pBdr>
        <w:spacing w:after="160" w:before="360"/>
      </w:pPr>
      <w:r>
        <w:rPr>
          <w:rFonts w:ascii="Arial" w:cs="Arial" w:eastAsia="Arial" w:hAnsi="Arial"/>
          <w:b/>
          <w:bCs/>
          <w:color w:val="2C2C2A"/>
          <w:sz w:val="28"/>
          <w:szCs w:val="28"/>
        </w:rPr>
        <w:t xml:space="preserve">5. Standardisation policy</w:t>
      </w:r>
    </w:p>
    <w:p>
      <w:pPr>
        <w:spacing w:after="120" w:before="60"/>
      </w:pPr>
      <w:r>
        <w:rPr>
          <w:rFonts w:ascii="Arial" w:cs="Arial" w:eastAsia="Arial" w:hAnsi="Arial"/>
          <w:color w:val="3C3C3A"/>
          <w:sz w:val="20"/>
          <w:szCs w:val="20"/>
        </w:rPr>
        <w:t xml:space="preserve">AltusFlow.ai operates an "Architect" model. Services are delivered via standardised templates to maintain quality and scalability. Client acknowledges that:</w:t>
      </w:r>
    </w:p>
    <w:p>
      <w:pPr>
        <w:pStyle w:val="ListParagraph"/>
        <w:numPr>
          <w:ilvl w:val="0"/>
          <w:numId w:val="2"/>
        </w:numPr>
        <w:spacing w:after="80" w:before="40"/>
      </w:pPr>
      <w:r>
        <w:rPr>
          <w:rFonts w:ascii="Arial" w:cs="Arial" w:eastAsia="Arial" w:hAnsi="Arial"/>
          <w:color w:val="3C3C3A"/>
          <w:sz w:val="20"/>
          <w:szCs w:val="20"/>
        </w:rPr>
        <w:t xml:space="preserve">Custom bespoke development is not included in the standard retainer</w:t>
      </w:r>
    </w:p>
    <w:p>
      <w:pPr>
        <w:pStyle w:val="ListParagraph"/>
        <w:numPr>
          <w:ilvl w:val="0"/>
          <w:numId w:val="2"/>
        </w:numPr>
        <w:spacing w:after="80" w:before="40"/>
      </w:pPr>
      <w:r>
        <w:rPr>
          <w:rFonts w:ascii="Arial" w:cs="Arial" w:eastAsia="Arial" w:hAnsi="Arial"/>
          <w:color w:val="3C3C3A"/>
          <w:sz w:val="20"/>
          <w:szCs w:val="20"/>
        </w:rPr>
        <w:t xml:space="preserve">HubSpot pipeline stages, deal properties, and UTM naming conventions are standardised and may not be modified without AltusFlow's written consent</w:t>
      </w:r>
    </w:p>
    <w:p>
      <w:pPr>
        <w:pStyle w:val="ListParagraph"/>
        <w:numPr>
          <w:ilvl w:val="0"/>
          <w:numId w:val="2"/>
        </w:numPr>
        <w:spacing w:after="80" w:before="40"/>
      </w:pPr>
      <w:r>
        <w:rPr>
          <w:rFonts w:ascii="Arial" w:cs="Arial" w:eastAsia="Arial" w:hAnsi="Arial"/>
          <w:color w:val="3C3C3A"/>
          <w:sz w:val="20"/>
          <w:szCs w:val="20"/>
        </w:rPr>
        <w:t xml:space="preserve">Requests for custom work outside the System will be scoped and quoted separately</w:t>
      </w:r>
    </w:p>
    <w:p>
      <w:pPr>
        <w:spacing w:after="160" w:before="0"/>
      </w:pPr>
      <w:r>
        <w:t xml:space="preserve"/>
      </w:r>
    </w:p>
    <w:p>
      <w:pPr>
        <w:pStyle w:val="Heading1"/>
        <w:pBdr>
          <w:bottom w:val="single" w:color="1D9E75" w:sz="6" w:space="4"/>
        </w:pBdr>
        <w:spacing w:after="160" w:before="360"/>
      </w:pPr>
      <w:r>
        <w:rPr>
          <w:rFonts w:ascii="Arial" w:cs="Arial" w:eastAsia="Arial" w:hAnsi="Arial"/>
          <w:b/>
          <w:bCs/>
          <w:color w:val="2C2C2A"/>
          <w:sz w:val="28"/>
          <w:szCs w:val="28"/>
        </w:rPr>
        <w:t xml:space="preserve">6. Client responsibilities</w:t>
      </w:r>
    </w:p>
    <w:p>
      <w:pPr>
        <w:pStyle w:val="ListParagraph"/>
        <w:numPr>
          <w:ilvl w:val="0"/>
          <w:numId w:val="2"/>
        </w:numPr>
        <w:spacing w:after="80" w:before="40"/>
      </w:pPr>
      <w:r>
        <w:rPr>
          <w:rFonts w:ascii="Arial" w:cs="Arial" w:eastAsia="Arial" w:hAnsi="Arial"/>
          <w:color w:val="3C3C3A"/>
          <w:sz w:val="20"/>
          <w:szCs w:val="20"/>
        </w:rPr>
        <w:t xml:space="preserve">Provide accurate business and branding information within 5 business days of signing</w:t>
      </w:r>
    </w:p>
    <w:p>
      <w:pPr>
        <w:pStyle w:val="ListParagraph"/>
        <w:numPr>
          <w:ilvl w:val="0"/>
          <w:numId w:val="2"/>
        </w:numPr>
        <w:spacing w:after="80" w:before="40"/>
      </w:pPr>
      <w:r>
        <w:rPr>
          <w:rFonts w:ascii="Arial" w:cs="Arial" w:eastAsia="Arial" w:hAnsi="Arial"/>
          <w:color w:val="3C3C3A"/>
          <w:sz w:val="20"/>
          <w:szCs w:val="20"/>
        </w:rPr>
        <w:t xml:space="preserve">Grant required access to Meta Ads account, domain DNS, and website platform within 5 business days of signing</w:t>
      </w:r>
    </w:p>
    <w:p>
      <w:pPr>
        <w:pStyle w:val="ListParagraph"/>
        <w:numPr>
          <w:ilvl w:val="0"/>
          <w:numId w:val="2"/>
        </w:numPr>
        <w:spacing w:after="80" w:before="40"/>
      </w:pPr>
      <w:r>
        <w:rPr>
          <w:rFonts w:ascii="Arial" w:cs="Arial" w:eastAsia="Arial" w:hAnsi="Arial"/>
          <w:color w:val="3C3C3A"/>
          <w:sz w:val="20"/>
          <w:szCs w:val="20"/>
        </w:rPr>
        <w:t xml:space="preserve">Approve AI chat and outbound pitch templates within 3 business days of submission</w:t>
      </w:r>
    </w:p>
    <w:p>
      <w:pPr>
        <w:pStyle w:val="ListParagraph"/>
        <w:numPr>
          <w:ilvl w:val="0"/>
          <w:numId w:val="2"/>
        </w:numPr>
        <w:spacing w:after="80" w:before="40"/>
      </w:pPr>
      <w:r>
        <w:rPr>
          <w:rFonts w:ascii="Arial" w:cs="Arial" w:eastAsia="Arial" w:hAnsi="Arial"/>
          <w:color w:val="3C3C3A"/>
          <w:sz w:val="20"/>
          <w:szCs w:val="20"/>
        </w:rPr>
        <w:t xml:space="preserve">Fund Meta Ads account directly</w:t>
      </w:r>
    </w:p>
    <w:p>
      <w:pPr>
        <w:pStyle w:val="ListParagraph"/>
        <w:numPr>
          <w:ilvl w:val="0"/>
          <w:numId w:val="2"/>
        </w:numPr>
        <w:spacing w:after="80" w:before="40"/>
      </w:pPr>
      <w:r>
        <w:rPr>
          <w:rFonts w:ascii="Arial" w:cs="Arial" w:eastAsia="Arial" w:hAnsi="Arial"/>
          <w:color w:val="3C3C3A"/>
          <w:sz w:val="20"/>
          <w:szCs w:val="20"/>
        </w:rPr>
        <w:t xml:space="preserve">Notify AltusFlow.ai of any changes to business operations that may affect campaign targeting</w:t>
      </w:r>
    </w:p>
    <w:p>
      <w:pPr>
        <w:spacing w:after="160" w:before="0"/>
      </w:pPr>
      <w:r>
        <w:t xml:space="preserve"/>
      </w:r>
    </w:p>
    <w:p>
      <w:pPr>
        <w:pStyle w:val="Heading1"/>
        <w:pBdr>
          <w:bottom w:val="single" w:color="1D9E75" w:sz="6" w:space="4"/>
        </w:pBdr>
        <w:spacing w:after="160" w:before="360"/>
      </w:pPr>
      <w:r>
        <w:rPr>
          <w:rFonts w:ascii="Arial" w:cs="Arial" w:eastAsia="Arial" w:hAnsi="Arial"/>
          <w:b/>
          <w:bCs/>
          <w:color w:val="2C2C2A"/>
          <w:sz w:val="28"/>
          <w:szCs w:val="28"/>
        </w:rPr>
        <w:t xml:space="preserve">7. Liability and warranties</w:t>
      </w:r>
    </w:p>
    <w:p>
      <w:pPr>
        <w:spacing w:after="120" w:before="60"/>
      </w:pPr>
      <w:r>
        <w:rPr>
          <w:rFonts w:ascii="Arial" w:cs="Arial" w:eastAsia="Arial" w:hAnsi="Arial"/>
          <w:color w:val="3C3C3A"/>
          <w:sz w:val="20"/>
          <w:szCs w:val="20"/>
        </w:rPr>
        <w:t xml:space="preserve">AltusFlow.ai warrants that services will be performed in a professional manner consistent with industry standards. AltusFlow.ai does not warrant any specific number of leads, calls, or revenue outcomes. Marketing results are subject to market conditions, ad platform performance, and factors outside AltusFlow.ai's control.</w:t>
      </w:r>
    </w:p>
    <w:p>
      <w:pPr>
        <w:spacing w:after="80" w:before="0"/>
      </w:pPr>
      <w:r>
        <w:t xml:space="preserve"/>
      </w:r>
    </w:p>
    <w:p>
      <w:pPr>
        <w:spacing w:after="120" w:before="60"/>
      </w:pPr>
      <w:r>
        <w:rPr>
          <w:rFonts w:ascii="Arial" w:cs="Arial" w:eastAsia="Arial" w:hAnsi="Arial"/>
          <w:color w:val="3C3C3A"/>
          <w:sz w:val="20"/>
          <w:szCs w:val="20"/>
        </w:rPr>
        <w:t xml:space="preserve">AltusFlow.ai's total aggregate liability to Client under this Agreement shall not exceed the total fees paid by Client in the three (3) months immediately preceding the event giving rise to the claim. In no event shall AltusFlow.ai be liable for indirect, consequential, or lost-profit damages.</w:t>
      </w:r>
    </w:p>
    <w:p>
      <w:pPr>
        <w:spacing w:after="160" w:before="0"/>
      </w:pPr>
      <w:r>
        <w:t xml:space="preserve"/>
      </w:r>
    </w:p>
    <w:p>
      <w:pPr>
        <w:pStyle w:val="Heading1"/>
        <w:pBdr>
          <w:bottom w:val="single" w:color="1D9E75" w:sz="6" w:space="4"/>
        </w:pBdr>
        <w:spacing w:after="160" w:before="360"/>
      </w:pPr>
      <w:r>
        <w:rPr>
          <w:rFonts w:ascii="Arial" w:cs="Arial" w:eastAsia="Arial" w:hAnsi="Arial"/>
          <w:b/>
          <w:bCs/>
          <w:color w:val="2C2C2A"/>
          <w:sz w:val="28"/>
          <w:szCs w:val="28"/>
        </w:rPr>
        <w:t xml:space="preserve">8. Confidentiality</w:t>
      </w:r>
    </w:p>
    <w:p>
      <w:pPr>
        <w:spacing w:after="120" w:before="60"/>
      </w:pPr>
      <w:r>
        <w:rPr>
          <w:rFonts w:ascii="Arial" w:cs="Arial" w:eastAsia="Arial" w:hAnsi="Arial"/>
          <w:color w:val="3C3C3A"/>
          <w:sz w:val="20"/>
          <w:szCs w:val="20"/>
        </w:rPr>
        <w:t xml:space="preserve">Each party agrees to keep confidential all non-public information disclosed by the other party in connection with this Agreement, and to use such information solely for the purpose of performing obligations under this Agreement. This obligation survives termination for a period of two (2) years.</w:t>
      </w:r>
    </w:p>
    <w:p>
      <w:pPr>
        <w:spacing w:after="160" w:before="0"/>
      </w:pPr>
      <w:r>
        <w:t xml:space="preserve"/>
      </w:r>
    </w:p>
    <w:p>
      <w:pPr>
        <w:pStyle w:val="Heading1"/>
        <w:pBdr>
          <w:bottom w:val="single" w:color="1D9E75" w:sz="6" w:space="4"/>
        </w:pBdr>
        <w:spacing w:after="160" w:before="360"/>
      </w:pPr>
      <w:r>
        <w:rPr>
          <w:rFonts w:ascii="Arial" w:cs="Arial" w:eastAsia="Arial" w:hAnsi="Arial"/>
          <w:b/>
          <w:bCs/>
          <w:color w:val="2C2C2A"/>
          <w:sz w:val="28"/>
          <w:szCs w:val="28"/>
        </w:rPr>
        <w:t xml:space="preserve">9. Governing law</w:t>
      </w:r>
    </w:p>
    <w:p>
      <w:pPr>
        <w:spacing w:after="120" w:before="60"/>
      </w:pPr>
      <w:r>
        <w:rPr>
          <w:rFonts w:ascii="Arial" w:cs="Arial" w:eastAsia="Arial" w:hAnsi="Arial"/>
          <w:color w:val="3C3C3A"/>
          <w:sz w:val="20"/>
          <w:szCs w:val="20"/>
        </w:rPr>
        <w:t xml:space="preserve">This Agreement is governed by the laws of [STATE/JURISDICTION]. Any disputes shall be resolved by binding arbitration in [CITY], [STATE], under [ARBITRATION BODY] rules, except that either party may seek injunctive relief in a court of competent jurisdiction.</w:t>
      </w:r>
    </w:p>
    <w:p>
      <w:pPr>
        <w:spacing w:after="160" w:before="0"/>
      </w:pPr>
      <w:r>
        <w:t xml:space="preserve"/>
      </w:r>
    </w:p>
    <w:p>
      <w:pPr>
        <w:pStyle w:val="Heading1"/>
        <w:pBdr>
          <w:bottom w:val="single" w:color="1D9E75" w:sz="6" w:space="4"/>
        </w:pBdr>
        <w:spacing w:after="160" w:before="360"/>
      </w:pPr>
      <w:r>
        <w:rPr>
          <w:rFonts w:ascii="Arial" w:cs="Arial" w:eastAsia="Arial" w:hAnsi="Arial"/>
          <w:b/>
          <w:bCs/>
          <w:color w:val="2C2C2A"/>
          <w:sz w:val="28"/>
          <w:szCs w:val="28"/>
        </w:rPr>
        <w:t xml:space="preserve">10. Entire agreement</w:t>
      </w:r>
    </w:p>
    <w:p>
      <w:pPr>
        <w:spacing w:after="120" w:before="60"/>
      </w:pPr>
      <w:r>
        <w:rPr>
          <w:rFonts w:ascii="Arial" w:cs="Arial" w:eastAsia="Arial" w:hAnsi="Arial"/>
          <w:color w:val="3C3C3A"/>
          <w:sz w:val="20"/>
          <w:szCs w:val="20"/>
        </w:rPr>
        <w:t xml:space="preserve">This Agreement constitutes the entire agreement between the parties with respect to its subject matter and supersedes all prior agreements, representations, and understandings. Amendments must be in writing and signed by both parties.</w:t>
      </w:r>
    </w:p>
    <w:p>
      <w:pPr>
        <w:spacing w:after="240" w:before="0"/>
      </w:pPr>
      <w:r>
        <w:t xml:space="preserve"/>
      </w:r>
    </w:p>
    <w:p>
      <w:pPr>
        <w:pStyle w:val="Heading1"/>
        <w:pBdr>
          <w:bottom w:val="single" w:color="1D9E75" w:sz="6" w:space="4"/>
        </w:pBdr>
        <w:spacing w:after="160" w:before="360"/>
      </w:pPr>
      <w:r>
        <w:rPr>
          <w:rFonts w:ascii="Arial" w:cs="Arial" w:eastAsia="Arial" w:hAnsi="Arial"/>
          <w:b/>
          <w:bCs/>
          <w:color w:val="2C2C2A"/>
          <w:sz w:val="28"/>
          <w:szCs w:val="28"/>
        </w:rPr>
        <w:t xml:space="preserve">Signatures</w:t>
      </w:r>
    </w:p>
    <w:p>
      <w:pPr>
        <w:spacing w:after="80" w:before="0"/>
      </w:pPr>
      <w:r>
        <w:t xml:space="preserve"/>
      </w:r>
    </w:p>
    <w:p>
      <w:pPr>
        <w:spacing w:after="60"/>
      </w:pPr>
      <w:r>
        <w:rPr>
          <w:rFonts w:ascii="Arial" w:cs="Arial" w:eastAsia="Arial" w:hAnsi="Arial"/>
          <w:b/>
          <w:bCs/>
          <w:color w:val="2C2C2A"/>
          <w:sz w:val="20"/>
          <w:szCs w:val="20"/>
        </w:rPr>
        <w:t xml:space="preserve">For and on behalf of AltusFlow.ai LLC</w:t>
      </w:r>
    </w:p>
    <w:p>
      <w:pPr>
        <w:pBdr>
          <w:bottom w:val="single" w:color="D3D1C7" w:sz="4" w:space="2"/>
        </w:pBdr>
        <w:spacing w:after="60" w:before="360"/>
      </w:pPr>
      <w:r>
        <w:rPr>
          <w:rFonts w:ascii="Arial" w:cs="Arial" w:eastAsia="Arial" w:hAnsi="Arial"/>
          <w:color w:val="888780"/>
          <w:sz w:val="18"/>
          <w:szCs w:val="18"/>
        </w:rPr>
        <w:t xml:space="preserve">Signature</w:t>
      </w:r>
    </w:p>
    <w:p>
      <w:pPr>
        <w:pBdr>
          <w:bottom w:val="single" w:color="D3D1C7" w:sz="4" w:space="2"/>
        </w:pBdr>
        <w:spacing w:after="80" w:before="200"/>
      </w:pPr>
      <w:r>
        <w:rPr>
          <w:rFonts w:ascii="Arial" w:cs="Arial" w:eastAsia="Arial" w:hAnsi="Arial"/>
          <w:color w:val="888780"/>
          <w:sz w:val="20"/>
          <w:szCs w:val="20"/>
        </w:rPr>
        <w:t xml:space="preserve">Printed name</w:t>
      </w:r>
    </w:p>
    <w:p>
      <w:pPr>
        <w:pBdr>
          <w:bottom w:val="single" w:color="D3D1C7" w:sz="4" w:space="2"/>
        </w:pBdr>
        <w:spacing w:after="80" w:before="200"/>
      </w:pPr>
      <w:r>
        <w:rPr>
          <w:rFonts w:ascii="Arial" w:cs="Arial" w:eastAsia="Arial" w:hAnsi="Arial"/>
          <w:color w:val="888780"/>
          <w:sz w:val="20"/>
          <w:szCs w:val="20"/>
        </w:rPr>
        <w:t xml:space="preserve">Title</w:t>
      </w:r>
    </w:p>
    <w:p>
      <w:pPr>
        <w:pBdr>
          <w:bottom w:val="single" w:color="D3D1C7" w:sz="4" w:space="2"/>
        </w:pBdr>
        <w:spacing w:after="80" w:before="200"/>
      </w:pPr>
      <w:r>
        <w:rPr>
          <w:rFonts w:ascii="Arial" w:cs="Arial" w:eastAsia="Arial" w:hAnsi="Arial"/>
          <w:color w:val="888780"/>
          <w:sz w:val="20"/>
          <w:szCs w:val="20"/>
        </w:rPr>
        <w:t xml:space="preserve">Date</w:t>
      </w:r>
    </w:p>
    <w:p>
      <w:pPr>
        <w:spacing w:after="200" w:before="0"/>
      </w:pPr>
      <w:r>
        <w:t xml:space="preserve"/>
      </w:r>
    </w:p>
    <w:p>
      <w:pPr>
        <w:spacing w:after="60"/>
      </w:pPr>
      <w:r>
        <w:rPr>
          <w:rFonts w:ascii="Arial" w:cs="Arial" w:eastAsia="Arial" w:hAnsi="Arial"/>
          <w:b/>
          <w:bCs/>
          <w:color w:val="2C2C2A"/>
          <w:sz w:val="20"/>
          <w:szCs w:val="20"/>
        </w:rPr>
        <w:t xml:space="preserve">For and on behalf of Client</w:t>
      </w:r>
    </w:p>
    <w:p>
      <w:pPr>
        <w:pBdr>
          <w:bottom w:val="single" w:color="D3D1C7" w:sz="4" w:space="2"/>
        </w:pBdr>
        <w:spacing w:after="60" w:before="360"/>
      </w:pPr>
      <w:r>
        <w:rPr>
          <w:rFonts w:ascii="Arial" w:cs="Arial" w:eastAsia="Arial" w:hAnsi="Arial"/>
          <w:color w:val="888780"/>
          <w:sz w:val="18"/>
          <w:szCs w:val="18"/>
        </w:rPr>
        <w:t xml:space="preserve">Signature</w:t>
      </w:r>
    </w:p>
    <w:p>
      <w:pPr>
        <w:pBdr>
          <w:bottom w:val="single" w:color="D3D1C7" w:sz="4" w:space="2"/>
        </w:pBdr>
        <w:spacing w:after="80" w:before="200"/>
      </w:pPr>
      <w:r>
        <w:rPr>
          <w:rFonts w:ascii="Arial" w:cs="Arial" w:eastAsia="Arial" w:hAnsi="Arial"/>
          <w:color w:val="888780"/>
          <w:sz w:val="20"/>
          <w:szCs w:val="20"/>
        </w:rPr>
        <w:t xml:space="preserve">Printed name</w:t>
      </w:r>
    </w:p>
    <w:p>
      <w:pPr>
        <w:pBdr>
          <w:bottom w:val="single" w:color="D3D1C7" w:sz="4" w:space="2"/>
        </w:pBdr>
        <w:spacing w:after="80" w:before="200"/>
      </w:pPr>
      <w:r>
        <w:rPr>
          <w:rFonts w:ascii="Arial" w:cs="Arial" w:eastAsia="Arial" w:hAnsi="Arial"/>
          <w:color w:val="888780"/>
          <w:sz w:val="20"/>
          <w:szCs w:val="20"/>
        </w:rPr>
        <w:t xml:space="preserve">Title</w:t>
      </w:r>
    </w:p>
    <w:p>
      <w:pPr>
        <w:pBdr>
          <w:bottom w:val="single" w:color="D3D1C7" w:sz="4" w:space="2"/>
        </w:pBdr>
        <w:spacing w:after="80" w:before="200"/>
      </w:pPr>
      <w:r>
        <w:rPr>
          <w:rFonts w:ascii="Arial" w:cs="Arial" w:eastAsia="Arial" w:hAnsi="Arial"/>
          <w:color w:val="888780"/>
          <w:sz w:val="20"/>
          <w:szCs w:val="20"/>
        </w:rPr>
        <w:t xml:space="preserve">Date</w:t>
      </w:r>
    </w:p>
    <w:p>
      <w:pPr>
        <w:spacing w:after="200" w:before="0"/>
      </w:pPr>
      <w:r>
        <w:t xml:space="preserve"/>
      </w:r>
    </w:p>
    <w:p>
      <w:pPr>
        <w:spacing w:after="60"/>
      </w:pPr>
      <w:r>
        <w:rPr>
          <w:rFonts w:ascii="Arial" w:cs="Arial" w:eastAsia="Arial" w:hAnsi="Arial"/>
          <w:b/>
          <w:bCs/>
          <w:color w:val="888780"/>
          <w:sz w:val="18"/>
          <w:szCs w:val="18"/>
        </w:rPr>
        <w:t xml:space="preserve">Note:</w:t>
      </w:r>
      <w:r>
        <w:rPr>
          <w:rFonts w:ascii="Arial" w:cs="Arial" w:eastAsia="Arial" w:hAnsi="Arial"/>
          <w:color w:val="888780"/>
          <w:sz w:val="18"/>
          <w:szCs w:val="18"/>
        </w:rPr>
        <w:t xml:space="preserve"> This template is a starting point. Have a qualified attorney in your jurisdiction review before use with paying clients.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tabs>
        <w:tab w:val="right" w:pos="9026"/>
      </w:tabs>
      <w:spacing w:before="0"/>
    </w:pPr>
    <w:r>
      <w:rPr>
        <w:rFonts w:ascii="Arial" w:cs="Arial" w:eastAsia="Arial" w:hAnsi="Arial"/>
        <w:color w:val="888780"/>
        <w:sz w:val="16"/>
        <w:szCs w:val="16"/>
      </w:rPr>
      <w:t xml:space="preserve">Confidential  ·  AltusFlow.ai</w:t>
    </w: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4"/>
      </w:pBdr>
      <w:tabs>
        <w:tab w:val="right" w:pos="9026"/>
      </w:tabs>
      <w:spacing w:after="0"/>
    </w:pPr>
    <w:r>
      <w:rPr>
        <w:rFonts w:ascii="Arial" w:cs="Arial" w:eastAsia="Arial" w:hAnsi="Arial"/>
        <w:b/>
        <w:bCs/>
        <w:color w:val="2C2C2A"/>
        <w:sz w:val="18"/>
        <w:szCs w:val="18"/>
      </w:rPr>
      <w:t xml:space="preserve">ALTUSFLOW.AI</w:t>
    </w:r>
    <w:r>
      <w:rPr>
        <w:sz w:val="18"/>
        <w:szCs w:val="18"/>
      </w:rPr>
      <w:t xml:space="preserve">	</w:t>
    </w:r>
    <w:r>
      <w:rPr>
        <w:rFonts w:ascii="Arial" w:cs="Arial" w:eastAsia="Arial" w:hAnsi="Arial"/>
        <w:color w:val="888780"/>
        <w:sz w:val="18"/>
        <w:szCs w:val="18"/>
      </w:rPr>
      <w:t xml:space="preserve">Client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2C2A"/>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2026-06-18T02:52:35.621Z</dcterms:created>
  <dcterms:modified xsi:type="dcterms:W3CDTF">2026-06-18T02:52:35.621Z</dcterms:modified>
</cp:coreProperties>
</file>

<file path=docProps/custom.xml><?xml version="1.0" encoding="utf-8"?>
<Properties xmlns="http://schemas.openxmlformats.org/officeDocument/2006/custom-properties" xmlns:vt="http://schemas.openxmlformats.org/officeDocument/2006/docPropsVTypes"/>
</file>