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pPr>
      <w:r>
        <w:t xml:space="preserve"/>
      </w:r>
    </w:p>
    <w:p>
      <w:pPr>
        <w:spacing w:after="60"/>
      </w:pPr>
      <w:r>
        <w:rPr>
          <w:rFonts w:ascii="Arial" w:cs="Arial" w:eastAsia="Arial" w:hAnsi="Arial"/>
          <w:b/>
          <w:bCs/>
          <w:color w:val="2C2C2A"/>
          <w:sz w:val="52"/>
          <w:szCs w:val="52"/>
        </w:rPr>
        <w:t xml:space="preserve">Inbound Magnet</w:t>
      </w:r>
    </w:p>
    <w:p>
      <w:pPr>
        <w:pBdr>
          <w:bottom w:val="single" w:color="1D9E75" w:sz="8" w:space="6"/>
        </w:pBdr>
        <w:spacing w:after="0"/>
      </w:pPr>
      <w:r>
        <w:rPr>
          <w:rFonts w:ascii="Arial" w:cs="Arial" w:eastAsia="Arial" w:hAnsi="Arial"/>
          <w:color w:val="5F5E5A"/>
          <w:sz w:val="24"/>
          <w:szCs w:val="24"/>
        </w:rPr>
        <w:t xml:space="preserve">Meta Ads Master Framework</w:t>
      </w:r>
    </w:p>
    <w:p>
      <w:pPr>
        <w:spacing w:after="160"/>
      </w:pPr>
      <w:r>
        <w:t xml:space="preserve"/>
      </w:r>
    </w:p>
    <w:p>
      <w:pPr>
        <w:spacing w:after="100" w:before="40"/>
      </w:pPr>
      <w:r>
        <w:rPr>
          <w:rFonts w:ascii="Arial" w:cs="Arial" w:eastAsia="Arial" w:hAnsi="Arial"/>
          <w:color w:val="5F5E5A"/>
          <w:sz w:val="20"/>
          <w:szCs w:val="20"/>
        </w:rPr>
        <w:t xml:space="preserve">This document defines AltusFlow's standardised Meta Ads campaign architecture. Every client receives this same funnel structure, customised with their offer, audience, and creative. Do not deviate from this structure without written approval — the reporting automation is built against these exact campaign and ad set naming conventions.</w:t>
      </w:r>
    </w:p>
    <w:p>
      <w:pPr>
        <w:spacing w:after="200"/>
      </w:pPr>
      <w:r>
        <w:t xml:space="preserve"/>
      </w:r>
    </w:p>
    <w:p>
      <w:pPr>
        <w:pStyle w:val="Heading1"/>
        <w:pBdr>
          <w:bottom w:val="single" w:color="1D9E75" w:sz="6" w:space="4"/>
        </w:pBdr>
        <w:spacing w:after="140" w:before="360"/>
      </w:pPr>
      <w:r>
        <w:rPr>
          <w:rFonts w:ascii="Arial" w:cs="Arial" w:eastAsia="Arial" w:hAnsi="Arial"/>
          <w:b/>
          <w:bCs/>
          <w:color w:val="2C2C2A"/>
          <w:sz w:val="26"/>
          <w:szCs w:val="26"/>
        </w:rPr>
        <w:t xml:space="preserve">1. Account structure overview</w:t>
      </w:r>
    </w:p>
    <w:p>
      <w:pPr>
        <w:spacing w:after="100" w:before="40"/>
      </w:pPr>
      <w:r>
        <w:rPr>
          <w:rFonts w:ascii="Arial" w:cs="Arial" w:eastAsia="Arial" w:hAnsi="Arial"/>
          <w:color w:val="5F5E5A"/>
          <w:sz w:val="20"/>
          <w:szCs w:val="20"/>
        </w:rPr>
        <w:t xml:space="preserve">AltusFlow uses a three-campaign structure mapped to funnel temperature. Each campaign has its own budget, objective, and audience. Never mix TOF and RTG audiences in the same campaign.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TOF campaign</w:t>
            </w:r>
          </w:p>
        </w:tc>
        <w:tc>
          <w:tcPr>
            <w:tcW w:type="dxa" w:w="61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Top of Funnel — cold traffic, Awareness/Traffic or Leads objective</w:t>
            </w:r>
          </w:p>
        </w:tc>
      </w:tr>
      <w:tr>
        <w:tc>
          <w:tcPr>
            <w:tcW w:type="dxa" w:w="3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MOF campaign</w:t>
            </w:r>
          </w:p>
        </w:tc>
        <w:tc>
          <w:tcPr>
            <w:tcW w:type="dxa" w:w="61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Middle of Funnel — warm engaged audiences, Leads objective</w:t>
            </w:r>
          </w:p>
        </w:tc>
      </w:tr>
      <w:tr>
        <w:tc>
          <w:tcPr>
            <w:tcW w:type="dxa" w:w="3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RTG campaign</w:t>
            </w:r>
          </w:p>
        </w:tc>
        <w:tc>
          <w:tcPr>
            <w:tcW w:type="dxa" w:w="61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Retargeting — website visitors + video viewers, Conversions objective</w:t>
            </w:r>
          </w:p>
        </w:tc>
      </w:tr>
    </w:tbl>
    <w:p>
      <w:pPr>
        <w:spacing w:after="160"/>
      </w:pPr>
      <w:r>
        <w:t xml:space="preserve"/>
      </w:r>
    </w:p>
    <w:p>
      <w:pPr>
        <w:pStyle w:val="Heading1"/>
        <w:pBdr>
          <w:bottom w:val="single" w:color="1D9E75" w:sz="6" w:space="4"/>
        </w:pBdr>
        <w:spacing w:after="140" w:before="360"/>
      </w:pPr>
      <w:r>
        <w:rPr>
          <w:rFonts w:ascii="Arial" w:cs="Arial" w:eastAsia="Arial" w:hAnsi="Arial"/>
          <w:b/>
          <w:bCs/>
          <w:color w:val="2C2C2A"/>
          <w:sz w:val="26"/>
          <w:szCs w:val="26"/>
        </w:rPr>
        <w:t xml:space="preserve">2. Campaign specifications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3D1C7" w:sz="1"/>
              <w:left w:val="single" w:color="D3D1C7" w:sz="1"/>
              <w:bottom w:val="single" w:color="D3D1C7" w:sz="1"/>
              <w:right w:val="single" w:color="D3D1C7" w:sz="1"/>
            </w:tcBorders>
            <w:shd w:fill="1D9E75" w:val="clear"/>
            <w:tcMar>
              <w:top w:type="dxa" w:w="100"/>
              <w:left w:type="dxa" w:w="140"/>
              <w:bottom w:type="dxa" w:w="100"/>
              <w:right w:type="dxa" w:w="140"/>
            </w:tcMar>
          </w:tcPr>
          <w:p>
            <w:pPr>
              <w:jc w:val="center"/>
            </w:pPr>
            <w:r>
              <w:rPr>
                <w:rFonts w:ascii="Arial" w:cs="Arial" w:eastAsia="Arial" w:hAnsi="Arial"/>
                <w:b/>
                <w:bCs/>
                <w:color w:val="FFFFFF"/>
                <w:sz w:val="32"/>
                <w:szCs w:val="32"/>
              </w:rPr>
              <w:t xml:space="preserve">TOF</w:t>
            </w:r>
          </w:p>
        </w:tc>
        <w:tc>
          <w:tcPr>
            <w:tcW w:type="dxa" w:w="696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tcPr>
          <w:p>
            <w:r>
              <w:rPr>
                <w:rFonts w:ascii="Arial" w:cs="Arial" w:eastAsia="Arial" w:hAnsi="Arial"/>
                <w:b/>
                <w:bCs/>
                <w:color w:val="2C2C2A"/>
                <w:sz w:val="24"/>
                <w:szCs w:val="24"/>
              </w:rPr>
              <w:t xml:space="preserve">Top of Funnel — cold traffic</w:t>
            </w:r>
          </w:p>
        </w:tc>
      </w:tr>
      <w:tr>
        <w:tc>
          <w:tcPr>
            <w:tcW w:type="dxa" w:w="24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5F5E5A"/>
                <w:sz w:val="19"/>
                <w:szCs w:val="19"/>
              </w:rPr>
              <w:t xml:space="preserve">Objective</w:t>
            </w:r>
          </w:p>
        </w:tc>
        <w:tc>
          <w:tcPr>
            <w:tcW w:type="dxa" w:w="69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Leads (Instant Form) or Traffic to landing page</w:t>
            </w:r>
          </w:p>
        </w:tc>
      </w:tr>
      <w:tr>
        <w:tc>
          <w:tcPr>
            <w:tcW w:type="dxa" w:w="24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5F5E5A"/>
                <w:sz w:val="19"/>
                <w:szCs w:val="19"/>
              </w:rPr>
              <w:t xml:space="preserve">Audience</w:t>
            </w:r>
          </w:p>
        </w:tc>
        <w:tc>
          <w:tcPr>
            <w:tcW w:type="dxa" w:w="69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Broad interest targeting + Lookalike audiences (1–3%). Never retargeting.</w:t>
            </w:r>
          </w:p>
        </w:tc>
      </w:tr>
      <w:tr>
        <w:tc>
          <w:tcPr>
            <w:tcW w:type="dxa" w:w="24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5F5E5A"/>
                <w:sz w:val="19"/>
                <w:szCs w:val="19"/>
              </w:rPr>
              <w:t xml:space="preserve">Format</w:t>
            </w:r>
          </w:p>
        </w:tc>
        <w:tc>
          <w:tcPr>
            <w:tcW w:type="dxa" w:w="69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VSL (60–90 sec video) primary. Static image test as control.</w:t>
            </w:r>
          </w:p>
        </w:tc>
      </w:tr>
      <w:tr>
        <w:tc>
          <w:tcPr>
            <w:tcW w:type="dxa" w:w="24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5F5E5A"/>
                <w:sz w:val="19"/>
                <w:szCs w:val="19"/>
              </w:rPr>
              <w:t xml:space="preserve">Copy angle</w:t>
            </w:r>
          </w:p>
        </w:tc>
        <w:tc>
          <w:tcPr>
            <w:tcW w:type="dxa" w:w="69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Lead with the problem, not the solution. Agitate the pain. CTA: "See how it works."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3D1C7" w:sz="1"/>
              <w:left w:val="single" w:color="D3D1C7" w:sz="1"/>
              <w:bottom w:val="single" w:color="D3D1C7" w:sz="1"/>
              <w:right w:val="single" w:color="D3D1C7" w:sz="1"/>
            </w:tcBorders>
            <w:shd w:fill="534AB7" w:val="clear"/>
            <w:tcMar>
              <w:top w:type="dxa" w:w="100"/>
              <w:left w:type="dxa" w:w="140"/>
              <w:bottom w:type="dxa" w:w="100"/>
              <w:right w:type="dxa" w:w="140"/>
            </w:tcMar>
          </w:tcPr>
          <w:p>
            <w:pPr>
              <w:jc w:val="center"/>
            </w:pPr>
            <w:r>
              <w:rPr>
                <w:rFonts w:ascii="Arial" w:cs="Arial" w:eastAsia="Arial" w:hAnsi="Arial"/>
                <w:b/>
                <w:bCs/>
                <w:color w:val="FFFFFF"/>
                <w:sz w:val="32"/>
                <w:szCs w:val="32"/>
              </w:rPr>
              <w:t xml:space="preserve">MOF</w:t>
            </w:r>
          </w:p>
        </w:tc>
        <w:tc>
          <w:tcPr>
            <w:tcW w:type="dxa" w:w="6960"/>
            <w:tcBorders>
              <w:top w:val="single" w:color="D3D1C7" w:sz="1"/>
              <w:left w:val="single" w:color="D3D1C7" w:sz="1"/>
              <w:bottom w:val="single" w:color="D3D1C7" w:sz="1"/>
              <w:right w:val="single" w:color="D3D1C7" w:sz="1"/>
            </w:tcBorders>
            <w:shd w:fill="EEEDFE" w:val="clear"/>
            <w:tcMar>
              <w:top w:type="dxa" w:w="100"/>
              <w:left w:type="dxa" w:w="140"/>
              <w:bottom w:type="dxa" w:w="100"/>
              <w:right w:type="dxa" w:w="140"/>
            </w:tcMar>
          </w:tcPr>
          <w:p>
            <w:r>
              <w:rPr>
                <w:rFonts w:ascii="Arial" w:cs="Arial" w:eastAsia="Arial" w:hAnsi="Arial"/>
                <w:b/>
                <w:bCs/>
                <w:color w:val="2C2C2A"/>
                <w:sz w:val="24"/>
                <w:szCs w:val="24"/>
              </w:rPr>
              <w:t xml:space="preserve">Middle of Funnel — warm audiences</w:t>
            </w:r>
          </w:p>
        </w:tc>
      </w:tr>
      <w:tr>
        <w:tc>
          <w:tcPr>
            <w:tcW w:type="dxa" w:w="24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5F5E5A"/>
                <w:sz w:val="19"/>
                <w:szCs w:val="19"/>
              </w:rPr>
              <w:t xml:space="preserve">Objective</w:t>
            </w:r>
          </w:p>
        </w:tc>
        <w:tc>
          <w:tcPr>
            <w:tcW w:type="dxa" w:w="69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Leads (Instant Form)</w:t>
            </w:r>
          </w:p>
        </w:tc>
      </w:tr>
      <w:tr>
        <w:tc>
          <w:tcPr>
            <w:tcW w:type="dxa" w:w="24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5F5E5A"/>
                <w:sz w:val="19"/>
                <w:szCs w:val="19"/>
              </w:rPr>
              <w:t xml:space="preserve">Audience</w:t>
            </w:r>
          </w:p>
        </w:tc>
        <w:tc>
          <w:tcPr>
            <w:tcW w:type="dxa" w:w="69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Video viewers (25%+), Page engagers (90 days), Website visitors (90 days) — exclude purchasers</w:t>
            </w:r>
          </w:p>
        </w:tc>
      </w:tr>
      <w:tr>
        <w:tc>
          <w:tcPr>
            <w:tcW w:type="dxa" w:w="24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5F5E5A"/>
                <w:sz w:val="19"/>
                <w:szCs w:val="19"/>
              </w:rPr>
              <w:t xml:space="preserve">Format</w:t>
            </w:r>
          </w:p>
        </w:tc>
        <w:tc>
          <w:tcPr>
            <w:tcW w:type="dxa" w:w="69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Testimonial video or case study carousel. Social proof led.</w:t>
            </w:r>
          </w:p>
        </w:tc>
      </w:tr>
      <w:tr>
        <w:tc>
          <w:tcPr>
            <w:tcW w:type="dxa" w:w="24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5F5E5A"/>
                <w:sz w:val="19"/>
                <w:szCs w:val="19"/>
              </w:rPr>
              <w:t xml:space="preserve">Copy angle</w:t>
            </w:r>
          </w:p>
        </w:tc>
        <w:tc>
          <w:tcPr>
            <w:tcW w:type="dxa" w:w="69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They know the problem. Focus on credibility and results. CTA: "Book a free strategy call."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3D1C7" w:sz="1"/>
              <w:left w:val="single" w:color="D3D1C7" w:sz="1"/>
              <w:bottom w:val="single" w:color="D3D1C7" w:sz="1"/>
              <w:right w:val="single" w:color="D3D1C7" w:sz="1"/>
            </w:tcBorders>
            <w:shd w:fill="D85A30" w:val="clear"/>
            <w:tcMar>
              <w:top w:type="dxa" w:w="100"/>
              <w:left w:type="dxa" w:w="140"/>
              <w:bottom w:type="dxa" w:w="100"/>
              <w:right w:type="dxa" w:w="140"/>
            </w:tcMar>
          </w:tcPr>
          <w:p>
            <w:pPr>
              <w:jc w:val="center"/>
            </w:pPr>
            <w:r>
              <w:rPr>
                <w:rFonts w:ascii="Arial" w:cs="Arial" w:eastAsia="Arial" w:hAnsi="Arial"/>
                <w:b/>
                <w:bCs/>
                <w:color w:val="FFFFFF"/>
                <w:sz w:val="32"/>
                <w:szCs w:val="32"/>
              </w:rPr>
              <w:t xml:space="preserve">RTG</w:t>
            </w:r>
          </w:p>
        </w:tc>
        <w:tc>
          <w:tcPr>
            <w:tcW w:type="dxa" w:w="6960"/>
            <w:tcBorders>
              <w:top w:val="single" w:color="D3D1C7" w:sz="1"/>
              <w:left w:val="single" w:color="D3D1C7" w:sz="1"/>
              <w:bottom w:val="single" w:color="D3D1C7" w:sz="1"/>
              <w:right w:val="single" w:color="D3D1C7" w:sz="1"/>
            </w:tcBorders>
            <w:shd w:fill="FAECE7" w:val="clear"/>
            <w:tcMar>
              <w:top w:type="dxa" w:w="100"/>
              <w:left w:type="dxa" w:w="140"/>
              <w:bottom w:type="dxa" w:w="100"/>
              <w:right w:type="dxa" w:w="140"/>
            </w:tcMar>
          </w:tcPr>
          <w:p>
            <w:r>
              <w:rPr>
                <w:rFonts w:ascii="Arial" w:cs="Arial" w:eastAsia="Arial" w:hAnsi="Arial"/>
                <w:b/>
                <w:bCs/>
                <w:color w:val="2C2C2A"/>
                <w:sz w:val="24"/>
                <w:szCs w:val="24"/>
              </w:rPr>
              <w:t xml:space="preserve">Retargeting — hot audiences</w:t>
            </w:r>
          </w:p>
        </w:tc>
      </w:tr>
      <w:tr>
        <w:tc>
          <w:tcPr>
            <w:tcW w:type="dxa" w:w="24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5F5E5A"/>
                <w:sz w:val="19"/>
                <w:szCs w:val="19"/>
              </w:rPr>
              <w:t xml:space="preserve">Objective</w:t>
            </w:r>
          </w:p>
        </w:tc>
        <w:tc>
          <w:tcPr>
            <w:tcW w:type="dxa" w:w="69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Conversions (booking page visit or form start)</w:t>
            </w:r>
          </w:p>
        </w:tc>
      </w:tr>
      <w:tr>
        <w:tc>
          <w:tcPr>
            <w:tcW w:type="dxa" w:w="24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5F5E5A"/>
                <w:sz w:val="19"/>
                <w:szCs w:val="19"/>
              </w:rPr>
              <w:t xml:space="preserve">Audience</w:t>
            </w:r>
          </w:p>
        </w:tc>
        <w:tc>
          <w:tcPr>
            <w:tcW w:type="dxa" w:w="69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Landing page visitors who did not convert (30 days). Lead form opens who did not submit.</w:t>
            </w:r>
          </w:p>
        </w:tc>
      </w:tr>
      <w:tr>
        <w:tc>
          <w:tcPr>
            <w:tcW w:type="dxa" w:w="24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5F5E5A"/>
                <w:sz w:val="19"/>
                <w:szCs w:val="19"/>
              </w:rPr>
              <w:t xml:space="preserve">Format</w:t>
            </w:r>
          </w:p>
        </w:tc>
        <w:tc>
          <w:tcPr>
            <w:tcW w:type="dxa" w:w="69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Short direct video (15–30 sec) or static urgency ad.</w:t>
            </w:r>
          </w:p>
        </w:tc>
      </w:tr>
      <w:tr>
        <w:tc>
          <w:tcPr>
            <w:tcW w:type="dxa" w:w="24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5F5E5A"/>
                <w:sz w:val="19"/>
                <w:szCs w:val="19"/>
              </w:rPr>
              <w:t xml:space="preserve">Copy angle</w:t>
            </w:r>
          </w:p>
        </w:tc>
        <w:tc>
          <w:tcPr>
            <w:tcW w:type="dxa" w:w="69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They almost took action. Remove the objection. CTA: "Still thinking about it? Here's what others say."</w:t>
            </w:r>
          </w:p>
        </w:tc>
      </w:tr>
    </w:tbl>
    <w:p>
      <w:pPr>
        <w:spacing w:after="200"/>
      </w:pPr>
      <w:r>
        <w:t xml:space="preserve"/>
      </w:r>
    </w:p>
    <w:p>
      <w:pPr>
        <w:pStyle w:val="Heading1"/>
        <w:pBdr>
          <w:bottom w:val="single" w:color="1D9E75" w:sz="6" w:space="4"/>
        </w:pBdr>
        <w:spacing w:after="140" w:before="360"/>
      </w:pPr>
      <w:r>
        <w:rPr>
          <w:rFonts w:ascii="Arial" w:cs="Arial" w:eastAsia="Arial" w:hAnsi="Arial"/>
          <w:b/>
          <w:bCs/>
          <w:color w:val="2C2C2A"/>
          <w:sz w:val="26"/>
          <w:szCs w:val="26"/>
        </w:rPr>
        <w:t xml:space="preserve">3. UTM and naming convention</w:t>
      </w:r>
    </w:p>
    <w:p>
      <w:pPr>
        <w:spacing w:after="100" w:before="40"/>
      </w:pPr>
      <w:r>
        <w:rPr>
          <w:rFonts w:ascii="Arial" w:cs="Arial" w:eastAsia="Arial" w:hAnsi="Arial"/>
          <w:color w:val="5F5E5A"/>
          <w:sz w:val="20"/>
          <w:szCs w:val="20"/>
        </w:rPr>
        <w:t xml:space="preserve">All campaign names, ad set names, and ad names must follow AltusFlow's Master UTM Taxonomy exactly. The reporting automation parses these strings to populate HubSpot.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Campaign name</w:t>
            </w:r>
          </w:p>
        </w:tc>
        <w:tc>
          <w:tcPr>
            <w:tcW w:type="dxa" w:w="61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[CLIENT-ID]_IM_[TOF|MOF|RTG]</w:t>
            </w:r>
          </w:p>
        </w:tc>
      </w:tr>
      <w:tr>
        <w:tc>
          <w:tcPr>
            <w:tcW w:type="dxa" w:w="3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Ad set name</w:t>
            </w:r>
          </w:p>
        </w:tc>
        <w:tc>
          <w:tcPr>
            <w:tcW w:type="dxa" w:w="61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[CLIENT-ID]_IM_[TOF|MOF|RTG]_[COLD|WARM|HOT|LAL]_[audience descriptor]</w:t>
            </w:r>
          </w:p>
        </w:tc>
      </w:tr>
      <w:tr>
        <w:tc>
          <w:tcPr>
            <w:tcW w:type="dxa" w:w="3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Ad name</w:t>
            </w:r>
          </w:p>
        </w:tc>
        <w:tc>
          <w:tcPr>
            <w:tcW w:type="dxa" w:w="61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[CLIENT-ID]_IM_[TOF|MOF|RTG]_[VSL-A|IMG-A|CAR-A|etc]</w:t>
            </w:r>
          </w:p>
        </w:tc>
      </w:tr>
      <w:tr>
        <w:tc>
          <w:tcPr>
            <w:tcW w:type="dxa" w:w="3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utm_source</w:t>
            </w:r>
          </w:p>
        </w:tc>
        <w:tc>
          <w:tcPr>
            <w:tcW w:type="dxa" w:w="61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[CLIENT-ID]_IM_[TOF|MOF|RTG]_[COLD|WARM|HOT|LAL]_[creative]</w:t>
            </w:r>
          </w:p>
        </w:tc>
      </w:tr>
      <w:tr>
        <w:tc>
          <w:tcPr>
            <w:tcW w:type="dxa" w:w="3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utm_medium</w:t>
            </w:r>
          </w:p>
        </w:tc>
        <w:tc>
          <w:tcPr>
            <w:tcW w:type="dxa" w:w="61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paid-social</w:t>
            </w:r>
          </w:p>
        </w:tc>
      </w:tr>
      <w:tr>
        <w:tc>
          <w:tcPr>
            <w:tcW w:type="dxa" w:w="3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utm_campaign</w:t>
            </w:r>
          </w:p>
        </w:tc>
        <w:tc>
          <w:tcPr>
            <w:tcW w:type="dxa" w:w="61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meta</w:t>
            </w:r>
          </w:p>
        </w:tc>
      </w:tr>
    </w:tbl>
    <w:p>
      <w:pPr>
        <w:spacing w:after="80"/>
      </w:pPr>
      <w:r>
        <w:t xml:space="preserve"/>
      </w:r>
    </w:p>
    <w:p>
      <w:pPr>
        <w:spacing w:after="100" w:before="40"/>
      </w:pPr>
      <w:r>
        <w:rPr>
          <w:rFonts w:ascii="Arial" w:cs="Arial" w:eastAsia="Arial" w:hAnsi="Arial"/>
          <w:color w:val="5F5E5A"/>
          <w:sz w:val="20"/>
          <w:szCs w:val="20"/>
        </w:rPr>
        <w:t xml:space="preserve">Example for Redbox Talent TOF VSL-A:</w:t>
      </w:r>
    </w:p>
    <w:p>
      <w:pPr>
        <w:spacing w:after="100" w:before="40"/>
      </w:pPr>
      <w:r>
        <w:rPr>
          <w:rFonts w:ascii="Arial" w:cs="Arial" w:eastAsia="Arial" w:hAnsi="Arial"/>
          <w:color w:val="2C2C2A"/>
          <w:sz w:val="20"/>
          <w:szCs w:val="20"/>
        </w:rPr>
        <w:t xml:space="preserve">  Campaign: RBT01_IM_TOF</w:t>
      </w:r>
    </w:p>
    <w:p>
      <w:pPr>
        <w:spacing w:after="100" w:before="40"/>
      </w:pPr>
      <w:r>
        <w:rPr>
          <w:rFonts w:ascii="Arial" w:cs="Arial" w:eastAsia="Arial" w:hAnsi="Arial"/>
          <w:color w:val="2C2C2A"/>
          <w:sz w:val="20"/>
          <w:szCs w:val="20"/>
        </w:rPr>
        <w:t xml:space="preserve">  Ad set:    RBT01_IM_TOF_LAL_lookalike-1pct</w:t>
      </w:r>
    </w:p>
    <w:p>
      <w:pPr>
        <w:spacing w:after="100" w:before="40"/>
      </w:pPr>
      <w:r>
        <w:rPr>
          <w:rFonts w:ascii="Arial" w:cs="Arial" w:eastAsia="Arial" w:hAnsi="Arial"/>
          <w:color w:val="2C2C2A"/>
          <w:sz w:val="20"/>
          <w:szCs w:val="20"/>
        </w:rPr>
        <w:t xml:space="preserve">  Ad:        RBT01_IM_TOF_VSL-A</w:t>
      </w:r>
    </w:p>
    <w:p>
      <w:pPr>
        <w:spacing w:after="100" w:before="40"/>
      </w:pPr>
      <w:r>
        <w:rPr>
          <w:rFonts w:ascii="Arial" w:cs="Arial" w:eastAsia="Arial" w:hAnsi="Arial"/>
          <w:color w:val="2C2C2A"/>
          <w:sz w:val="20"/>
          <w:szCs w:val="20"/>
        </w:rPr>
        <w:t xml:space="preserve">  UTM:       utm_source=RBT01_IM_TOF_LAL_VSL-A&amp;utm_medium=paid-social&amp;utm_campaign=meta</w:t>
      </w:r>
    </w:p>
    <w:p>
      <w:pPr>
        <w:spacing w:after="200"/>
      </w:pPr>
      <w:r>
        <w:t xml:space="preserve"/>
      </w:r>
    </w:p>
    <w:p>
      <w:pPr>
        <w:pStyle w:val="Heading1"/>
        <w:pBdr>
          <w:bottom w:val="single" w:color="1D9E75" w:sz="6" w:space="4"/>
        </w:pBdr>
        <w:spacing w:after="140" w:before="360"/>
      </w:pPr>
      <w:r>
        <w:rPr>
          <w:rFonts w:ascii="Arial" w:cs="Arial" w:eastAsia="Arial" w:hAnsi="Arial"/>
          <w:b/>
          <w:bCs/>
          <w:color w:val="2C2C2A"/>
          <w:sz w:val="26"/>
          <w:szCs w:val="26"/>
        </w:rPr>
        <w:t xml:space="preserve">4. Budget allocation model</w:t>
      </w:r>
    </w:p>
    <w:p>
      <w:pPr>
        <w:spacing w:after="100" w:before="40"/>
      </w:pPr>
      <w:r>
        <w:rPr>
          <w:rFonts w:ascii="Arial" w:cs="Arial" w:eastAsia="Arial" w:hAnsi="Arial"/>
          <w:color w:val="5F5E5A"/>
          <w:sz w:val="20"/>
          <w:szCs w:val="20"/>
        </w:rPr>
        <w:t xml:space="preserve">Recommended starting budget split. Adjust after 2 weeks of data.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TOF campaign</w:t>
            </w:r>
          </w:p>
        </w:tc>
        <w:tc>
          <w:tcPr>
            <w:tcW w:type="dxa" w:w="61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70% of total budget — volume phase, build the pool</w:t>
            </w:r>
          </w:p>
        </w:tc>
      </w:tr>
      <w:tr>
        <w:tc>
          <w:tcPr>
            <w:tcW w:type="dxa" w:w="3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MOF campaign</w:t>
            </w:r>
          </w:p>
        </w:tc>
        <w:tc>
          <w:tcPr>
            <w:tcW w:type="dxa" w:w="61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20% of total budget — nurture warm audiences</w:t>
            </w:r>
          </w:p>
        </w:tc>
      </w:tr>
      <w:tr>
        <w:tc>
          <w:tcPr>
            <w:tcW w:type="dxa" w:w="3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RTG campaign</w:t>
            </w:r>
          </w:p>
        </w:tc>
        <w:tc>
          <w:tcPr>
            <w:tcW w:type="dxa" w:w="61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10% of total budget — close the gap</w:t>
            </w:r>
          </w:p>
        </w:tc>
      </w:tr>
      <w:tr>
        <w:tc>
          <w:tcPr>
            <w:tcW w:type="dxa" w:w="3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Minimum total budget</w:t>
            </w:r>
          </w:p>
        </w:tc>
        <w:tc>
          <w:tcPr>
            <w:tcW w:type="dxa" w:w="61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$1,500/month to generate reliable data. $3,000+ recommended.</w:t>
            </w:r>
          </w:p>
        </w:tc>
      </w:tr>
    </w:tbl>
    <w:p>
      <w:pPr>
        <w:spacing w:after="80"/>
      </w:pPr>
      <w:r>
        <w:t xml:space="preserve"/>
      </w:r>
    </w:p>
    <w:p>
      <w:pPr>
        <w:spacing w:after="100" w:before="40"/>
      </w:pPr>
      <w:r>
        <w:rPr>
          <w:rFonts w:ascii="Arial" w:cs="Arial" w:eastAsia="Arial" w:hAnsi="Arial"/>
          <w:color w:val="5F5E5A"/>
          <w:sz w:val="20"/>
          <w:szCs w:val="20"/>
        </w:rPr>
        <w:t xml:space="preserve">Client funds their Meta Ads account directly. AltusFlow does not handle ad spend.</w:t>
      </w:r>
    </w:p>
    <w:p>
      <w:pPr>
        <w:spacing w:after="200"/>
      </w:pPr>
      <w:r>
        <w:t xml:space="preserve"/>
      </w:r>
    </w:p>
    <w:p>
      <w:pPr>
        <w:pStyle w:val="Heading1"/>
        <w:pBdr>
          <w:bottom w:val="single" w:color="1D9E75" w:sz="6" w:space="4"/>
        </w:pBdr>
        <w:spacing w:after="140" w:before="360"/>
      </w:pPr>
      <w:r>
        <w:rPr>
          <w:rFonts w:ascii="Arial" w:cs="Arial" w:eastAsia="Arial" w:hAnsi="Arial"/>
          <w:b/>
          <w:bCs/>
          <w:color w:val="2C2C2A"/>
          <w:sz w:val="26"/>
          <w:szCs w:val="26"/>
        </w:rPr>
        <w:t xml:space="preserve">5. Creative brief template</w:t>
      </w:r>
    </w:p>
    <w:p>
      <w:pPr>
        <w:spacing w:after="100" w:before="40"/>
      </w:pPr>
      <w:r>
        <w:rPr>
          <w:rFonts w:ascii="Arial" w:cs="Arial" w:eastAsia="Arial" w:hAnsi="Arial"/>
          <w:color w:val="5F5E5A"/>
          <w:sz w:val="20"/>
          <w:szCs w:val="20"/>
        </w:rPr>
        <w:t xml:space="preserve">Complete one brief per creative variant. Submit to client for approval before publishing.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Vertical</w:t>
            </w:r>
          </w:p>
        </w:tc>
        <w:tc>
          <w:tcPr>
            <w:tcW w:type="dxa" w:w="65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Inbound Magnet (Meta)</w:t>
            </w:r>
          </w:p>
        </w:tc>
      </w:tr>
      <w:tr>
        <w:tc>
          <w:tcPr>
            <w:tcW w:type="dxa" w:w="28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Client</w:t>
            </w:r>
          </w:p>
        </w:tc>
        <w:tc>
          <w:tcPr>
            <w:tcW w:type="dxa" w:w="65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[CLIENT NAME]</w:t>
            </w:r>
          </w:p>
        </w:tc>
      </w:tr>
      <w:tr>
        <w:tc>
          <w:tcPr>
            <w:tcW w:type="dxa" w:w="28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Campaign</w:t>
            </w:r>
          </w:p>
        </w:tc>
        <w:tc>
          <w:tcPr>
            <w:tcW w:type="dxa" w:w="65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[TOF / MOF / RTG]</w:t>
            </w:r>
          </w:p>
        </w:tc>
      </w:tr>
      <w:tr>
        <w:tc>
          <w:tcPr>
            <w:tcW w:type="dxa" w:w="28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Format</w:t>
            </w:r>
          </w:p>
        </w:tc>
        <w:tc>
          <w:tcPr>
            <w:tcW w:type="dxa" w:w="65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[VSL / Static image / Carousel]</w:t>
            </w:r>
          </w:p>
        </w:tc>
      </w:tr>
      <w:tr>
        <w:tc>
          <w:tcPr>
            <w:tcW w:type="dxa" w:w="28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Duration</w:t>
            </w:r>
          </w:p>
        </w:tc>
        <w:tc>
          <w:tcPr>
            <w:tcW w:type="dxa" w:w="65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[e.g. 60 sec]</w:t>
            </w:r>
          </w:p>
        </w:tc>
      </w:tr>
      <w:tr>
        <w:tc>
          <w:tcPr>
            <w:tcW w:type="dxa" w:w="28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Hook (first 3 sec)</w:t>
            </w:r>
          </w:p>
        </w:tc>
        <w:tc>
          <w:tcPr>
            <w:tcW w:type="dxa" w:w="65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[What stops the scroll? State the problem immediately.]</w:t>
            </w:r>
          </w:p>
        </w:tc>
      </w:tr>
      <w:tr>
        <w:tc>
          <w:tcPr>
            <w:tcW w:type="dxa" w:w="28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Body</w:t>
            </w:r>
          </w:p>
        </w:tc>
        <w:tc>
          <w:tcPr>
            <w:tcW w:type="dxa" w:w="65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[Agitate the problem. Introduce the mechanism. Show proof.]</w:t>
            </w:r>
          </w:p>
        </w:tc>
      </w:tr>
      <w:tr>
        <w:tc>
          <w:tcPr>
            <w:tcW w:type="dxa" w:w="28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CTA</w:t>
            </w:r>
          </w:p>
        </w:tc>
        <w:tc>
          <w:tcPr>
            <w:tcW w:type="dxa" w:w="65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[Single action. e.g. "Book your free strategy call."]</w:t>
            </w:r>
          </w:p>
        </w:tc>
      </w:tr>
      <w:tr>
        <w:tc>
          <w:tcPr>
            <w:tcW w:type="dxa" w:w="28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Landing page URL</w:t>
            </w:r>
          </w:p>
        </w:tc>
        <w:tc>
          <w:tcPr>
            <w:tcW w:type="dxa" w:w="65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[Full URL with UTM parameters]</w:t>
            </w:r>
          </w:p>
        </w:tc>
      </w:tr>
      <w:tr>
        <w:tc>
          <w:tcPr>
            <w:tcW w:type="dxa" w:w="28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Approval required from</w:t>
            </w:r>
          </w:p>
        </w:tc>
        <w:tc>
          <w:tcPr>
            <w:tcW w:type="dxa" w:w="65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[Client name + date]</w:t>
            </w:r>
          </w:p>
        </w:tc>
      </w:tr>
    </w:tbl>
    <w:p>
      <w:pPr>
        <w:spacing w:after="200"/>
      </w:pPr>
      <w:r>
        <w:t xml:space="preserve"/>
      </w:r>
    </w:p>
    <w:p>
      <w:pPr>
        <w:pStyle w:val="Heading1"/>
        <w:pBdr>
          <w:bottom w:val="single" w:color="1D9E75" w:sz="6" w:space="4"/>
        </w:pBdr>
        <w:spacing w:after="140" w:before="360"/>
      </w:pPr>
      <w:r>
        <w:rPr>
          <w:rFonts w:ascii="Arial" w:cs="Arial" w:eastAsia="Arial" w:hAnsi="Arial"/>
          <w:b/>
          <w:bCs/>
          <w:color w:val="2C2C2A"/>
          <w:sz w:val="26"/>
          <w:szCs w:val="26"/>
        </w:rPr>
        <w:t xml:space="preserve">6. Pre-launch checklist</w:t>
      </w:r>
    </w:p>
    <w:p>
      <w:pPr>
        <w:spacing w:after="100" w:before="40"/>
      </w:pPr>
      <w:r>
        <w:rPr>
          <w:rFonts w:ascii="Arial" w:cs="Arial" w:eastAsia="Arial" w:hAnsi="Arial"/>
          <w:color w:val="5F5E5A"/>
          <w:sz w:val="20"/>
          <w:szCs w:val="20"/>
        </w:rPr>
        <w:t xml:space="preserve">Complete before activating any campaign for a new client.</w:t>
      </w:r>
    </w:p>
    <w:p>
      <w:pPr>
        <w:spacing w:after="80"/>
      </w:pPr>
      <w:r>
        <w:t xml:space="preserve"/>
      </w:r>
    </w:p>
    <w:p>
      <w:pPr>
        <w:pStyle w:val="Heading2"/>
        <w:spacing w:after="100" w:before="240"/>
      </w:pPr>
      <w:r>
        <w:rPr>
          <w:rFonts w:ascii="Arial" w:cs="Arial" w:eastAsia="Arial" w:hAnsi="Arial"/>
          <w:b/>
          <w:bCs/>
          <w:color w:val="2C2C2A"/>
          <w:sz w:val="22"/>
          <w:szCs w:val="22"/>
        </w:rPr>
        <w:t xml:space="preserve">Meta Business Manager</w:t>
      </w:r>
    </w:p>
    <w:p>
      <w:pPr>
        <w:pStyle w:val="ListParagraph"/>
        <w:numPr>
          <w:ilvl w:val="0"/>
          <w:numId w:val="2"/>
        </w:numPr>
        <w:spacing w:after="80" w:before="40"/>
      </w:pPr>
      <w:r>
        <w:rPr>
          <w:rFonts w:ascii="Arial" w:cs="Arial" w:eastAsia="Arial" w:hAnsi="Arial"/>
          <w:color w:val="3C3C3A"/>
          <w:sz w:val="20"/>
          <w:szCs w:val="20"/>
        </w:rPr>
        <w:t xml:space="preserve">Client has granted AltusFlow ad account access (Advertiser role minimum)</w:t>
      </w:r>
    </w:p>
    <w:p>
      <w:pPr>
        <w:pStyle w:val="ListParagraph"/>
        <w:numPr>
          <w:ilvl w:val="0"/>
          <w:numId w:val="2"/>
        </w:numPr>
        <w:spacing w:after="80" w:before="40"/>
      </w:pPr>
      <w:r>
        <w:rPr>
          <w:rFonts w:ascii="Arial" w:cs="Arial" w:eastAsia="Arial" w:hAnsi="Arial"/>
          <w:color w:val="3C3C3A"/>
          <w:sz w:val="20"/>
          <w:szCs w:val="20"/>
        </w:rPr>
        <w:t xml:space="preserve">Meta Pixel installed on client website and firing on key pages</w:t>
      </w:r>
    </w:p>
    <w:p>
      <w:pPr>
        <w:pStyle w:val="ListParagraph"/>
        <w:numPr>
          <w:ilvl w:val="0"/>
          <w:numId w:val="2"/>
        </w:numPr>
        <w:spacing w:after="80" w:before="40"/>
      </w:pPr>
      <w:r>
        <w:rPr>
          <w:rFonts w:ascii="Arial" w:cs="Arial" w:eastAsia="Arial" w:hAnsi="Arial"/>
          <w:color w:val="3C3C3A"/>
          <w:sz w:val="20"/>
          <w:szCs w:val="20"/>
        </w:rPr>
        <w:t xml:space="preserve">Conversion event configured (Lead or Schedule)</w:t>
      </w:r>
    </w:p>
    <w:p>
      <w:pPr>
        <w:pStyle w:val="ListParagraph"/>
        <w:numPr>
          <w:ilvl w:val="0"/>
          <w:numId w:val="2"/>
        </w:numPr>
        <w:spacing w:after="80" w:before="40"/>
      </w:pPr>
      <w:r>
        <w:rPr>
          <w:rFonts w:ascii="Arial" w:cs="Arial" w:eastAsia="Arial" w:hAnsi="Arial"/>
          <w:color w:val="3C3C3A"/>
          <w:sz w:val="20"/>
          <w:szCs w:val="20"/>
        </w:rPr>
        <w:t xml:space="preserve">UTM parameters verified on all destination URLs</w:t>
      </w:r>
    </w:p>
    <w:p>
      <w:pPr>
        <w:spacing w:after="80"/>
      </w:pPr>
      <w:r>
        <w:t xml:space="preserve"/>
      </w:r>
    </w:p>
    <w:p>
      <w:pPr>
        <w:pStyle w:val="Heading2"/>
        <w:spacing w:after="100" w:before="240"/>
      </w:pPr>
      <w:r>
        <w:rPr>
          <w:rFonts w:ascii="Arial" w:cs="Arial" w:eastAsia="Arial" w:hAnsi="Arial"/>
          <w:b/>
          <w:bCs/>
          <w:color w:val="2C2C2A"/>
          <w:sz w:val="22"/>
          <w:szCs w:val="22"/>
        </w:rPr>
        <w:t xml:space="preserve">Audiences</w:t>
      </w:r>
    </w:p>
    <w:p>
      <w:pPr>
        <w:pStyle w:val="ListParagraph"/>
        <w:numPr>
          <w:ilvl w:val="0"/>
          <w:numId w:val="2"/>
        </w:numPr>
        <w:spacing w:after="80" w:before="40"/>
      </w:pPr>
      <w:r>
        <w:rPr>
          <w:rFonts w:ascii="Arial" w:cs="Arial" w:eastAsia="Arial" w:hAnsi="Arial"/>
          <w:color w:val="3C3C3A"/>
          <w:sz w:val="20"/>
          <w:szCs w:val="20"/>
        </w:rPr>
        <w:t xml:space="preserve">TOF: 1% LAL audience built from client customer list (minimum 100 contacts)</w:t>
      </w:r>
    </w:p>
    <w:p>
      <w:pPr>
        <w:pStyle w:val="ListParagraph"/>
        <w:numPr>
          <w:ilvl w:val="0"/>
          <w:numId w:val="2"/>
        </w:numPr>
        <w:spacing w:after="80" w:before="40"/>
      </w:pPr>
      <w:r>
        <w:rPr>
          <w:rFonts w:ascii="Arial" w:cs="Arial" w:eastAsia="Arial" w:hAnsi="Arial"/>
          <w:color w:val="3C3C3A"/>
          <w:sz w:val="20"/>
          <w:szCs w:val="20"/>
        </w:rPr>
        <w:t xml:space="preserve">TOF: Broad interest audience defined per ICP</w:t>
      </w:r>
    </w:p>
    <w:p>
      <w:pPr>
        <w:pStyle w:val="ListParagraph"/>
        <w:numPr>
          <w:ilvl w:val="0"/>
          <w:numId w:val="2"/>
        </w:numPr>
        <w:spacing w:after="80" w:before="40"/>
      </w:pPr>
      <w:r>
        <w:rPr>
          <w:rFonts w:ascii="Arial" w:cs="Arial" w:eastAsia="Arial" w:hAnsi="Arial"/>
          <w:color w:val="3C3C3A"/>
          <w:sz w:val="20"/>
          <w:szCs w:val="20"/>
        </w:rPr>
        <w:t xml:space="preserve">MOF: Custom audiences created (video viewers, page engagers, website visitors)</w:t>
      </w:r>
    </w:p>
    <w:p>
      <w:pPr>
        <w:pStyle w:val="ListParagraph"/>
        <w:numPr>
          <w:ilvl w:val="0"/>
          <w:numId w:val="2"/>
        </w:numPr>
        <w:spacing w:after="80" w:before="40"/>
      </w:pPr>
      <w:r>
        <w:rPr>
          <w:rFonts w:ascii="Arial" w:cs="Arial" w:eastAsia="Arial" w:hAnsi="Arial"/>
          <w:color w:val="3C3C3A"/>
          <w:sz w:val="20"/>
          <w:szCs w:val="20"/>
        </w:rPr>
        <w:t xml:space="preserve">RTG: Website visitor audience active (verify pixel has 30+ days of data)</w:t>
      </w:r>
    </w:p>
    <w:p>
      <w:pPr>
        <w:spacing w:after="80"/>
      </w:pPr>
      <w:r>
        <w:t xml:space="preserve"/>
      </w:r>
    </w:p>
    <w:p>
      <w:pPr>
        <w:pStyle w:val="Heading2"/>
        <w:spacing w:after="100" w:before="240"/>
      </w:pPr>
      <w:r>
        <w:rPr>
          <w:rFonts w:ascii="Arial" w:cs="Arial" w:eastAsia="Arial" w:hAnsi="Arial"/>
          <w:b/>
          <w:bCs/>
          <w:color w:val="2C2C2A"/>
          <w:sz w:val="22"/>
          <w:szCs w:val="22"/>
        </w:rPr>
        <w:t xml:space="preserve">Creatives</w:t>
      </w:r>
    </w:p>
    <w:p>
      <w:pPr>
        <w:pStyle w:val="ListParagraph"/>
        <w:numPr>
          <w:ilvl w:val="0"/>
          <w:numId w:val="2"/>
        </w:numPr>
        <w:spacing w:after="80" w:before="40"/>
      </w:pPr>
      <w:r>
        <w:rPr>
          <w:rFonts w:ascii="Arial" w:cs="Arial" w:eastAsia="Arial" w:hAnsi="Arial"/>
          <w:color w:val="3C3C3A"/>
          <w:sz w:val="20"/>
          <w:szCs w:val="20"/>
        </w:rPr>
        <w:t xml:space="preserve">VSL-A approved by client</w:t>
      </w:r>
    </w:p>
    <w:p>
      <w:pPr>
        <w:pStyle w:val="ListParagraph"/>
        <w:numPr>
          <w:ilvl w:val="0"/>
          <w:numId w:val="2"/>
        </w:numPr>
        <w:spacing w:after="80" w:before="40"/>
      </w:pPr>
      <w:r>
        <w:rPr>
          <w:rFonts w:ascii="Arial" w:cs="Arial" w:eastAsia="Arial" w:hAnsi="Arial"/>
          <w:color w:val="3C3C3A"/>
          <w:sz w:val="20"/>
          <w:szCs w:val="20"/>
        </w:rPr>
        <w:t xml:space="preserve">Static image control creative approved by client</w:t>
      </w:r>
    </w:p>
    <w:p>
      <w:pPr>
        <w:pStyle w:val="ListParagraph"/>
        <w:numPr>
          <w:ilvl w:val="0"/>
          <w:numId w:val="2"/>
        </w:numPr>
        <w:spacing w:after="80" w:before="40"/>
      </w:pPr>
      <w:r>
        <w:rPr>
          <w:rFonts w:ascii="Arial" w:cs="Arial" w:eastAsia="Arial" w:hAnsi="Arial"/>
          <w:color w:val="3C3C3A"/>
          <w:sz w:val="20"/>
          <w:szCs w:val="20"/>
        </w:rPr>
        <w:t xml:space="preserve">All ads reviewed against Meta advertising policies</w:t>
      </w:r>
    </w:p>
    <w:p>
      <w:pPr>
        <w:pStyle w:val="ListParagraph"/>
        <w:numPr>
          <w:ilvl w:val="0"/>
          <w:numId w:val="2"/>
        </w:numPr>
        <w:spacing w:after="80" w:before="40"/>
      </w:pPr>
      <w:r>
        <w:rPr>
          <w:rFonts w:ascii="Arial" w:cs="Arial" w:eastAsia="Arial" w:hAnsi="Arial"/>
          <w:color w:val="3C3C3A"/>
          <w:sz w:val="20"/>
          <w:szCs w:val="20"/>
        </w:rPr>
        <w:t xml:space="preserve">Landing page live and mobile-optimised</w:t>
      </w:r>
    </w:p>
    <w:p>
      <w:pPr>
        <w:pStyle w:val="ListParagraph"/>
        <w:numPr>
          <w:ilvl w:val="0"/>
          <w:numId w:val="2"/>
        </w:numPr>
        <w:spacing w:after="80" w:before="40"/>
      </w:pPr>
      <w:r>
        <w:rPr>
          <w:rFonts w:ascii="Arial" w:cs="Arial" w:eastAsia="Arial" w:hAnsi="Arial"/>
          <w:color w:val="3C3C3A"/>
          <w:sz w:val="20"/>
          <w:szCs w:val="20"/>
        </w:rPr>
        <w:t xml:space="preserve">AI chat assistant active on landing page</w:t>
      </w:r>
    </w:p>
    <w:p>
      <w:pPr>
        <w:spacing w:after="80"/>
      </w:pPr>
      <w:r>
        <w:t xml:space="preserve"/>
      </w:r>
    </w:p>
    <w:p>
      <w:pPr>
        <w:pStyle w:val="Heading2"/>
        <w:spacing w:after="100" w:before="240"/>
      </w:pPr>
      <w:r>
        <w:rPr>
          <w:rFonts w:ascii="Arial" w:cs="Arial" w:eastAsia="Arial" w:hAnsi="Arial"/>
          <w:b/>
          <w:bCs/>
          <w:color w:val="2C2C2A"/>
          <w:sz w:val="22"/>
          <w:szCs w:val="22"/>
        </w:rPr>
        <w:t xml:space="preserve">Tracking</w:t>
      </w:r>
    </w:p>
    <w:p>
      <w:pPr>
        <w:pStyle w:val="ListParagraph"/>
        <w:numPr>
          <w:ilvl w:val="0"/>
          <w:numId w:val="2"/>
        </w:numPr>
        <w:spacing w:after="80" w:before="40"/>
      </w:pPr>
      <w:r>
        <w:rPr>
          <w:rFonts w:ascii="Arial" w:cs="Arial" w:eastAsia="Arial" w:hAnsi="Arial"/>
          <w:color w:val="3C3C3A"/>
          <w:sz w:val="20"/>
          <w:szCs w:val="20"/>
        </w:rPr>
        <w:t xml:space="preserve">HubSpot connected to Meta Ads account</w:t>
      </w:r>
    </w:p>
    <w:p>
      <w:pPr>
        <w:pStyle w:val="ListParagraph"/>
        <w:numPr>
          <w:ilvl w:val="0"/>
          <w:numId w:val="2"/>
        </w:numPr>
        <w:spacing w:after="80" w:before="40"/>
      </w:pPr>
      <w:r>
        <w:rPr>
          <w:rFonts w:ascii="Arial" w:cs="Arial" w:eastAsia="Arial" w:hAnsi="Arial"/>
          <w:color w:val="3C3C3A"/>
          <w:sz w:val="20"/>
          <w:szCs w:val="20"/>
        </w:rPr>
        <w:t xml:space="preserve">UTM attribution workflow active in HubSpot</w:t>
      </w:r>
    </w:p>
    <w:p>
      <w:pPr>
        <w:pStyle w:val="ListParagraph"/>
        <w:numPr>
          <w:ilvl w:val="0"/>
          <w:numId w:val="2"/>
        </w:numPr>
        <w:spacing w:after="80" w:before="40"/>
      </w:pPr>
      <w:r>
        <w:rPr>
          <w:rFonts w:ascii="Arial" w:cs="Arial" w:eastAsia="Arial" w:hAnsi="Arial"/>
          <w:color w:val="3C3C3A"/>
          <w:sz w:val="20"/>
          <w:szCs w:val="20"/>
        </w:rPr>
        <w:t xml:space="preserve">Test lead submitted — verified in HubSpot pipeline</w:t>
      </w:r>
    </w:p>
    <w:p>
      <w:pPr>
        <w:pStyle w:val="ListParagraph"/>
        <w:numPr>
          <w:ilvl w:val="0"/>
          <w:numId w:val="2"/>
        </w:numPr>
        <w:spacing w:after="80" w:before="40"/>
      </w:pPr>
      <w:r>
        <w:rPr>
          <w:rFonts w:ascii="Arial" w:cs="Arial" w:eastAsia="Arial" w:hAnsi="Arial"/>
          <w:color w:val="3C3C3A"/>
          <w:sz w:val="20"/>
          <w:szCs w:val="20"/>
        </w:rPr>
        <w:t xml:space="preserve">Campaign names match UTM taxonomy exactly</w:t>
      </w:r>
    </w:p>
    <w:p>
      <w:pPr>
        <w:spacing w:after="80"/>
      </w:pPr>
      <w:r>
        <w:t xml:space="preserve"/>
      </w:r>
    </w:p>
    <w:p>
      <w:pPr>
        <w:spacing w:after="80"/>
      </w:pPr>
      <w:r>
        <w:t xml:space="preserve"/>
      </w:r>
    </w:p>
    <w:p>
      <w:pPr>
        <w:spacing w:after="100" w:before="40"/>
      </w:pPr>
      <w:r>
        <w:rPr>
          <w:rFonts w:ascii="Arial" w:cs="Arial" w:eastAsia="Arial" w:hAnsi="Arial"/>
          <w:color w:val="D85A30"/>
          <w:sz w:val="20"/>
          <w:szCs w:val="20"/>
        </w:rPr>
        <w:t xml:space="preserve">AltusFlow does not activate campaigns until every item above is checked. No exceptions.</w:t>
      </w:r>
    </w:p>
    <w:p>
      <w:pPr>
        <w:spacing w:after="200"/>
      </w:pPr>
      <w:r>
        <w:t xml:space="preserve"/>
      </w:r>
    </w:p>
    <w:p>
      <w:pPr>
        <w:pStyle w:val="Heading1"/>
        <w:pBdr>
          <w:bottom w:val="single" w:color="1D9E75" w:sz="6" w:space="4"/>
        </w:pBdr>
        <w:spacing w:after="140" w:before="360"/>
      </w:pPr>
      <w:r>
        <w:rPr>
          <w:rFonts w:ascii="Arial" w:cs="Arial" w:eastAsia="Arial" w:hAnsi="Arial"/>
          <w:b/>
          <w:bCs/>
          <w:color w:val="2C2C2A"/>
          <w:sz w:val="26"/>
          <w:szCs w:val="26"/>
        </w:rPr>
        <w:t xml:space="preserve">7. Optimisation rules for media buyer</w:t>
      </w:r>
    </w:p>
    <w:p>
      <w:pPr>
        <w:spacing w:after="100" w:before="40"/>
      </w:pPr>
      <w:r>
        <w:rPr>
          <w:rFonts w:ascii="Arial" w:cs="Arial" w:eastAsia="Arial" w:hAnsi="Arial"/>
          <w:color w:val="5F5E5A"/>
          <w:sz w:val="20"/>
          <w:szCs w:val="20"/>
        </w:rPr>
        <w:t xml:space="preserve">These rules govern the outsourced media buyer's day-to-day actions. AltusFlow retains strategic oversight. Any change outside these rules requires AltusFlow approval.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Pause threshold</w:t>
            </w:r>
          </w:p>
        </w:tc>
        <w:tc>
          <w:tcPr>
            <w:tcW w:type="dxa" w:w="61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Pause any ad with CPL &gt; 2x target after 1,000 impressions</w:t>
            </w:r>
          </w:p>
        </w:tc>
      </w:tr>
      <w:tr>
        <w:tc>
          <w:tcPr>
            <w:tcW w:type="dxa" w:w="3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Scale threshold</w:t>
            </w:r>
          </w:p>
        </w:tc>
        <w:tc>
          <w:tcPr>
            <w:tcW w:type="dxa" w:w="61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Scale ad spend 20% every 3 days if CPL is at or below target</w:t>
            </w:r>
          </w:p>
        </w:tc>
      </w:tr>
      <w:tr>
        <w:tc>
          <w:tcPr>
            <w:tcW w:type="dxa" w:w="3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Creative refresh</w:t>
            </w:r>
          </w:p>
        </w:tc>
        <w:tc>
          <w:tcPr>
            <w:tcW w:type="dxa" w:w="61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Introduce new creative variant if CTR drops below 1% (TOF)</w:t>
            </w:r>
          </w:p>
        </w:tc>
      </w:tr>
      <w:tr>
        <w:tc>
          <w:tcPr>
            <w:tcW w:type="dxa" w:w="3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Budget changes</w:t>
            </w:r>
          </w:p>
        </w:tc>
        <w:tc>
          <w:tcPr>
            <w:tcW w:type="dxa" w:w="61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No single budget change greater than 30% per day</w:t>
            </w:r>
          </w:p>
        </w:tc>
      </w:tr>
      <w:tr>
        <w:tc>
          <w:tcPr>
            <w:tcW w:type="dxa" w:w="3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Audience changes</w:t>
            </w:r>
          </w:p>
        </w:tc>
        <w:tc>
          <w:tcPr>
            <w:tcW w:type="dxa" w:w="61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No audience edits during learning phase (first 50 conversions)</w:t>
            </w:r>
          </w:p>
        </w:tc>
      </w:tr>
      <w:tr>
        <w:tc>
          <w:tcPr>
            <w:tcW w:type="dxa" w:w="3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Reporting cadence</w:t>
            </w:r>
          </w:p>
        </w:tc>
        <w:tc>
          <w:tcPr>
            <w:tcW w:type="dxa" w:w="61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Weekly performance summary to AltusFlow by COB every Monday</w:t>
            </w:r>
          </w:p>
        </w:tc>
      </w:tr>
      <w:tr>
        <w:tc>
          <w:tcPr>
            <w:tcW w:type="dxa" w:w="3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Escalation trigger</w:t>
            </w:r>
          </w:p>
        </w:tc>
        <w:tc>
          <w:tcPr>
            <w:tcW w:type="dxa" w:w="61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Notify AltusFlow same-day if spend pacing is off by more than 20%</w:t>
            </w:r>
          </w:p>
        </w:tc>
      </w:tr>
    </w:tbl>
    <w:p>
      <w:pPr>
        <w:spacing w:after="200"/>
      </w:pPr>
      <w:r>
        <w:t xml:space="preserve"/>
      </w:r>
    </w:p>
    <w:p>
      <w:pPr>
        <w:pStyle w:val="Heading1"/>
        <w:pBdr>
          <w:bottom w:val="single" w:color="1D9E75" w:sz="6" w:space="4"/>
        </w:pBdr>
        <w:spacing w:after="140" w:before="360"/>
      </w:pPr>
      <w:r>
        <w:rPr>
          <w:rFonts w:ascii="Arial" w:cs="Arial" w:eastAsia="Arial" w:hAnsi="Arial"/>
          <w:b/>
          <w:bCs/>
          <w:color w:val="2C2C2A"/>
          <w:sz w:val="26"/>
          <w:szCs w:val="26"/>
        </w:rPr>
        <w:t xml:space="preserve">8. KPI benchmarks</w:t>
      </w:r>
    </w:p>
    <w:p>
      <w:pPr>
        <w:spacing w:after="100" w:before="40"/>
      </w:pPr>
      <w:r>
        <w:rPr>
          <w:rFonts w:ascii="Arial" w:cs="Arial" w:eastAsia="Arial" w:hAnsi="Arial"/>
          <w:color w:val="5F5E5A"/>
          <w:sz w:val="20"/>
          <w:szCs w:val="20"/>
        </w:rPr>
        <w:t xml:space="preserve">Use these as starting baselines. Refine with client-specific data after 4 weeks.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TOF CTR (link)</w:t>
            </w:r>
          </w:p>
        </w:tc>
        <w:tc>
          <w:tcPr>
            <w:tcW w:type="dxa" w:w="61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1.5 – 3.0%</w:t>
            </w:r>
          </w:p>
        </w:tc>
      </w:tr>
      <w:tr>
        <w:tc>
          <w:tcPr>
            <w:tcW w:type="dxa" w:w="3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TOF CPL</w:t>
            </w:r>
          </w:p>
        </w:tc>
        <w:tc>
          <w:tcPr>
            <w:tcW w:type="dxa" w:w="61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$20 – $60 (B2B service, depends on offer value)</w:t>
            </w:r>
          </w:p>
        </w:tc>
      </w:tr>
      <w:tr>
        <w:tc>
          <w:tcPr>
            <w:tcW w:type="dxa" w:w="3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MOF CPL</w:t>
            </w:r>
          </w:p>
        </w:tc>
        <w:tc>
          <w:tcPr>
            <w:tcW w:type="dxa" w:w="61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$15 – $40 (warm audiences convert cheaper)</w:t>
            </w:r>
          </w:p>
        </w:tc>
      </w:tr>
      <w:tr>
        <w:tc>
          <w:tcPr>
            <w:tcW w:type="dxa" w:w="3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RTG CPL</w:t>
            </w:r>
          </w:p>
        </w:tc>
        <w:tc>
          <w:tcPr>
            <w:tcW w:type="dxa" w:w="61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$10 – $30</w:t>
            </w:r>
          </w:p>
        </w:tc>
      </w:tr>
      <w:tr>
        <w:tc>
          <w:tcPr>
            <w:tcW w:type="dxa" w:w="3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Lead to call rate</w:t>
            </w:r>
          </w:p>
        </w:tc>
        <w:tc>
          <w:tcPr>
            <w:tcW w:type="dxa" w:w="61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15 – 25% (ad lead to booked call)</w:t>
            </w:r>
          </w:p>
        </w:tc>
      </w:tr>
      <w:tr>
        <w:tc>
          <w:tcPr>
            <w:tcW w:type="dxa" w:w="3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ROAS target</w:t>
            </w:r>
          </w:p>
        </w:tc>
        <w:tc>
          <w:tcPr>
            <w:tcW w:type="dxa" w:w="61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19"/>
                <w:szCs w:val="19"/>
              </w:rPr>
              <w:t xml:space="preserve">3x minimum on closed revenue vs. ad spend</w:t>
            </w:r>
          </w:p>
        </w:tc>
      </w:tr>
    </w:tbl>
    <w:sectPr>
      <w:headerReference w:type="default" r:id="rId7"/>
      <w:footerReference w:type="default" r:id="rId8"/>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2" w:space="4"/>
      </w:pBdr>
      <w:tabs>
        <w:tab w:val="right" w:pos="9026"/>
      </w:tabs>
    </w:pPr>
    <w:r>
      <w:rPr>
        <w:rFonts w:ascii="Arial" w:cs="Arial" w:eastAsia="Arial" w:hAnsi="Arial"/>
        <w:color w:val="888780"/>
        <w:sz w:val="16"/>
        <w:szCs w:val="16"/>
      </w:rPr>
      <w:t xml:space="preserve">AltusFlow.ai  ·  Confidential</w:t>
    </w: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6" w:space="4"/>
      </w:pBdr>
      <w:tabs>
        <w:tab w:val="right" w:pos="9026"/>
      </w:tabs>
      <w:spacing w:after="0"/>
    </w:pPr>
    <w:r>
      <w:rPr>
        <w:rFonts w:ascii="Arial" w:cs="Arial" w:eastAsia="Arial" w:hAnsi="Arial"/>
        <w:b/>
        <w:bCs/>
        <w:color w:val="2C2C2A"/>
        <w:sz w:val="18"/>
        <w:szCs w:val="18"/>
      </w:rPr>
      <w:t xml:space="preserve">ALTUSFLOW.AI</w:t>
    </w:r>
    <w:r>
      <w:rPr>
        <w:sz w:val="18"/>
        <w:szCs w:val="18"/>
      </w:rPr>
      <w:t xml:space="preserve">	</w:t>
    </w:r>
    <w:r>
      <w:rPr>
        <w:rFonts w:ascii="Arial" w:cs="Arial" w:eastAsia="Arial" w:hAnsi="Arial"/>
        <w:color w:val="888780"/>
        <w:sz w:val="18"/>
        <w:szCs w:val="18"/>
      </w:rPr>
      <w:t xml:space="preserve">Inbound Magnet — Meta Ads Master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2C2C2A"/>
      <w:sz w:val="26"/>
      <w:szCs w:val="26"/>
    </w:rPr>
  </w:style>
  <w:style w:type="paragraph" w:styleId="Heading2">
    <w:name w:val="Heading 2"/>
    <w:basedOn w:val="Normal"/>
    <w:next w:val="Normal"/>
    <w:qFormat/>
    <w:pPr>
      <w:spacing w:after="100" w:before="240"/>
      <w:outlineLvl w:val="1"/>
    </w:pPr>
    <w:rPr>
      <w:rFonts w:ascii="Arial" w:cs="Arial" w:eastAsia="Arial" w:hAnsi="Arial"/>
      <w:b/>
      <w:bCs/>
      <w:color w:val="2C2C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2026-06-18T02:52:38.848Z</dcterms:created>
  <dcterms:modified xsi:type="dcterms:W3CDTF">2026-06-18T02:52:38.849Z</dcterms:modified>
</cp:coreProperties>
</file>

<file path=docProps/custom.xml><?xml version="1.0" encoding="utf-8"?>
<Properties xmlns="http://schemas.openxmlformats.org/officeDocument/2006/custom-properties" xmlns:vt="http://schemas.openxmlformats.org/officeDocument/2006/docPropsVTypes"/>
</file>