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60"/>
      </w:pPr>
      <w:r>
        <w:rPr>
          <w:rFonts w:ascii="Arial" w:cs="Arial" w:eastAsia="Arial" w:hAnsi="Arial"/>
          <w:b/>
          <w:bCs/>
          <w:color w:val="2C2C2A"/>
          <w:sz w:val="52"/>
          <w:szCs w:val="52"/>
        </w:rPr>
        <w:t xml:space="preserve">3-Vertical Growth Ecosystem</w:t>
      </w:r>
    </w:p>
    <w:p>
      <w:pPr>
        <w:pBdr>
          <w:bottom w:val="single" w:color="1D9E75" w:sz="8" w:space="6"/>
        </w:pBdr>
        <w:spacing w:after="0"/>
      </w:pPr>
      <w:r>
        <w:rPr>
          <w:rFonts w:ascii="Arial" w:cs="Arial" w:eastAsia="Arial" w:hAnsi="Arial"/>
          <w:color w:val="5F5E5A"/>
          <w:sz w:val="24"/>
          <w:szCs w:val="24"/>
        </w:rPr>
        <w:t xml:space="preserve">Program Agreement</w:t>
      </w:r>
    </w:p>
    <w:p>
      <w:pPr>
        <w:spacing w:after="160"/>
      </w:pPr>
      <w:r>
        <w:t xml:space="preserve"/>
      </w:r>
    </w:p>
    <w:p>
      <w:pPr>
        <w:spacing w:after="120" w:before="60"/>
      </w:pPr>
      <w:r>
        <w:rPr>
          <w:rFonts w:ascii="Arial" w:cs="Arial" w:eastAsia="Arial" w:hAnsi="Arial"/>
          <w:color w:val="5F5E5A"/>
          <w:sz w:val="20"/>
          <w:szCs w:val="20"/>
        </w:rPr>
        <w:t xml:space="preserve">This agreement outlines the expectations from this program and what you can expect from the team at AltusFlow.ai.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Client</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5F5E5A"/>
                <w:sz w:val="19"/>
                <w:szCs w:val="19"/>
              </w:rPr>
              <w:t xml:space="preserve">[CLIENT NAME]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Agency</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5F5E5A"/>
                <w:sz w:val="19"/>
                <w:szCs w:val="19"/>
              </w:rPr>
              <w:t xml:space="preserve">AltusFlow.ai</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Effective date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5F5E5A"/>
                <w:sz w:val="19"/>
                <w:szCs w:val="19"/>
              </w:rPr>
              <w:t xml:space="preserve">[DATE]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Program tier</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5F5E5A"/>
                <w:sz w:val="19"/>
                <w:szCs w:val="19"/>
              </w:rPr>
              <w:t xml:space="preserve">[Foundation / Growth / Ecosystem]</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19"/>
                <w:szCs w:val="19"/>
              </w:rPr>
              <w:t xml:space="preserve">Monthly retainer</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5F5E5A"/>
                <w:sz w:val="19"/>
                <w:szCs w:val="19"/>
              </w:rPr>
              <w:t xml:space="preserve">$[AMOUNT]</w:t>
            </w:r>
          </w:p>
        </w:tc>
      </w:tr>
    </w:tbl>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What is the 3-Vertical Growth Ecosystem?</w:t>
      </w:r>
    </w:p>
    <w:p>
      <w:pPr>
        <w:spacing w:after="120" w:before="60"/>
      </w:pPr>
      <w:r>
        <w:rPr>
          <w:rFonts w:ascii="Arial" w:cs="Arial" w:eastAsia="Arial" w:hAnsi="Arial"/>
          <w:color w:val="5F5E5A"/>
          <w:sz w:val="20"/>
          <w:szCs w:val="20"/>
        </w:rPr>
        <w:t xml:space="preserve">This is a done-for-you service where AltusFlow.ai installs, configures, and manages a fully automated growth system for your business. Rather than disconnected tools, you receive three integrated systems working together as one pipeline — all flowing into a central HubSpot CRM with automated reporting.</w:t>
      </w:r>
    </w:p>
    <w:p>
      <w:pPr>
        <w:spacing w:after="80"/>
      </w:pPr>
      <w:r>
        <w:t xml:space="preserve"/>
      </w:r>
    </w:p>
    <w:p>
      <w:pPr>
        <w:spacing w:after="120" w:before="60"/>
      </w:pPr>
      <w:r>
        <w:rPr>
          <w:rFonts w:ascii="Arial" w:cs="Arial" w:eastAsia="Arial" w:hAnsi="Arial"/>
          <w:color w:val="5F5E5A"/>
          <w:sz w:val="20"/>
          <w:szCs w:val="20"/>
        </w:rPr>
        <w:t xml:space="preserve">This program is built on proven Master Templates that are customised to your brand and business. AltusFlow.ai handles the architecture and strategy. You handle the clients it brings you.</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The three verticals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jc w:val="center"/>
            </w:pPr>
            <w:r>
              <w:rPr>
                <w:rFonts w:ascii="Arial" w:cs="Arial" w:eastAsia="Arial" w:hAnsi="Arial"/>
                <w:b/>
                <w:bCs/>
                <w:color w:val="1D9E75"/>
                <w:sz w:val="28"/>
                <w:szCs w:val="28"/>
              </w:rPr>
              <w:t xml:space="preserve">01</w:t>
            </w:r>
          </w:p>
        </w:tc>
        <w:tc>
          <w:tcPr>
            <w:tcW w:type="dxa" w:w="792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b/>
                <w:bCs/>
                <w:color w:val="2C2C2A"/>
                <w:sz w:val="20"/>
                <w:szCs w:val="20"/>
              </w:rPr>
              <w:t xml:space="preserve">The Conversion Engine</w:t>
            </w:r>
          </w:p>
          <w:p>
            <w:pPr>
              <w:spacing w:before="40"/>
            </w:pPr>
            <w:r>
              <w:rPr>
                <w:rFonts w:ascii="Arial" w:cs="Arial" w:eastAsia="Arial" w:hAnsi="Arial"/>
                <w:color w:val="5F5E5A"/>
                <w:sz w:val="19"/>
                <w:szCs w:val="19"/>
              </w:rPr>
              <w:t xml:space="preserve">A premium, high-speed website template pre-integrated with a custom-trained AI Chat Assistant. It qualifies your leads and books meetings 24 hours a day, 7 days a week — including after hours, weekends, and holidays.</w:t>
            </w:r>
          </w:p>
        </w:tc>
      </w:tr>
      <w:tr>
        <w:tc>
          <w:tcPr>
            <w:tcW w:type="dxa" w:w="14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jc w:val="center"/>
            </w:pPr>
            <w:r>
              <w:rPr>
                <w:rFonts w:ascii="Arial" w:cs="Arial" w:eastAsia="Arial" w:hAnsi="Arial"/>
                <w:b/>
                <w:bCs/>
                <w:color w:val="1D9E75"/>
                <w:sz w:val="28"/>
                <w:szCs w:val="28"/>
              </w:rPr>
              <w:t xml:space="preserve">02</w:t>
            </w:r>
          </w:p>
        </w:tc>
        <w:tc>
          <w:tcPr>
            <w:tcW w:type="dxa" w:w="792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b/>
                <w:bCs/>
                <w:color w:val="2C2C2A"/>
                <w:sz w:val="20"/>
                <w:szCs w:val="20"/>
              </w:rPr>
              <w:t xml:space="preserve">The Inbound Magnet</w:t>
            </w:r>
          </w:p>
          <w:p>
            <w:pPr>
              <w:spacing w:before="40"/>
            </w:pPr>
            <w:r>
              <w:rPr>
                <w:rFonts w:ascii="Arial" w:cs="Arial" w:eastAsia="Arial" w:hAnsi="Arial"/>
                <w:color w:val="5F5E5A"/>
                <w:sz w:val="19"/>
                <w:szCs w:val="19"/>
              </w:rPr>
              <w:t xml:space="preserve">A standardised Meta Ads campaign structure and psychological sales funnel framework designed to turn cold traffic into high-value booked calls. All campaigns follow AltusFlow's proven TOF/MOF/RTG funnel structure with full UTM attribution.</w:t>
            </w:r>
          </w:p>
        </w:tc>
      </w:tr>
      <w:tr>
        <w:tc>
          <w:tcPr>
            <w:tcW w:type="dxa" w:w="144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jc w:val="center"/>
            </w:pPr>
            <w:r>
              <w:rPr>
                <w:rFonts w:ascii="Arial" w:cs="Arial" w:eastAsia="Arial" w:hAnsi="Arial"/>
                <w:b/>
                <w:bCs/>
                <w:color w:val="1D9E75"/>
                <w:sz w:val="28"/>
                <w:szCs w:val="28"/>
              </w:rPr>
              <w:t xml:space="preserve">03</w:t>
            </w:r>
          </w:p>
        </w:tc>
        <w:tc>
          <w:tcPr>
            <w:tcW w:type="dxa" w:w="792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b/>
                <w:bCs/>
                <w:color w:val="2C2C2A"/>
                <w:sz w:val="20"/>
                <w:szCs w:val="20"/>
              </w:rPr>
              <w:t xml:space="preserve">The Outbound Hunter</w:t>
            </w:r>
          </w:p>
          <w:p>
            <w:pPr>
              <w:spacing w:before="40"/>
            </w:pPr>
            <w:r>
              <w:rPr>
                <w:rFonts w:ascii="Arial" w:cs="Arial" w:eastAsia="Arial" w:hAnsi="Arial"/>
                <w:color w:val="5F5E5A"/>
                <w:sz w:val="19"/>
                <w:szCs w:val="19"/>
              </w:rPr>
              <w:t xml:space="preserve">Custom AI agents that scan LinkedIn, Facebook, and Instagram daily for prospects actively posting about problems your business solves. Each qualified prospect receives a hyper-personalised outreach pitch drafted for your review and approval before sending.</w:t>
            </w:r>
          </w:p>
        </w:tc>
      </w:tr>
    </w:tbl>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This program includes</w:t>
      </w:r>
    </w:p>
    <w:p>
      <w:pPr>
        <w:pStyle w:val="ListParagraph"/>
        <w:numPr>
          <w:ilvl w:val="0"/>
          <w:numId w:val="2"/>
        </w:numPr>
        <w:spacing w:after="80" w:before="40"/>
      </w:pPr>
      <w:r>
        <w:rPr>
          <w:rFonts w:ascii="Arial" w:cs="Arial" w:eastAsia="Arial" w:hAnsi="Arial"/>
          <w:color w:val="5F5E5A"/>
          <w:sz w:val="20"/>
          <w:szCs w:val="20"/>
        </w:rPr>
        <w:t xml:space="preserve">HubSpot CRM portal — fully configured with your pipeline, properties, and automations</w:t>
      </w:r>
    </w:p>
    <w:p>
      <w:pPr>
        <w:pStyle w:val="ListParagraph"/>
        <w:numPr>
          <w:ilvl w:val="0"/>
          <w:numId w:val="2"/>
        </w:numPr>
        <w:spacing w:after="80" w:before="40"/>
      </w:pPr>
      <w:r>
        <w:rPr>
          <w:rFonts w:ascii="Arial" w:cs="Arial" w:eastAsia="Arial" w:hAnsi="Arial"/>
          <w:color w:val="5F5E5A"/>
          <w:sz w:val="20"/>
          <w:szCs w:val="20"/>
        </w:rPr>
        <w:t xml:space="preserve">Conversion Engine website — branded, deployed, and live within 2 weeks</w:t>
      </w:r>
    </w:p>
    <w:p>
      <w:pPr>
        <w:pStyle w:val="ListParagraph"/>
        <w:numPr>
          <w:ilvl w:val="0"/>
          <w:numId w:val="2"/>
        </w:numPr>
        <w:spacing w:after="80" w:before="40"/>
      </w:pPr>
      <w:r>
        <w:rPr>
          <w:rFonts w:ascii="Arial" w:cs="Arial" w:eastAsia="Arial" w:hAnsi="Arial"/>
          <w:color w:val="5F5E5A"/>
          <w:sz w:val="20"/>
          <w:szCs w:val="20"/>
        </w:rPr>
        <w:t xml:space="preserve">Custom-trained AI Chat Assistant — trained on your services, offers, and FAQs</w:t>
      </w:r>
    </w:p>
    <w:p>
      <w:pPr>
        <w:pStyle w:val="ListParagraph"/>
        <w:numPr>
          <w:ilvl w:val="0"/>
          <w:numId w:val="2"/>
        </w:numPr>
        <w:spacing w:after="80" w:before="40"/>
      </w:pPr>
      <w:r>
        <w:rPr>
          <w:rFonts w:ascii="Arial" w:cs="Arial" w:eastAsia="Arial" w:hAnsi="Arial"/>
          <w:color w:val="5F5E5A"/>
          <w:sz w:val="20"/>
          <w:szCs w:val="20"/>
        </w:rPr>
        <w:t xml:space="preserve">Meta Ads campaign setup — TOF, MOF, and RTG campaigns per AltusFlow framework</w:t>
      </w:r>
    </w:p>
    <w:p>
      <w:pPr>
        <w:pStyle w:val="ListParagraph"/>
        <w:numPr>
          <w:ilvl w:val="0"/>
          <w:numId w:val="2"/>
        </w:numPr>
        <w:spacing w:after="80" w:before="40"/>
      </w:pPr>
      <w:r>
        <w:rPr>
          <w:rFonts w:ascii="Arial" w:cs="Arial" w:eastAsia="Arial" w:hAnsi="Arial"/>
          <w:color w:val="5F5E5A"/>
          <w:sz w:val="20"/>
          <w:szCs w:val="20"/>
        </w:rPr>
        <w:t xml:space="preserve">UTM taxonomy implementation — every lead source tracked and attributed</w:t>
      </w:r>
    </w:p>
    <w:p>
      <w:pPr>
        <w:pStyle w:val="ListParagraph"/>
        <w:numPr>
          <w:ilvl w:val="0"/>
          <w:numId w:val="2"/>
        </w:numPr>
        <w:spacing w:after="80" w:before="40"/>
      </w:pPr>
      <w:r>
        <w:rPr>
          <w:rFonts w:ascii="Arial" w:cs="Arial" w:eastAsia="Arial" w:hAnsi="Arial"/>
          <w:color w:val="5F5E5A"/>
          <w:sz w:val="20"/>
          <w:szCs w:val="20"/>
        </w:rPr>
        <w:t xml:space="preserve">Outbound Hunter setup — AI scanning LinkedIn, Facebook, and Instagram for intent signals</w:t>
      </w:r>
    </w:p>
    <w:p>
      <w:pPr>
        <w:pStyle w:val="ListParagraph"/>
        <w:numPr>
          <w:ilvl w:val="0"/>
          <w:numId w:val="2"/>
        </w:numPr>
        <w:spacing w:after="80" w:before="40"/>
      </w:pPr>
      <w:r>
        <w:rPr>
          <w:rFonts w:ascii="Arial" w:cs="Arial" w:eastAsia="Arial" w:hAnsi="Arial"/>
          <w:color w:val="5F5E5A"/>
          <w:sz w:val="20"/>
          <w:szCs w:val="20"/>
        </w:rPr>
        <w:t xml:space="preserve">Live KPI dashboard — accessible 24/7 via your HubSpot portal</w:t>
      </w:r>
    </w:p>
    <w:p>
      <w:pPr>
        <w:pStyle w:val="ListParagraph"/>
        <w:numPr>
          <w:ilvl w:val="0"/>
          <w:numId w:val="2"/>
        </w:numPr>
        <w:spacing w:after="80" w:before="40"/>
      </w:pPr>
      <w:r>
        <w:rPr>
          <w:rFonts w:ascii="Arial" w:cs="Arial" w:eastAsia="Arial" w:hAnsi="Arial"/>
          <w:color w:val="5F5E5A"/>
          <w:sz w:val="20"/>
          <w:szCs w:val="20"/>
        </w:rPr>
        <w:t xml:space="preserve">Automated monthly PDF performance report — delivered on the 1st of every month</w:t>
      </w:r>
    </w:p>
    <w:p>
      <w:pPr>
        <w:pStyle w:val="ListParagraph"/>
        <w:numPr>
          <w:ilvl w:val="0"/>
          <w:numId w:val="2"/>
        </w:numPr>
        <w:spacing w:after="80" w:before="40"/>
      </w:pPr>
      <w:r>
        <w:rPr>
          <w:rFonts w:ascii="Arial" w:cs="Arial" w:eastAsia="Arial" w:hAnsi="Arial"/>
          <w:color w:val="5F5E5A"/>
          <w:sz w:val="20"/>
          <w:szCs w:val="20"/>
        </w:rPr>
        <w:t xml:space="preserve">30-minute kickoff call — strategy session and onboarding walkthrough</w:t>
      </w:r>
    </w:p>
    <w:p>
      <w:pPr>
        <w:spacing w:after="160"/>
      </w:pPr>
      <w:r>
        <w:t xml:space="preserve"/>
      </w:r>
    </w:p>
    <w:p>
      <w:pPr>
        <w:pBdr>
          <w:bottom w:val="single" w:color="1D9E75" w:sz="6" w:space="4"/>
        </w:pBdr>
        <w:spacing w:after="140" w:before="360"/>
      </w:pPr>
      <w:r>
        <w:rPr>
          <w:rFonts w:ascii="Arial" w:cs="Arial" w:eastAsia="Arial" w:hAnsi="Arial"/>
          <w:b/>
          <w:bCs/>
          <w:color w:val="2C2C2A"/>
          <w:sz w:val="26"/>
          <w:szCs w:val="26"/>
        </w:rPr>
        <w:t xml:space="preserve">This program does not include</w:t>
      </w:r>
    </w:p>
    <w:p>
      <w:pPr>
        <w:spacing w:after="120" w:before="60"/>
      </w:pPr>
      <w:r>
        <w:rPr>
          <w:rFonts w:ascii="Arial" w:cs="Arial" w:eastAsia="Arial" w:hAnsi="Arial"/>
          <w:color w:val="5F5E5A"/>
          <w:sz w:val="20"/>
          <w:szCs w:val="20"/>
        </w:rPr>
        <w:t xml:space="preserve">The following are available as separate add-ons and are not part of the standard program:</w:t>
      </w:r>
    </w:p>
    <w:p>
      <w:pPr>
        <w:spacing w:after="60"/>
      </w:pPr>
      <w:r>
        <w:t xml:space="preserve"/>
      </w:r>
    </w:p>
    <w:p>
      <w:pPr>
        <w:pStyle w:val="ListParagraph"/>
        <w:numPr>
          <w:ilvl w:val="0"/>
          <w:numId w:val="2"/>
        </w:numPr>
        <w:spacing w:after="80" w:before="40"/>
      </w:pPr>
      <w:r>
        <w:rPr>
          <w:rFonts w:ascii="Arial" w:cs="Arial" w:eastAsia="Arial" w:hAnsi="Arial"/>
          <w:color w:val="5F5E5A"/>
          <w:sz w:val="20"/>
          <w:szCs w:val="20"/>
        </w:rPr>
        <w:t xml:space="preserve">Bespoke custom website development outside the AltusFlow template framework</w:t>
      </w:r>
    </w:p>
    <w:p>
      <w:pPr>
        <w:pStyle w:val="ListParagraph"/>
        <w:numPr>
          <w:ilvl w:val="0"/>
          <w:numId w:val="2"/>
        </w:numPr>
        <w:spacing w:after="80" w:before="40"/>
      </w:pPr>
      <w:r>
        <w:rPr>
          <w:rFonts w:ascii="Arial" w:cs="Arial" w:eastAsia="Arial" w:hAnsi="Arial"/>
          <w:color w:val="5F5E5A"/>
          <w:sz w:val="20"/>
          <w:szCs w:val="20"/>
        </w:rPr>
        <w:t xml:space="preserve">Video or creative production for ad campaigns (client provides assets or arranges separately)</w:t>
      </w:r>
    </w:p>
    <w:p>
      <w:pPr>
        <w:pStyle w:val="ListParagraph"/>
        <w:numPr>
          <w:ilvl w:val="0"/>
          <w:numId w:val="2"/>
        </w:numPr>
        <w:spacing w:after="80" w:before="40"/>
      </w:pPr>
      <w:r>
        <w:rPr>
          <w:rFonts w:ascii="Arial" w:cs="Arial" w:eastAsia="Arial" w:hAnsi="Arial"/>
          <w:color w:val="5F5E5A"/>
          <w:sz w:val="20"/>
          <w:szCs w:val="20"/>
        </w:rPr>
        <w:t xml:space="preserve">Back-end email sequences or newsletter setup</w:t>
      </w:r>
    </w:p>
    <w:p>
      <w:pPr>
        <w:pStyle w:val="ListParagraph"/>
        <w:numPr>
          <w:ilvl w:val="0"/>
          <w:numId w:val="2"/>
        </w:numPr>
        <w:spacing w:after="80" w:before="40"/>
      </w:pPr>
      <w:r>
        <w:rPr>
          <w:rFonts w:ascii="Arial" w:cs="Arial" w:eastAsia="Arial" w:hAnsi="Arial"/>
          <w:color w:val="5F5E5A"/>
          <w:sz w:val="20"/>
          <w:szCs w:val="20"/>
        </w:rPr>
        <w:t xml:space="preserve">Social media content creation or organic posting</w:t>
      </w:r>
    </w:p>
    <w:p>
      <w:pPr>
        <w:pStyle w:val="ListParagraph"/>
        <w:numPr>
          <w:ilvl w:val="0"/>
          <w:numId w:val="2"/>
        </w:numPr>
        <w:spacing w:after="80" w:before="40"/>
      </w:pPr>
      <w:r>
        <w:rPr>
          <w:rFonts w:ascii="Arial" w:cs="Arial" w:eastAsia="Arial" w:hAnsi="Arial"/>
          <w:color w:val="5F5E5A"/>
          <w:sz w:val="20"/>
          <w:szCs w:val="20"/>
        </w:rPr>
        <w:t xml:space="preserve">SEO or search engine marketing</w:t>
      </w:r>
    </w:p>
    <w:p>
      <w:pPr>
        <w:pStyle w:val="ListParagraph"/>
        <w:numPr>
          <w:ilvl w:val="0"/>
          <w:numId w:val="2"/>
        </w:numPr>
        <w:spacing w:after="80" w:before="40"/>
      </w:pPr>
      <w:r>
        <w:rPr>
          <w:rFonts w:ascii="Arial" w:cs="Arial" w:eastAsia="Arial" w:hAnsi="Arial"/>
          <w:color w:val="5F5E5A"/>
          <w:sz w:val="20"/>
          <w:szCs w:val="20"/>
        </w:rPr>
        <w:t xml:space="preserve">Ongoing manual ad management beyond strategic oversight (day-to-day execution is outsourced — see Section 5)</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What is the timeline?</w:t>
      </w:r>
    </w:p>
    <w:p>
      <w:pPr>
        <w:spacing w:after="120" w:before="60"/>
      </w:pPr>
      <w:r>
        <w:rPr>
          <w:rFonts w:ascii="Arial" w:cs="Arial" w:eastAsia="Arial" w:hAnsi="Arial"/>
          <w:color w:val="5F5E5A"/>
          <w:sz w:val="20"/>
          <w:szCs w:val="20"/>
        </w:rPr>
        <w:t xml:space="preserve">After you have signed this agreement and provided the required assets and access, AltusFlow.ai will conduct a kickoff call to align on strategy. Following the kickoff call:</w:t>
      </w:r>
    </w:p>
    <w:p>
      <w:pPr>
        <w:spacing w:after="60"/>
      </w:pPr>
      <w:r>
        <w:t xml:space="preserve"/>
      </w:r>
    </w:p>
    <w:p>
      <w:pPr>
        <w:pStyle w:val="ListParagraph"/>
        <w:numPr>
          <w:ilvl w:val="0"/>
          <w:numId w:val="2"/>
        </w:numPr>
        <w:spacing w:after="80" w:before="40"/>
      </w:pPr>
      <w:r>
        <w:rPr>
          <w:rFonts w:ascii="Arial" w:cs="Arial" w:eastAsia="Arial" w:hAnsi="Arial"/>
          <w:color w:val="5F5E5A"/>
          <w:sz w:val="20"/>
          <w:szCs w:val="20"/>
        </w:rPr>
        <w:t xml:space="preserve">Your Conversion Engine (website + AI chat) will be live within 10 business days</w:t>
      </w:r>
    </w:p>
    <w:p>
      <w:pPr>
        <w:pStyle w:val="ListParagraph"/>
        <w:numPr>
          <w:ilvl w:val="0"/>
          <w:numId w:val="2"/>
        </w:numPr>
        <w:spacing w:after="80" w:before="40"/>
      </w:pPr>
      <w:r>
        <w:rPr>
          <w:rFonts w:ascii="Arial" w:cs="Arial" w:eastAsia="Arial" w:hAnsi="Arial"/>
          <w:color w:val="5F5E5A"/>
          <w:sz w:val="20"/>
          <w:szCs w:val="20"/>
        </w:rPr>
        <w:t xml:space="preserve">Your HubSpot CRM and dashboard will be configured within 48 hours of receiving access</w:t>
      </w:r>
    </w:p>
    <w:p>
      <w:pPr>
        <w:pStyle w:val="ListParagraph"/>
        <w:numPr>
          <w:ilvl w:val="0"/>
          <w:numId w:val="2"/>
        </w:numPr>
        <w:spacing w:after="80" w:before="40"/>
      </w:pPr>
      <w:r>
        <w:rPr>
          <w:rFonts w:ascii="Arial" w:cs="Arial" w:eastAsia="Arial" w:hAnsi="Arial"/>
          <w:color w:val="5F5E5A"/>
          <w:sz w:val="20"/>
          <w:szCs w:val="20"/>
        </w:rPr>
        <w:t xml:space="preserve">Your Inbound Magnet (Meta Ads) campaigns will be live within 10 business days of receiving ad account access and approved creative assets</w:t>
      </w:r>
    </w:p>
    <w:p>
      <w:pPr>
        <w:pStyle w:val="ListParagraph"/>
        <w:numPr>
          <w:ilvl w:val="0"/>
          <w:numId w:val="2"/>
        </w:numPr>
        <w:spacing w:after="80" w:before="40"/>
      </w:pPr>
      <w:r>
        <w:rPr>
          <w:rFonts w:ascii="Arial" w:cs="Arial" w:eastAsia="Arial" w:hAnsi="Arial"/>
          <w:color w:val="5F5E5A"/>
          <w:sz w:val="20"/>
          <w:szCs w:val="20"/>
        </w:rPr>
        <w:t xml:space="preserve">Your Outbound Hunter will begin scanning within 5 business days of setup completion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180"/>
              <w:bottom w:type="dxa" w:w="140"/>
              <w:right w:type="dxa" w:w="180"/>
            </w:tcMar>
          </w:tcPr>
          <w:p>
            <w:r>
              <w:rPr>
                <w:rFonts w:ascii="Arial" w:cs="Arial" w:eastAsia="Arial" w:hAnsi="Arial"/>
                <w:color w:val="2C2C2A"/>
                <w:sz w:val="20"/>
                <w:szCs w:val="20"/>
              </w:rPr>
              <w:t xml:space="preserve">Timeline is contingent on Client providing required assets and access within 5 business days of signing. Delays in asset delivery will extend the go-live timeline accordingly.</w:t>
            </w:r>
          </w:p>
        </w:tc>
      </w:tr>
    </w:tbl>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How does payment work?</w:t>
      </w:r>
    </w:p>
    <w:p>
      <w:pPr>
        <w:spacing w:after="120" w:before="60"/>
      </w:pPr>
      <w:r>
        <w:rPr>
          <w:rFonts w:ascii="Arial" w:cs="Arial" w:eastAsia="Arial" w:hAnsi="Arial"/>
          <w:color w:val="5F5E5A"/>
          <w:sz w:val="20"/>
          <w:szCs w:val="20"/>
        </w:rPr>
        <w:t xml:space="preserve">The monthly retainer fee is due on the 1st of each calendar month and must be paid within 7 days of invoice. Late payments accrue interest at 1.5% per month.</w:t>
      </w:r>
    </w:p>
    <w:p>
      <w:pPr>
        <w:spacing w:after="80"/>
      </w:pPr>
      <w:r>
        <w:t xml:space="preserve"/>
      </w:r>
    </w:p>
    <w:p>
      <w:pPr>
        <w:spacing w:after="120" w:before="60"/>
      </w:pPr>
      <w:r>
        <w:rPr>
          <w:rFonts w:ascii="Arial" w:cs="Arial" w:eastAsia="Arial" w:hAnsi="Arial"/>
          <w:color w:val="5F5E5A"/>
          <w:sz w:val="20"/>
          <w:szCs w:val="20"/>
        </w:rPr>
        <w:t xml:space="preserve">This program has an initial term of 3 months. After the initial term, services continue on a rolling month-to-month basis and may be cancelled with 30 days' written notice.</w:t>
      </w:r>
    </w:p>
    <w:p>
      <w:pPr>
        <w:spacing w:after="80"/>
      </w:pPr>
      <w:r>
        <w:t xml:space="preserve"/>
      </w:r>
    </w:p>
    <w:p>
      <w:pPr>
        <w:spacing w:after="120" w:before="60"/>
      </w:pPr>
      <w:r>
        <w:rPr>
          <w:rFonts w:ascii="Arial" w:cs="Arial" w:eastAsia="Arial" w:hAnsi="Arial"/>
          <w:color w:val="5F5E5A"/>
          <w:sz w:val="20"/>
          <w:szCs w:val="20"/>
        </w:rPr>
        <w:t xml:space="preserve">Ad spend for Meta Ads campaigns is separate from the retainer and is managed directly by Client through their own Meta Ads account. AltusFlow.ai does not handle or advance Client ad spend funds under any circumstances.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180"/>
              <w:bottom w:type="dxa" w:w="140"/>
              <w:right w:type="dxa" w:w="180"/>
            </w:tcMar>
          </w:tcPr>
          <w:p>
            <w:r>
              <w:rPr>
                <w:rFonts w:ascii="Arial" w:cs="Arial" w:eastAsia="Arial" w:hAnsi="Arial"/>
                <w:color w:val="085041"/>
                <w:sz w:val="20"/>
                <w:szCs w:val="20"/>
              </w:rPr>
              <w:t xml:space="preserve">The work that AltusFlow.ai performs on your behalf is a non-tangible service involving intellectual property, system configuration, and strategic deployment. Once work has commenced, it cannot be returned. For this reason, all fees are non-refundable once the kickoff call has taken place and work has begun.</w:t>
            </w:r>
          </w:p>
        </w:tc>
      </w:tr>
    </w:tbl>
    <w:p>
      <w:pPr>
        <w:spacing w:after="80"/>
      </w:pPr>
      <w:r>
        <w:t xml:space="preserve"/>
      </w:r>
    </w:p>
    <w:p>
      <w:pPr>
        <w:spacing w:after="120" w:before="60"/>
      </w:pPr>
      <w:r>
        <w:rPr>
          <w:rFonts w:ascii="Arial" w:cs="Arial" w:eastAsia="Arial" w:hAnsi="Arial"/>
          <w:color w:val="5F5E5A"/>
          <w:sz w:val="20"/>
          <w:szCs w:val="20"/>
        </w:rPr>
        <w:t xml:space="preserve">If you wish to cancel before the kickoff call and before any work has commenced, AltusFlow.ai will refund any prepaid amounts within 5 working days.</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How we work — the standardisation policy</w:t>
      </w:r>
    </w:p>
    <w:p>
      <w:pPr>
        <w:spacing w:after="120" w:before="60"/>
      </w:pPr>
      <w:r>
        <w:rPr>
          <w:rFonts w:ascii="Arial" w:cs="Arial" w:eastAsia="Arial" w:hAnsi="Arial"/>
          <w:color w:val="5F5E5A"/>
          <w:sz w:val="20"/>
          <w:szCs w:val="20"/>
        </w:rPr>
        <w:t xml:space="preserve">AltusFlow.ai operates an "Architect" model. All services are delivered via proven Master Templates customised to your brand. This is what allows us to deliver a complete growth system in days rather than months, and to maintain consistent quality across every client.</w:t>
      </w:r>
    </w:p>
    <w:p>
      <w:pPr>
        <w:spacing w:after="80"/>
      </w:pPr>
      <w:r>
        <w:t xml:space="preserve"/>
      </w:r>
    </w:p>
    <w:p>
      <w:pPr>
        <w:spacing w:after="120" w:before="60"/>
      </w:pPr>
      <w:r>
        <w:rPr>
          <w:rFonts w:ascii="Arial" w:cs="Arial" w:eastAsia="Arial" w:hAnsi="Arial"/>
          <w:color w:val="5F5E5A"/>
          <w:sz w:val="20"/>
          <w:szCs w:val="20"/>
        </w:rPr>
        <w:t xml:space="preserve">By signing this agreement, Client acknowledges that:</w:t>
      </w:r>
    </w:p>
    <w:p>
      <w:pPr>
        <w:spacing w:after="40"/>
      </w:pPr>
      <w:r>
        <w:t xml:space="preserve"/>
      </w:r>
    </w:p>
    <w:p>
      <w:pPr>
        <w:pStyle w:val="ListParagraph"/>
        <w:numPr>
          <w:ilvl w:val="0"/>
          <w:numId w:val="2"/>
        </w:numPr>
        <w:spacing w:after="80" w:before="40"/>
      </w:pPr>
      <w:r>
        <w:rPr>
          <w:rFonts w:ascii="Arial" w:cs="Arial" w:eastAsia="Arial" w:hAnsi="Arial"/>
          <w:color w:val="5F5E5A"/>
          <w:sz w:val="20"/>
          <w:szCs w:val="20"/>
        </w:rPr>
        <w:t xml:space="preserve">AltusFlow.ai does not perform bespoke custom development outside the standard system</w:t>
      </w:r>
    </w:p>
    <w:p>
      <w:pPr>
        <w:pStyle w:val="ListParagraph"/>
        <w:numPr>
          <w:ilvl w:val="0"/>
          <w:numId w:val="2"/>
        </w:numPr>
        <w:spacing w:after="80" w:before="40"/>
      </w:pPr>
      <w:r>
        <w:rPr>
          <w:rFonts w:ascii="Arial" w:cs="Arial" w:eastAsia="Arial" w:hAnsi="Arial"/>
          <w:color w:val="5F5E5A"/>
          <w:sz w:val="20"/>
          <w:szCs w:val="20"/>
        </w:rPr>
        <w:t xml:space="preserve">HubSpot pipeline stages, property names, and UTM naming conventions are standardised and may not be modified without AltusFlow.ai's written consent — these standards power the automated reporting</w:t>
      </w:r>
    </w:p>
    <w:p>
      <w:pPr>
        <w:pStyle w:val="ListParagraph"/>
        <w:numPr>
          <w:ilvl w:val="0"/>
          <w:numId w:val="2"/>
        </w:numPr>
        <w:spacing w:after="80" w:before="40"/>
      </w:pPr>
      <w:r>
        <w:rPr>
          <w:rFonts w:ascii="Arial" w:cs="Arial" w:eastAsia="Arial" w:hAnsi="Arial"/>
          <w:color w:val="5F5E5A"/>
          <w:sz w:val="20"/>
          <w:szCs w:val="20"/>
        </w:rPr>
        <w:t xml:space="preserve">Requests for custom work outside the system scope will be separately quoted and agreed in writing</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What we need from you</w:t>
      </w:r>
    </w:p>
    <w:p>
      <w:pPr>
        <w:spacing w:after="120" w:before="60"/>
      </w:pPr>
      <w:r>
        <w:rPr>
          <w:rFonts w:ascii="Arial" w:cs="Arial" w:eastAsia="Arial" w:hAnsi="Arial"/>
          <w:color w:val="5F5E5A"/>
          <w:sz w:val="20"/>
          <w:szCs w:val="20"/>
        </w:rPr>
        <w:t xml:space="preserve">To ensure your system goes live on time, Client agrees to provide the following within 5 business days of signing:</w:t>
      </w:r>
    </w:p>
    <w:p>
      <w:pPr>
        <w:spacing w:after="40"/>
      </w:pPr>
      <w:r>
        <w:t xml:space="preserve"/>
      </w:r>
    </w:p>
    <w:p>
      <w:pPr>
        <w:pStyle w:val="ListParagraph"/>
        <w:numPr>
          <w:ilvl w:val="0"/>
          <w:numId w:val="2"/>
        </w:numPr>
        <w:spacing w:after="80" w:before="40"/>
      </w:pPr>
      <w:r>
        <w:rPr>
          <w:rFonts w:ascii="Arial" w:cs="Arial" w:eastAsia="Arial" w:hAnsi="Arial"/>
          <w:color w:val="5F5E5A"/>
          <w:sz w:val="20"/>
          <w:szCs w:val="20"/>
        </w:rPr>
        <w:t xml:space="preserve">Brand assets — logo (SVG or PNG), brand colour hex codes, and brand fonts</w:t>
      </w:r>
    </w:p>
    <w:p>
      <w:pPr>
        <w:pStyle w:val="ListParagraph"/>
        <w:numPr>
          <w:ilvl w:val="0"/>
          <w:numId w:val="2"/>
        </w:numPr>
        <w:spacing w:after="80" w:before="40"/>
      </w:pPr>
      <w:r>
        <w:rPr>
          <w:rFonts w:ascii="Arial" w:cs="Arial" w:eastAsia="Arial" w:hAnsi="Arial"/>
          <w:color w:val="5F5E5A"/>
          <w:sz w:val="20"/>
          <w:szCs w:val="20"/>
        </w:rPr>
        <w:t xml:space="preserve">Meta Business Manager admin access for campaign setup</w:t>
      </w:r>
    </w:p>
    <w:p>
      <w:pPr>
        <w:pStyle w:val="ListParagraph"/>
        <w:numPr>
          <w:ilvl w:val="0"/>
          <w:numId w:val="2"/>
        </w:numPr>
        <w:spacing w:after="80" w:before="40"/>
      </w:pPr>
      <w:r>
        <w:rPr>
          <w:rFonts w:ascii="Arial" w:cs="Arial" w:eastAsia="Arial" w:hAnsi="Arial"/>
          <w:color w:val="5F5E5A"/>
          <w:sz w:val="20"/>
          <w:szCs w:val="20"/>
        </w:rPr>
        <w:t xml:space="preserve">Domain DNS access for website deployment and email deliverability</w:t>
      </w:r>
    </w:p>
    <w:p>
      <w:pPr>
        <w:pStyle w:val="ListParagraph"/>
        <w:numPr>
          <w:ilvl w:val="0"/>
          <w:numId w:val="2"/>
        </w:numPr>
        <w:spacing w:after="80" w:before="40"/>
      </w:pPr>
      <w:r>
        <w:rPr>
          <w:rFonts w:ascii="Arial" w:cs="Arial" w:eastAsia="Arial" w:hAnsi="Arial"/>
          <w:color w:val="5F5E5A"/>
          <w:sz w:val="20"/>
          <w:szCs w:val="20"/>
        </w:rPr>
        <w:t xml:space="preserve">Approval of AI chat scripts and outbound pitch templates within 3 business days of submission</w:t>
      </w:r>
    </w:p>
    <w:p>
      <w:pPr>
        <w:pStyle w:val="ListParagraph"/>
        <w:numPr>
          <w:ilvl w:val="0"/>
          <w:numId w:val="2"/>
        </w:numPr>
        <w:spacing w:after="80" w:before="40"/>
      </w:pPr>
      <w:r>
        <w:rPr>
          <w:rFonts w:ascii="Arial" w:cs="Arial" w:eastAsia="Arial" w:hAnsi="Arial"/>
          <w:color w:val="5F5E5A"/>
          <w:sz w:val="20"/>
          <w:szCs w:val="20"/>
        </w:rPr>
        <w:t xml:space="preserve">Direct funding of Meta Ads account</w:t>
      </w:r>
    </w:p>
    <w:p>
      <w:pPr>
        <w:pStyle w:val="ListParagraph"/>
        <w:numPr>
          <w:ilvl w:val="0"/>
          <w:numId w:val="2"/>
        </w:numPr>
        <w:spacing w:after="80" w:before="40"/>
      </w:pPr>
      <w:r>
        <w:rPr>
          <w:rFonts w:ascii="Arial" w:cs="Arial" w:eastAsia="Arial" w:hAnsi="Arial"/>
          <w:color w:val="5F5E5A"/>
          <w:sz w:val="20"/>
          <w:szCs w:val="20"/>
        </w:rPr>
        <w:t xml:space="preserve">Notification of any material changes to business operations that may affect campaigns</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Who owns what?</w:t>
      </w:r>
    </w:p>
    <w:p>
      <w:pPr>
        <w:spacing w:after="120" w:before="60"/>
      </w:pPr>
      <w:r>
        <w:rPr>
          <w:rFonts w:ascii="Arial" w:cs="Arial" w:eastAsia="Arial" w:hAnsi="Arial"/>
          <w:color w:val="5F5E5A"/>
          <w:sz w:val="20"/>
          <w:szCs w:val="20"/>
        </w:rPr>
        <w:t xml:space="preserve">Client owns all data within their HubSpot CRM portal — contact records, deal data, and CRM configurations specific to their business. Upon termination, AltusFlow.ai will provide a full data export.</w:t>
      </w:r>
    </w:p>
    <w:p>
      <w:pPr>
        <w:spacing w:after="80"/>
      </w:pPr>
      <w:r>
        <w:t xml:space="preserve"/>
      </w:r>
    </w:p>
    <w:p>
      <w:pPr>
        <w:spacing w:after="120" w:before="60"/>
      </w:pPr>
      <w:r>
        <w:rPr>
          <w:rFonts w:ascii="Arial" w:cs="Arial" w:eastAsia="Arial" w:hAnsi="Arial"/>
          <w:color w:val="5F5E5A"/>
          <w:sz w:val="20"/>
          <w:szCs w:val="20"/>
        </w:rPr>
        <w:t xml:space="preserve">AltusFlow.ai retains all rights to its Master Templates, automation scripts, AI prompt frameworks, dashboard designs, and reporting infrastructure. Client is granted a limited licence to use these during the term of this agreement. Client may not copy, resell, or sub-licence any AltusFlow.ai intellectual property.</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A word on results</w:t>
      </w:r>
    </w:p>
    <w:p>
      <w:pPr>
        <w:spacing w:after="120" w:before="60"/>
      </w:pPr>
      <w:r>
        <w:rPr>
          <w:rFonts w:ascii="Arial" w:cs="Arial" w:eastAsia="Arial" w:hAnsi="Arial"/>
          <w:color w:val="5F5E5A"/>
          <w:sz w:val="20"/>
          <w:szCs w:val="20"/>
        </w:rPr>
        <w:t xml:space="preserve">AltusFlow.ai builds and operates the systems. We do not guarantee specific numbers of leads, calls, or revenue outcomes — marketing results are subject to market conditions, ad platform performance, offer quality, and factors outside our control.</w:t>
      </w:r>
    </w:p>
    <w:p>
      <w:pPr>
        <w:spacing w:after="80"/>
      </w:pPr>
      <w:r>
        <w:t xml:space="preserve"/>
      </w:r>
    </w:p>
    <w:p>
      <w:pPr>
        <w:spacing w:after="120" w:before="60"/>
      </w:pPr>
      <w:r>
        <w:rPr>
          <w:rFonts w:ascii="Arial" w:cs="Arial" w:eastAsia="Arial" w:hAnsi="Arial"/>
          <w:color w:val="5F5E5A"/>
          <w:sz w:val="20"/>
          <w:szCs w:val="20"/>
        </w:rPr>
        <w:t xml:space="preserve">What we do guarantee is that the system will be built to our published standard, deployed correctly, and maintained throughout the term of this agreement. You will have full visibility of results via your live dashboard and monthly report.</w:t>
      </w:r>
    </w:p>
    <w:p>
      <w:pPr>
        <w:spacing w:after="200"/>
      </w:pPr>
      <w:r>
        <w:t xml:space="preserve"/>
      </w:r>
    </w:p>
    <w:p>
      <w:pPr>
        <w:pBdr>
          <w:bottom w:val="single" w:color="1D9E75" w:sz="6" w:space="4"/>
        </w:pBdr>
        <w:spacing w:after="140" w:before="360"/>
      </w:pPr>
      <w:r>
        <w:rPr>
          <w:rFonts w:ascii="Arial" w:cs="Arial" w:eastAsia="Arial" w:hAnsi="Arial"/>
          <w:b/>
          <w:bCs/>
          <w:color w:val="2C2C2A"/>
          <w:sz w:val="26"/>
          <w:szCs w:val="26"/>
        </w:rPr>
        <w:t xml:space="preserve">Agreement</w:t>
      </w:r>
    </w:p>
    <w:p>
      <w:pPr>
        <w:spacing w:after="120" w:before="60"/>
      </w:pPr>
      <w:r>
        <w:rPr>
          <w:rFonts w:ascii="Arial" w:cs="Arial" w:eastAsia="Arial" w:hAnsi="Arial"/>
          <w:color w:val="5F5E5A"/>
          <w:sz w:val="20"/>
          <w:szCs w:val="20"/>
        </w:rPr>
        <w:t xml:space="preserve">By signing below, both parties confirm they have read and understood the terms of this agreement and agree to be bound by them.</w:t>
      </w:r>
    </w:p>
    <w:p>
      <w:pPr>
        <w:spacing w:after="80"/>
      </w:pPr>
      <w:r>
        <w:t xml:space="preserve"/>
      </w:r>
    </w:p>
    <w:p>
      <w:pPr>
        <w:pBdr>
          <w:left w:val="single" w:color="1D9E75" w:sz="10" w:space="8"/>
        </w:pBdr>
        <w:spacing w:after="120" w:before="60"/>
      </w:pPr>
      <w:r>
        <w:rPr>
          <w:rFonts w:ascii="Arial" w:cs="Arial" w:eastAsia="Arial" w:hAnsi="Arial"/>
          <w:color w:val="5F5E5A"/>
          <w:sz w:val="20"/>
          <w:szCs w:val="20"/>
        </w:rPr>
        <w:t xml:space="preserve">This agreement incorporates by reference the AltusFlow.ai Standard Terms and Conditions available at </w:t>
      </w:r>
      <w:r>
        <w:rPr>
          <w:rFonts w:ascii="Arial" w:cs="Arial" w:eastAsia="Arial" w:hAnsi="Arial"/>
          <w:b/>
          <w:bCs/>
          <w:color w:val="1D9E75"/>
          <w:sz w:val="20"/>
          <w:szCs w:val="20"/>
        </w:rPr>
        <w:t xml:space="preserve">altusflow.ai/terms</w:t>
      </w:r>
      <w:r>
        <w:rPr>
          <w:rFonts w:ascii="Arial" w:cs="Arial" w:eastAsia="Arial" w:hAnsi="Arial"/>
          <w:color w:val="5F5E5A"/>
          <w:sz w:val="20"/>
          <w:szCs w:val="20"/>
        </w:rPr>
        <w:t xml:space="preserve">. By signing below, Client acknowledges they have read and agrees to those terms in full.</w:t>
      </w:r>
    </w:p>
    <w:p>
      <w:pPr>
        <w:spacing w:after="160"/>
      </w:pPr>
      <w:r>
        <w:t xml:space="preserve"/>
      </w:r>
    </w:p>
    <w:p>
      <w:pPr>
        <w:spacing w:after="60"/>
      </w:pPr>
      <w:r>
        <w:rPr>
          <w:rFonts w:ascii="Arial" w:cs="Arial" w:eastAsia="Arial" w:hAnsi="Arial"/>
          <w:b/>
          <w:bCs/>
          <w:color w:val="2C2C2A"/>
          <w:sz w:val="20"/>
          <w:szCs w:val="20"/>
        </w:rPr>
        <w:t xml:space="preserve">For and on behalf of AltusFlow.ai</w:t>
      </w:r>
    </w:p>
    <w:p>
      <w:pPr>
        <w:pBdr>
          <w:bottom w:val="single" w:color="D3D1C7" w:sz="3" w:space="3"/>
        </w:pBdr>
        <w:spacing w:after="60" w:before="160"/>
      </w:pPr>
      <w:r>
        <w:rPr>
          <w:rFonts w:ascii="Arial" w:cs="Arial" w:eastAsia="Arial" w:hAnsi="Arial"/>
          <w:color w:val="B4B2A9"/>
          <w:sz w:val="18"/>
          <w:szCs w:val="18"/>
        </w:rPr>
        <w:t xml:space="preserve">Signature</w:t>
      </w:r>
    </w:p>
    <w:p>
      <w:pPr>
        <w:pBdr>
          <w:bottom w:val="single" w:color="D3D1C7" w:sz="3" w:space="3"/>
        </w:pBdr>
        <w:spacing w:after="60" w:before="160"/>
      </w:pPr>
      <w:r>
        <w:rPr>
          <w:rFonts w:ascii="Arial" w:cs="Arial" w:eastAsia="Arial" w:hAnsi="Arial"/>
          <w:color w:val="B4B2A9"/>
          <w:sz w:val="18"/>
          <w:szCs w:val="18"/>
        </w:rPr>
        <w:t xml:space="preserve">Printed name</w:t>
      </w:r>
    </w:p>
    <w:p>
      <w:pPr>
        <w:pBdr>
          <w:bottom w:val="single" w:color="D3D1C7" w:sz="3" w:space="3"/>
        </w:pBdr>
        <w:spacing w:after="60" w:before="160"/>
      </w:pPr>
      <w:r>
        <w:rPr>
          <w:rFonts w:ascii="Arial" w:cs="Arial" w:eastAsia="Arial" w:hAnsi="Arial"/>
          <w:color w:val="B4B2A9"/>
          <w:sz w:val="18"/>
          <w:szCs w:val="18"/>
        </w:rPr>
        <w:t xml:space="preserve">Date</w:t>
      </w:r>
    </w:p>
    <w:p>
      <w:pPr>
        <w:spacing w:after="160"/>
      </w:pPr>
      <w:r>
        <w:t xml:space="preserve"/>
      </w:r>
    </w:p>
    <w:p>
      <w:pPr>
        <w:spacing w:after="60"/>
      </w:pPr>
      <w:r>
        <w:rPr>
          <w:rFonts w:ascii="Arial" w:cs="Arial" w:eastAsia="Arial" w:hAnsi="Arial"/>
          <w:b/>
          <w:bCs/>
          <w:color w:val="2C2C2A"/>
          <w:sz w:val="20"/>
          <w:szCs w:val="20"/>
        </w:rPr>
        <w:t xml:space="preserve">For and on behalf of Client</w:t>
      </w:r>
    </w:p>
    <w:p>
      <w:pPr>
        <w:pBdr>
          <w:bottom w:val="single" w:color="D3D1C7" w:sz="3" w:space="3"/>
        </w:pBdr>
        <w:spacing w:after="60" w:before="160"/>
      </w:pPr>
      <w:r>
        <w:rPr>
          <w:rFonts w:ascii="Arial" w:cs="Arial" w:eastAsia="Arial" w:hAnsi="Arial"/>
          <w:color w:val="B4B2A9"/>
          <w:sz w:val="18"/>
          <w:szCs w:val="18"/>
        </w:rPr>
        <w:t xml:space="preserve">Signature</w:t>
      </w:r>
    </w:p>
    <w:p>
      <w:pPr>
        <w:pBdr>
          <w:bottom w:val="single" w:color="D3D1C7" w:sz="3" w:space="3"/>
        </w:pBdr>
        <w:spacing w:after="60" w:before="160"/>
      </w:pPr>
      <w:r>
        <w:rPr>
          <w:rFonts w:ascii="Arial" w:cs="Arial" w:eastAsia="Arial" w:hAnsi="Arial"/>
          <w:color w:val="B4B2A9"/>
          <w:sz w:val="18"/>
          <w:szCs w:val="18"/>
        </w:rPr>
        <w:t xml:space="preserve">Printed name</w:t>
      </w:r>
    </w:p>
    <w:p>
      <w:pPr>
        <w:pBdr>
          <w:bottom w:val="single" w:color="D3D1C7" w:sz="3" w:space="3"/>
        </w:pBdr>
        <w:spacing w:after="60" w:before="160"/>
      </w:pPr>
      <w:r>
        <w:rPr>
          <w:rFonts w:ascii="Arial" w:cs="Arial" w:eastAsia="Arial" w:hAnsi="Arial"/>
          <w:color w:val="B4B2A9"/>
          <w:sz w:val="18"/>
          <w:szCs w:val="18"/>
        </w:rPr>
        <w:t xml:space="preserve">Title</w:t>
      </w:r>
    </w:p>
    <w:p>
      <w:pPr>
        <w:pBdr>
          <w:bottom w:val="single" w:color="D3D1C7" w:sz="3" w:space="3"/>
        </w:pBdr>
        <w:spacing w:after="60" w:before="160"/>
      </w:pPr>
      <w:r>
        <w:rPr>
          <w:rFonts w:ascii="Arial" w:cs="Arial" w:eastAsia="Arial" w:hAnsi="Arial"/>
          <w:color w:val="B4B2A9"/>
          <w:sz w:val="18"/>
          <w:szCs w:val="18"/>
        </w:rPr>
        <w:t xml:space="preserve">Date</w:t>
      </w:r>
    </w:p>
    <w:p>
      <w:pPr>
        <w:spacing w:after="160"/>
      </w:pPr>
      <w:r>
        <w:t xml:space="preserve"/>
      </w:r>
    </w:p>
    <w:p>
      <w:pPr>
        <w:pBdr>
          <w:top w:val="single" w:color="D3D1C7" w:sz="2" w:space="6"/>
        </w:pBdr>
        <w:spacing w:after="60"/>
      </w:pPr>
      <w:r>
        <w:rPr>
          <w:rFonts w:ascii="Arial" w:cs="Arial" w:eastAsia="Arial" w:hAnsi="Arial"/>
          <w:b/>
          <w:bCs/>
          <w:color w:val="5F5E5A"/>
          <w:sz w:val="17"/>
          <w:szCs w:val="17"/>
        </w:rPr>
        <w:t xml:space="preserve">Note: </w:t>
      </w:r>
      <w:r>
        <w:rPr>
          <w:rFonts w:ascii="Arial" w:cs="Arial" w:eastAsia="Arial" w:hAnsi="Arial"/>
          <w:color w:val="B4B2A9"/>
          <w:sz w:val="17"/>
          <w:szCs w:val="17"/>
        </w:rPr>
        <w:t xml:space="preserve">This agreement is a plain-English program agreement. Have a qualified attorney in your jurisdiction review the full terms before use with paying clients. A comprehensive legal agreement is available as a separate document.</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5F5E5A"/>
        <w:sz w:val="16"/>
        <w:szCs w:val="16"/>
      </w:rPr>
      <w:t xml:space="preserve">AltusFlow.ai  ·  Confidential</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tabs>
        <w:tab w:val="right" w:pos="9026"/>
      </w:tabs>
      <w:spacing w:after="0"/>
    </w:pPr>
    <w:r>
      <w:rPr>
        <w:rFonts w:ascii="Arial" w:cs="Arial" w:eastAsia="Arial" w:hAnsi="Arial"/>
        <w:b/>
        <w:bCs/>
        <w:color w:val="2C2C2A"/>
        <w:sz w:val="18"/>
        <w:szCs w:val="18"/>
      </w:rPr>
      <w:t xml:space="preserve">ALTUSFLOW.AI</w:t>
    </w:r>
    <w:r>
      <w:rPr>
        <w:sz w:val="18"/>
        <w:szCs w:val="18"/>
      </w:rPr>
      <w:t xml:space="preserve">	</w:t>
    </w:r>
    <w:r>
      <w:rPr>
        <w:rFonts w:ascii="Arial" w:cs="Arial" w:eastAsia="Arial" w:hAnsi="Arial"/>
        <w:color w:val="5F5E5A"/>
        <w:sz w:val="18"/>
        <w:szCs w:val="18"/>
      </w:rPr>
      <w:t xml:space="preserve">3-Vertical Growth Ecosystem — Program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2026-06-18T19:22:37.908Z</dcterms:created>
  <dcterms:modified xsi:type="dcterms:W3CDTF">2026-06-18T19:22:37.923Z</dcterms:modified>
</cp:coreProperties>
</file>

<file path=docProps/custom.xml><?xml version="1.0" encoding="utf-8"?>
<Properties xmlns="http://schemas.openxmlformats.org/officeDocument/2006/custom-properties" xmlns:vt="http://schemas.openxmlformats.org/officeDocument/2006/docPropsVTypes"/>
</file>