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 xml:space="preserve">Управление проектами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Специальность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Специализация</w:t>
            </w:r>
            <w:r w:rsidRPr="005F68E4">
              <w:rPr>
                <w:sz w:val="28"/>
                <w:szCs w:val="28"/>
              </w:rPr>
              <w:t/>
            </w:r>
            <w:r w:rsidRPr="005F68E4">
              <w:rPr>
                <w:sz w:val="28"/>
                <w:szCs w:val="28"/>
              </w:rPr>
              <w:t/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математики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14810D79" w14:textId="77777777" w:rsidR="009574D6" w:rsidRPr="00427AF8" w:rsidRDefault="009C6CD5" w:rsidP="002647EF">
      <w:pPr>
        <w:pStyle w:val="Standard"/>
        <w:pageBreakBefore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 xml:space="preserve">Цель освоения дисциплины Б1.О.01.07 «Управление проектами» — формирование способности планировать и организовывать выполнение проекта, управлять его ресурсами, рисками и качеством, координировать работу команды на всех этапах жизненного цикла.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 xml:space="preserve">– Задачи дисциплины: освоить постановку проектной задачи и критериев результата; научиться разрабатывать календарный и ресурсный план; применять способы мониторинга, управления изменениями и взаимодействия участников при выполнении прикладных математических, программных и социально значимых проектов.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 xml:space="preserve">2.1. Дисциплина Б1.О.01.07 «Управление проектами» относится к обязательной части Блока 1.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 xml:space="preserve">История России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 xml:space="preserve">Философия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 xml:space="preserve">Основы российской государственности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 xml:space="preserve">Введение в профессиональную деятельность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 xml:space="preserve">Учебная практика (научно-исследовательская работа (получение первичных навыков научно-исследовательской работы))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 xml:space="preserve">Производственная практика (проектно-технологическая)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 xml:space="preserve">Программная инженерия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 xml:space="preserve">Производственная практика (научно-исследовательская работа)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"/>
          <w:szCs w:val="2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09" w:footer="709" w:gutter="0"/>
          <w:cols w:space="720"/>
          <w:titlePg/>
        </w:sectPr>
        <w:spacing w:before="0" w:after="0" w:line="20" w:lineRule="exact"/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Изучение дисциплины направлено на формирование универсальных компетенций УК-2 и УК-3.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4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Владеть (навыками)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shd w:val="clear" w:color="auto" w:fill="auto"/>
            <w:vMerge w:val="restart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1</w:t>
            </w:r>
          </w:p>
        </w:tc>
        <w:tc>
          <w:tcPr>
            <w:tcW w:w="0" w:type="auto"/>
            <w:shd w:val="clear" w:color="auto" w:fill="auto"/>
            <w:vMerge w:val="restart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 xml:space="preserve">УК-2. Способен управлять проектом на всех этапах его жизненного цикла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 xml:space="preserve">УК-2.1. Формулирует на основе поставленной проблемы проектную задачу и способ ее решения через реализацию проектного управления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 xml:space="preserve">виды проектов, этапы жизненного цикла, способы выявления проблемы и определения заинтересованных сторон, принципы постановки цели и критериев результата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 xml:space="preserve">формулировать проектную задачу и границы проекта, согласовывать ожидаемый результат и выбирать способ организации проектной работы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 xml:space="preserve">приемами подготовки паспорта проекта и обоснования проектного решения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shd w:val="clear" w:color="auto" w:fill="auto"/>
            <w:vMerge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w="0" w:type="auto"/>
            <w:shd w:val="clear" w:color="auto" w:fill="auto"/>
            <w:vMerge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 xml:space="preserve">УК-2.2. Разрабатывает концепцию и план реализации проекта с учетом потенциальных рисков и возможности их устранения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 xml:space="preserve">принципы декомпозиции работ, календарного и ресурсного планирования, способы оценки рисков и выбора ответных мер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 xml:space="preserve">разрабатывать концепцию, план работ, бюджет и реестр рисков с учетом ресурсов и ограничений проекта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 xml:space="preserve">приемами составления структуры работ, календарного плана и плана управления рисками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shd w:val="clear" w:color="auto" w:fill="auto"/>
            <w:vMerge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w="0" w:type="auto"/>
            <w:shd w:val="clear" w:color="auto" w:fill="auto"/>
            <w:vMerge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 xml:space="preserve">УК-2.3. Осуществляет мониторинг хода реализации проекта, уточняет зоны ответственности участников проекта, предлагает механизмы оценки качества проекта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 xml:space="preserve">показатели хода и качества проекта, способы контроля сроков и затрат, порядок управления изменениями и завершения проекта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 xml:space="preserve">сопоставлять фактические и плановые результаты, уточнять ответственность участников и предлагать корректирующие действия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 xml:space="preserve">приемами подготовки отчета о ходе проекта, контроля качества и приемки результата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shd w:val="clear" w:color="auto" w:fill="auto"/>
            <w:vMerge w:val="restart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2</w:t>
            </w:r>
          </w:p>
        </w:tc>
        <w:tc>
          <w:tcPr>
            <w:tcW w:w="0" w:type="auto"/>
            <w:shd w:val="clear" w:color="auto" w:fill="auto"/>
            <w:vMerge w:val="restart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 xml:space="preserve">УК-3. Способен организовывать и руководить работой команды, вырабатывая командную стратегию для достижения поставленной цели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 xml:space="preserve">УК-3.1. Определяет свою роль в социальном взаимодействии и командной работе, выбирает стиль руководства и общения, исходя из стратегии сотрудничества для достижения поставленной цели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 xml:space="preserve">командные роли, стили руководства и общения, принципы сотрудничества и распределения ответственности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 xml:space="preserve">определять свою роль и выбирать способы общения и руководства с учетом общей цели и состава команды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 xml:space="preserve">приемами согласования командной стратегии, ролей и правил взаимодействия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shd w:val="clear" w:color="auto" w:fill="auto"/>
            <w:vMerge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w="0" w:type="auto"/>
            <w:shd w:val="clear" w:color="auto" w:fill="auto"/>
            <w:vMerge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 xml:space="preserve">УК-3.2. Организует работу команды, взаимодействует в команде, учитывая различия, особенности поведения и интересы других участников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 xml:space="preserve">принципы организации совместной работы, профессиональной этики и учета различий участников, способы предупреждения конфликтов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 xml:space="preserve">распределять задачи, организовывать обсуждения и обмен информацией, учитывать интересы и возможности участников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 xml:space="preserve">приемами координации командной работы, ведения рабочих встреч и разрешения разногласий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shd w:val="clear" w:color="auto" w:fill="auto"/>
            <w:vMerge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w="0" w:type="auto"/>
            <w:shd w:val="clear" w:color="auto" w:fill="auto"/>
            <w:vMerge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2"/>
              </w:rPr>
              <w:t xml:space="preserve"/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 xml:space="preserve">УК-3.3. Анализирует и оценивает результативность взаимодействия в команде, определяет последовательность шагов в решении возможных проблем для достижения заданного результата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 xml:space="preserve">критерии результативности команды, способы обратной связи и анализа причин затруднений в совместной работе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 xml:space="preserve">оценивать вклад участников и результативность взаимодействия, определять шаги по решению выявленных проблем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 xml:space="preserve">приемами проведения ретроспективы и разработки мер по улучшению командного взаимодействия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  <w:sz w:val="2"/>
          <w:szCs w:val="2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1134" w:left="1134" w:header="709" w:footer="709" w:gutter="0"/>
          <w:cols w:space="720"/>
        </w:sectPr>
        <w:spacing w:before="0" w:after="0" w:line="20" w:lineRule="exact"/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3402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4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72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72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2</w:t>
            </w:r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 СОДЕРЖАНИЕ ДИСЦИПЛИНЫ (МОДУЛЯ)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2.1. Содержание разделов дисциплины (модуля)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  <w:keepNext/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shd w:val="clear" w:color="auto" w:fill="auto"/>
            <w:vMerge w:val="restart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4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Проектная деятельность и жизненный цикл проекта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Понятие проекта и его отличия от текущей деятельности. Цель, продукт и результат проекта; критерии успеха и ограничения. Виды проектов, жизненный цикл и стадии. Предиктивная, итерационная и гибкая организация работы. Особенности исследовательских, математических, программных и социально значимых проектов.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shd w:val="clear" w:color="auto" w:fill="auto"/>
            <w:vMerge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/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Проблема, заинтересованные стороны и концепция проекта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Выявление проблемы и потребностей заказчика. Анализ заинтересованных сторон, ожиданий и противоречий. Формулирование цели, измеримых результатов и границ проекта. Обоснование выбора решения, допущения и ограничения. Паспорт проекта; критерии приемки и согласование требований.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shd w:val="clear" w:color="auto" w:fill="auto"/>
            <w:vMerge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/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Содержание проекта и календарное планирование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Декомпозиция результата и иерархическая структура работ. Пакеты работ, зависимости, оценки длительности и трудоемкости. Сетевой график, критический путь, временные резервы и диаграмма Ганта. Контрольные точки и базовый план. Планирование исследовательских этапов и проверки работоспособности математической модели или программного прототипа.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shd w:val="clear" w:color="auto" w:fill="auto"/>
            <w:vMerge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/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Ресурсы, затраты и организационные ограничения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Планирование человеческих, информационных, материальных и вычислительных ресурсов. Различие трудоемкости и длительности работы. Оценка затрат и составление бюджета; резерв ресурсов. Выбор альтернатив при ограничениях по срокам, стоимости и качеству. Учет условий использования данных и программных средств, прав на результаты и обязательств участников.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shd w:val="clear" w:color="auto" w:fill="auto"/>
            <w:vMerge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/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5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Управление рисками, качеством и изменениями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Неопределенность проекта, выявление и классификация рисков. Оценка вероятности и последствий, матрица приоритетов, реестр рисков и ответственные. Предупреждение, снижение, передача и принятие риска. Критерии качества результата, проверка и приемка. Регистрация изменений, оценка их влияния на сроки, затраты и содержание; согласование обновленного плана.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shd w:val="clear" w:color="auto" w:fill="auto"/>
            <w:vMerge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/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6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Организация команды и проектные коммуникации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Командная стратегия, роли и распределение ответственности. Матрица ответственности, полномочия и делегирование. Стили руководства, мотивация и учет различий участников. План коммуникаций, рабочие встречи, протоколы и обратная связь. Профессиональная этика, предупреждение конфликтов и согласование интересов. Координация совместной работы и прозрачность решений.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shd w:val="clear" w:color="auto" w:fill="auto"/>
            <w:vMerge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/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7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Мониторинг и оценка результативности проекта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Плановые и фактические показатели сроков, ресурсов и готовности результата. Статус работ, контрольные точки и отчет о ходе проекта. Выявление отклонений и причин, корректирующие действия и уточнение зон ответственности. Оценка взаимодействия в команде, вклада участников и качества промежуточного результата. Разбор проектных ситуаций.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shd w:val="clear" w:color="auto" w:fill="auto"/>
            <w:vMerge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/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8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Завершение проекта и представление результатов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Проверка достижения целей и выполнения критериев приемки. Передача результата заказчику, документации и материалов для воспроизведения решения. Итоговый отчет и презентация результатов, ограничений и дальнейших действий. Ретроспектива команды, оценка социального эффекта, извлеченные уроки и сохранение проектного опыта.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3A09B80E" w14:textId="77777777" w:rsidR="00636755" w:rsidRDefault="00636755" w:rsidP="00636755">
      <w:pPr>
        <w:keepNext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</w:p>
    <w:p w14:paraId="6C23AA93" w14:textId="77777777" w:rsidR="00A630B2" w:rsidRPr="00427AF8" w:rsidRDefault="00A630B2" w:rsidP="00F77120">
      <w:pPr>
        <w:pStyle w:val="Standard"/>
        <w:keepNext/>
        <w:tabs>
          <w:tab w:val="left" w:pos="1140"/>
        </w:tabs>
        <w:ind w:firstLine="0"/>
        <w:rPr>
          <w:b/>
          <w:color w:val="auto"/>
          <w:sz w:val="28"/>
          <w:szCs w:val="28"/>
        </w:rPr>
      </w:pPr>
    </w:p>
    <w:p w14:paraId="5AB3AD3C" w14:textId="77777777" w:rsidR="008A1D7D" w:rsidRDefault="008A1D7D" w:rsidP="002647EF">
      <w:pPr>
        <w:keepNext/>
        <w:widowControl/>
        <w:numPr>
          <w:ilvl w:val="1"/>
          <w:numId w:val="17"/>
        </w:numPr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  <w:t>Перечень практических занятий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18"/>
        <w:gridCol w:w="1091"/>
        <w:gridCol w:w="2654"/>
        <w:gridCol w:w="4607"/>
      </w:tblGrid>
      <w:tr w:rsidR="00823663" w14:paraId="27620FA5" w14:textId="77777777" w:rsidTr="00582657">
        <w:trPr>
          <w:tblHeader/>
        </w:trPr>
        <w:tc>
          <w:tcPr>
            <w:tcW w:w="0" w:type="auto"/>
            <w:shd w:val="clear" w:color="auto" w:fill="auto"/>
          </w:tcPr>
          <w:p w14:paraId="21E6C216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семестра</w:t>
            </w:r>
          </w:p>
        </w:tc>
        <w:tc>
          <w:tcPr>
            <w:tcW w:w="0" w:type="auto"/>
            <w:shd w:val="clear" w:color="auto" w:fill="auto"/>
          </w:tcPr>
          <w:p w14:paraId="2CB08708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0B390AD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учебной дисциплины</w:t>
            </w:r>
          </w:p>
        </w:tc>
        <w:tc>
          <w:tcPr>
            <w:tcW w:w="0" w:type="auto"/>
            <w:shd w:val="clear" w:color="auto" w:fill="auto"/>
          </w:tcPr>
          <w:p w14:paraId="2662624E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b/>
                <w:sz w:val="24"/>
                <w:szCs w:val="22"/>
              </w:rPr>
              <w:t>Содержание практического занятия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shd w:val="clear" w:color="auto" w:fill="auto"/>
            <w:vMerge w:val="restart"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4</w:t>
            </w:r>
          </w:p>
        </w:tc>
        <w:tc>
          <w:tcPr>
            <w:tcW w:w="0" w:type="auto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1</w:t>
            </w:r>
          </w:p>
        </w:tc>
        <w:tc>
          <w:tcPr>
            <w:tcW w:w="0" w:type="auto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Проектная деятельность и жизненный цикл проекта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Разбор примеров проектов. Определение результата, ограничений и способа организации жизненного цикла.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shd w:val="clear" w:color="auto" w:fill="auto"/>
            <w:vMerge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/>
            </w:r>
          </w:p>
        </w:tc>
        <w:tc>
          <w:tcPr>
            <w:tcW w:w="0" w:type="auto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2</w:t>
            </w:r>
          </w:p>
        </w:tc>
        <w:tc>
          <w:tcPr>
            <w:tcW w:w="0" w:type="auto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Проблема, заинтересованные стороны и концепция проекта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Анализ проблемы и заинтересованных сторон. Подготовка цели, границ, критериев приемки и паспорта проекта.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shd w:val="clear" w:color="auto" w:fill="auto"/>
            <w:vMerge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/>
            </w:r>
          </w:p>
        </w:tc>
        <w:tc>
          <w:tcPr>
            <w:tcW w:w="0" w:type="auto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3</w:t>
            </w:r>
          </w:p>
        </w:tc>
        <w:tc>
          <w:tcPr>
            <w:tcW w:w="0" w:type="auto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Содержание проекта и календарное планирование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Декомпозиция работ и построение календарного плана. Анализ зависимостей, критического пути и резервов времени.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shd w:val="clear" w:color="auto" w:fill="auto"/>
            <w:vMerge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/>
            </w:r>
          </w:p>
        </w:tc>
        <w:tc>
          <w:tcPr>
            <w:tcW w:w="0" w:type="auto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4</w:t>
            </w:r>
          </w:p>
        </w:tc>
        <w:tc>
          <w:tcPr>
            <w:tcW w:w="0" w:type="auto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Ресурсы, затраты и организационные ограничения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Расчет потребности в ресурсах и бюджета. Выбор варианта плана при ограничениях по срокам и затратам.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shd w:val="clear" w:color="auto" w:fill="auto"/>
            <w:vMerge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/>
            </w:r>
          </w:p>
        </w:tc>
        <w:tc>
          <w:tcPr>
            <w:tcW w:w="0" w:type="auto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5</w:t>
            </w:r>
          </w:p>
        </w:tc>
        <w:tc>
          <w:tcPr>
            <w:tcW w:w="0" w:type="auto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Управление рисками, качеством и изменениями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Подготовка реестра рисков и плана ответных мер. Анализ запроса на изменение и критериев качества результата.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shd w:val="clear" w:color="auto" w:fill="auto"/>
            <w:vMerge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/>
            </w:r>
          </w:p>
        </w:tc>
        <w:tc>
          <w:tcPr>
            <w:tcW w:w="0" w:type="auto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6</w:t>
            </w:r>
          </w:p>
        </w:tc>
        <w:tc>
          <w:tcPr>
            <w:tcW w:w="0" w:type="auto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Организация команды и проектные коммуникации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Распределение командных ролей и ответственности. Разработка плана коммуникаций; разбор конфликтной ситуации.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shd w:val="clear" w:color="auto" w:fill="auto"/>
            <w:vMerge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/>
            </w:r>
          </w:p>
        </w:tc>
        <w:tc>
          <w:tcPr>
            <w:tcW w:w="0" w:type="auto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7</w:t>
            </w:r>
          </w:p>
        </w:tc>
        <w:tc>
          <w:tcPr>
            <w:tcW w:w="0" w:type="auto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Мониторинг и оценка результативности проекта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Подготовка отчета о ходе проекта. Анализ отклонений и корректирующих действий; оценка взаимодействия команды.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shd w:val="clear" w:color="auto" w:fill="auto"/>
            <w:vMerge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/>
            </w:r>
          </w:p>
        </w:tc>
        <w:tc>
          <w:tcPr>
            <w:tcW w:w="0" w:type="auto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8</w:t>
            </w:r>
          </w:p>
        </w:tc>
        <w:tc>
          <w:tcPr>
            <w:tcW w:w="0" w:type="auto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Завершение проекта и представление результатов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Представление итогового проектного решения. Приемка результата и ретроспектива командной работы.</w:t>
            </w:r>
          </w:p>
        </w:tc>
      </w:tr>
    </w:tbl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3. САМОСТОЯТЕЛЬНАЯ РАБОТА ОБУЧАЮЩЕГОСЯ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 xml:space="preserve">Самостоятельная работа осуществляется в объеме 20 часов.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 xml:space="preserve">4 семестр — 20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Видами самостоятельной работы обучающегося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изучение литературы по дисциплине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индивидуального задания 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семинарским занятиям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 xml:space="preserve">Бурмистрова, Е. В. Методы организации исследовательской и проектной деятельности обучающихся : учебное пособие для вузов / Е. В. Бурмистрова, Л. М. Мануйлова. – Москва : Юрайт, 2024. – 115 с. – URL: </w:t>
            </w:r>
            <w:hyperlink r:id="rId31" w:history="1">
              <w:r>
                <w:rPr>
                  <w:rFonts w:ascii="Times New Roman" w:hAnsi="Times New Roman" w:cs="Times New Roman"/>
                  <w:color w:val="auto"/>
                  <w:sz w:val="24"/>
                  <w:rStyle w:val="ab"/>
                </w:rPr>
                <w:t xml:space="preserve">https://urait.ru/bcode/544679</w:t>
              </w:r>
            </w:hyperlink>
            <w:r>
              <w:rPr>
                <w:rFonts w:ascii="Times New Roman" w:hAnsi="Times New Roman" w:cs="Times New Roman"/>
                <w:color w:val="auto"/>
                <w:sz w:val="24"/>
              </w:rPr>
              <w:t xml:space="preserve">  (дата обращения: 05.02.2025). – Режим доступа: для зарегистрированных пользователей. – ISBN 978-5-534 15400-9. – Текст: электронный.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 xml:space="preserve">Зуб, А. Т. Управление проектами : учебник и практикум для вузов / А. Т. Зуб. — 2-е изд., перераб. и доп. — Москва : Издательство Юрайт, 2025. — 397 с. — (Высшее образование). — ISBN 978-5-534-17500-4. — Текст : электронный // Образовательная платформа Юрайт [сайт]. — URL: </w:t>
            </w:r>
            <w:hyperlink r:id="rId29" w:history="1">
              <w:r>
                <w:rPr>
                  <w:rFonts w:ascii="Times New Roman" w:hAnsi="Times New Roman" w:cs="Times New Roman"/>
                  <w:color w:val="auto"/>
                  <w:sz w:val="24"/>
                  <w:rStyle w:val="ab"/>
                </w:rPr>
                <w:t xml:space="preserve">https://urait.ru/bcode/560386</w:t>
              </w:r>
            </w:hyperlink>
            <w:r>
              <w:rPr>
                <w:rFonts w:ascii="Times New Roman" w:hAnsi="Times New Roman" w:cs="Times New Roman"/>
                <w:color w:val="auto"/>
                <w:sz w:val="24"/>
              </w:rPr>
              <w:t xml:space="preserve">  (дата обращения: 11.03.2025).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 xml:space="preserve">Селезнева, Е. В. Лидерство : учебник и практикум для вузов / Е. В. Селезнева. – Москва : Юрайт, 2024. – 429 с. – URL: </w:t>
            </w:r>
            <w:hyperlink r:id="rId32" w:history="1">
              <w:r>
                <w:rPr>
                  <w:rFonts w:ascii="Times New Roman" w:hAnsi="Times New Roman" w:cs="Times New Roman"/>
                  <w:color w:val="auto"/>
                  <w:sz w:val="24"/>
                  <w:rStyle w:val="ab"/>
                </w:rPr>
                <w:t xml:space="preserve">https://urait.ru/bcode/535903</w:t>
              </w:r>
            </w:hyperlink>
            <w:r>
              <w:rPr>
                <w:rFonts w:ascii="Times New Roman" w:hAnsi="Times New Roman" w:cs="Times New Roman"/>
                <w:color w:val="auto"/>
                <w:sz w:val="24"/>
              </w:rPr>
              <w:t xml:space="preserve">  (дата обращения: 05.02.2025). – Режим доступа: для зарегистрированных пользователей. – ISBN 978-5-534-08397-2. – Текст : электронный.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 xml:space="preserve">Управление проектами : учебник и практикум для вузов / А. И. Балашов, Е. М. Рогова, М. В. Тихонова, Е. А. Ткаченко ; под общей редакцией Е. М. Роговой. — Москва : Издательство Юрайт, 2025. — 383 с. — (Высшее образование). — ISBN 978-5-534-00436 6. — Текст : электронный // Образовательная платформа Юрайт [сайт]. — URL: </w:t>
            </w:r>
            <w:hyperlink r:id="rId30" w:history="1">
              <w:r>
                <w:rPr>
                  <w:rFonts w:ascii="Times New Roman" w:hAnsi="Times New Roman" w:cs="Times New Roman"/>
                  <w:color w:val="auto"/>
                  <w:sz w:val="24"/>
                  <w:rStyle w:val="ab"/>
                </w:rPr>
                <w:t xml:space="preserve">https://urait.ru/bcode/559736</w:t>
              </w:r>
            </w:hyperlink>
            <w:r>
              <w:rPr>
                <w:rFonts w:ascii="Times New Roman" w:hAnsi="Times New Roman" w:cs="Times New Roman"/>
                <w:color w:val="auto"/>
                <w:sz w:val="24"/>
              </w:rPr>
              <w:t xml:space="preserve">  (дата обращения: 11.03.2025)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Основы проектной деятельности : учебно-методическое пособие / составитель И. М. Дудина; Ярославский государственный университет им. П. Г. Демидова. – Ярославль: ЯрГУ, 2019. – 28 с. – URL: http://www.lib.uniyar.ac.ru/edocs/iuni/20190601.pdf (дата обращения: 05.02.2025). – Режим доступа: свободный. – Текст : электронный.</w:t>
            </w: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Остервальдер, А. Построение бизнес-моделей : настольная книга стратега и новатора : практическое пособие : [16+] / А. Остервальдер, И. Пинье ; ред. М. Савина ; пер. М. Кульнева. – 2-е изд. – Москва : Альпина Паблишер, 2016. – 288 с. – Режим доступа: по подписке. – URL: https://biblioclub.ru/index.php?page=book&amp;id=229875 (дата обращения: 11.03.2025). – Библиогр. в кн. – ISBN 978-5-9614-1844-6. – Текст : электронный.</w:t>
            </w: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Оценка рисков в проектном менеджменте : учебное пособие : [16+] / Е. И. Капустина, О. П. Григорьева, Ю. С. Скрипниченко [и др.] ; Ставропольский государственный аграрный университет. – Ставрополь : Ставропольский государственный аграрный университет (СтГАУ), 2017. – 152 с. : ил. – Режим доступа: по подписке. – URL: https://biblioclub.ru/index.php?page=book&amp;id=484918 (дата обращения: 11.03.2025). – Библиогр. в кн. – Текст : электронный. 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 xml:space="preserve">1. Справочно-правовая система «КонсультантПлюс» (Договор об информационной поддержке от 27 января 2020 г.) </w:t>
      </w:r>
    </w:p>
    <w:p w14:paraId="09AB369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 xml:space="preserve">2. Кодексы и законы: правовая навигационная система. – Режим доступа: https://www.zakonrf.info/, свободный (дата обращения: 16.03.2025).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 xml:space="preserve">3. Консорциум «Кодекс»: электронный фонд правовой и нормативно технической документации. – Режим доступа: https://kodeks.ru/about, свободный (дата обращения: 16.03.2025).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 xml:space="preserve">4. Официальная Россия: Сервер органов государственной власти Российской Федерации. – Режим доступа: http://gov.ru/, свободный (дата обращения: 16.03.2025). 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 xml:space="preserve">5. Официальный интернет-портал правовой информации: сайт. – Режим доступа: http://pravo.gov.ru/, свободный (дата обращения: 16.03.2025).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 xml:space="preserve">6. Университетская библиотека ONLINE: электронная библиотека : сайт. – URL: https://biblioclub.ru (дата обращения: 05.02.2025).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 xml:space="preserve">7. ЮРАЙТ: электронная библиотека : сайт. – URL: https://urait.ru/ (дата обращения: 05.02.2025). – Режим доступа: для зарегистрированных пользователей. 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1. Polpred.com Обзор СМИ [Электронный ресурс]: сайт. – Доступ после регистрации излюбой точки, имеющей доступ к Интернету. – Режим доступа: http://polpred.com (дата обращения: 11.03.2025). </w:t>
      </w:r>
    </w:p>
    <w:p w14:paraId="5FA8A6B1" w14:textId="77777777" w:rsidR="000452E3" w:rsidRPr="006F6607" w:rsidRDefault="000452E3" w:rsidP="000452E3">
      <w:pPr>
        <w:widowControl/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2. Виртуальная справочная служба Корпорации универсальных научных библиотек [Электронный ресурс]: международный проект. – Режим доступа: http://korunb.nlr.ru/query_form.php, свободный (дата обращения: 11.03.2025). 3. Добро.РФ: крупнейшая платформа для добрых дел: сайт. – URL: https://dobro.ru/ (дата обращения: 05.02.2025). – Режим доступа: для зарегистрированных пользователей. – Текст : электронный.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1. Бизнес. Общество. Власть : журнал : онлайн-издание / Научно-учебная лаборатория исследований в области бизнес-коммуникаций Национального исследовательского университета "Высшая школа экономики". – URL: </w:t>
      </w:r>
      <w:hyperlink r:id="rId33" w:history="1">
        <w:r>
          <w:rPr>
            <w:rFonts w:ascii="Times New Roman" w:eastAsia="Times New Roman" w:hAnsi="Times New Roman" w:cs="Times New Roman"/>
            <w:sz w:val="28"/>
            <w:szCs w:val="28"/>
            <w:lang w:eastAsia="ar-SA"/>
            <w:rStyle w:val="ab"/>
          </w:rPr>
          <w:t xml:space="preserve">https://www.hse.ru/mag/27364712/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 (дата обращения: 05.02.2025). – Режим доступа: свободный. – Текст : электронный.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 xml:space="preserve">Стандартно оборудованные аудитории для учебных занятий, для консультаций, текущего контроля и промежуточной аттестации: комплект учебной мебели, доска меловая, стационарный (переносной) экран, стационарный (переносной) мультимедиа проектор, персональный компьютер (ноутбук либо телевизор). Аудитория для самостоятельной работы: комплект учебной мебели, компьютеры; доступ к сети «Интернет» и в электронную информационно образовательную среду РГУ имени С.А. Есенина.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7. Методические указания для обучающихся </w:t>
        <w:br/>
        <w:t xml:space="preserve"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</w:t>
            </w:r>
          </w:p>
        </w:tc>
      </w:tr>
      <w:tr w:rsidR="00427AF8" w:rsidRPr="00427AF8" w14:paraId="7B57534C" w14:textId="77777777">
        <w:trPr>
          <w:cantSplit/>
        </w:trPr>
        <w:tc>
          <w:tcPr>
            <w:tcW w:w="2518" w:type="dxa"/>
          </w:tcPr>
          <w:p w14:paraId="6F81DBC0" w14:textId="77777777" w:rsidR="00EB5DA2" w:rsidRPr="00427AF8" w:rsidRDefault="00EB5DA2" w:rsidP="002647EF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Практические занятия (семинар)</w:t>
            </w:r>
          </w:p>
        </w:tc>
        <w:tc>
          <w:tcPr>
            <w:tcW w:w="7088" w:type="dxa"/>
          </w:tcPr>
          <w:p w14:paraId="63D84837" w14:textId="77777777" w:rsidR="00EB5DA2" w:rsidRPr="00427AF8" w:rsidRDefault="003E5892" w:rsidP="002647EF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Подготовка к каждому практическому занятию должна начаться с ознакомления с планом семинарского занятия, который отражает содержание предложенной темы. Тщательное продумывание и изучение вопросов плана основывается на проработке текущего материала лекции, а затем изучения обязательной и дополнительной литературы, ресурсов Интернета, рекомендованных к данной теме. На основе индивидуальных предпочтений студент может самостоятельно выбрать тему доклада по проблеме семинара и подготовить по нему электронную презентацию. Если предусмотрено выполнение практического задания, то его необходимо выполнить с учетом предложенных рекомендаций преподавателя (устных или письменных). При подготовке к семинарским занятиям необходимо обратить особое внимание на самостоятельное изучение рекомендованной учебно-методической, научной литературы и электронных ресурсов. Конспектирование источников. Работа с конспектом лекций, подготовка ответов к контрольным вопросам, просмотр рекомендуемой литературы, электронных презентаций лекций и др.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Подготовка к зачету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При подготовке к зачету необходимо ориентироваться на конспекты лекций, рекомендуемую литературу, электронные ресурсы, данные о современных проблемах управления в сфере образования.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pageBreakBefore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p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6" w:name="_Hlk171681250"/>
      <w:r w:rsidRPr="00B00E3E">
        <w:rPr>
          <w:rFonts w:ascii="Times New Roman" w:hAnsi="Times New Roman" w:cs="Times New Roman"/>
          <w:b/>
          <w:sz w:val="28"/>
          <w:szCs w:val="28"/>
        </w:rPr>
        <w:t>Стандартный набор ПО: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Операционная система </w:t>
              <w:br/>
              <w:t xml:space="preserve">РЕД ОС 8.0 «Рабочая станция»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Соглашение №93/03-22У от 11.03.2022</w:t>
            </w:r>
          </w:p>
        </w:tc>
      </w:tr>
      <w:tr w:rsidR="000452E3" w:rsidRPr="007165E0" w14:paraId="21ABEF85" w14:textId="77777777">
        <w:tc>
          <w:tcPr>
            <w:tcW w:w="4957" w:type="dxa"/>
            <w:shd w:val="clear" w:color="auto" w:fill="auto"/>
          </w:tcPr>
          <w:p w14:paraId="1C00305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Архиватор </w:t>
              <w:br/>
              <w:t xml:space="preserve">Engrampa – Archive Manager </w:t>
            </w:r>
          </w:p>
        </w:tc>
        <w:tc>
          <w:tcPr>
            <w:tcW w:w="4394" w:type="dxa"/>
            <w:shd w:val="clear" w:color="auto" w:fill="auto"/>
          </w:tcPr>
          <w:p w14:paraId="4E4AABC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37CD002B" w14:textId="77777777">
        <w:tc>
          <w:tcPr>
            <w:tcW w:w="4957" w:type="dxa"/>
            <w:shd w:val="clear" w:color="auto" w:fill="auto"/>
          </w:tcPr>
          <w:p w14:paraId="5C10841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Файловые менеджеры:</w:t>
              <w:br/>
              <w:t xml:space="preserve">Midnight Commander</w:t>
              <w:br/>
              <w:t xml:space="preserve">Double Commander</w:t>
            </w:r>
          </w:p>
        </w:tc>
        <w:tc>
          <w:tcPr>
            <w:tcW w:w="4394" w:type="dxa"/>
            <w:shd w:val="clear" w:color="auto" w:fill="auto"/>
          </w:tcPr>
          <w:p w14:paraId="65DF04E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46AA5661" w14:textId="77777777">
        <w:tc>
          <w:tcPr>
            <w:tcW w:w="4957" w:type="dxa"/>
            <w:shd w:val="clear" w:color="auto" w:fill="auto"/>
          </w:tcPr>
          <w:p w14:paraId="4E8C461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Интернет-браузеры:</w:t>
              <w:br/>
              <w:t xml:space="preserve">Chromium</w:t>
              <w:br/>
              <w:t xml:space="preserve">Firefox</w:t>
            </w:r>
          </w:p>
        </w:tc>
        <w:tc>
          <w:tcPr>
            <w:tcW w:w="4394" w:type="dxa"/>
            <w:shd w:val="clear" w:color="auto" w:fill="auto"/>
          </w:tcPr>
          <w:p w14:paraId="2CEE226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769A8BD9" w14:textId="77777777">
        <w:trPr>
          <w:trHeight w:val="599"/>
        </w:trPr>
        <w:tc>
          <w:tcPr>
            <w:tcW w:w="4957" w:type="dxa"/>
            <w:shd w:val="clear" w:color="auto" w:fill="auto"/>
          </w:tcPr>
          <w:p w14:paraId="0FC0B157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графических файлов Pix</w:t>
            </w:r>
          </w:p>
        </w:tc>
        <w:tc>
          <w:tcPr>
            <w:tcW w:w="4394" w:type="dxa"/>
            <w:shd w:val="clear" w:color="auto" w:fill="auto"/>
          </w:tcPr>
          <w:p w14:paraId="6E6011D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33D22EDF" w14:textId="77777777">
        <w:trPr>
          <w:trHeight w:val="581"/>
        </w:trPr>
        <w:tc>
          <w:tcPr>
            <w:tcW w:w="4957" w:type="dxa"/>
            <w:shd w:val="clear" w:color="auto" w:fill="auto"/>
          </w:tcPr>
          <w:p w14:paraId="21F3FD2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  <w:br/>
              <w:t xml:space="preserve">Atril – Document Viewer</w:t>
            </w:r>
          </w:p>
        </w:tc>
        <w:tc>
          <w:tcPr>
            <w:tcW w:w="4394" w:type="dxa"/>
            <w:shd w:val="clear" w:color="auto" w:fill="auto"/>
          </w:tcPr>
          <w:p w14:paraId="28432AEB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08391951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215CEF04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Медиа-плеер VLC media player </w:t>
            </w:r>
          </w:p>
        </w:tc>
        <w:tc>
          <w:tcPr>
            <w:tcW w:w="4394" w:type="dxa"/>
            <w:shd w:val="clear" w:color="auto" w:fill="auto"/>
          </w:tcPr>
          <w:p w14:paraId="054A234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33B6FD9C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118CF1D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6725E45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6FA0A377" w14:textId="77777777">
        <w:trPr>
          <w:trHeight w:val="402"/>
        </w:trPr>
        <w:tc>
          <w:tcPr>
            <w:tcW w:w="4957" w:type="dxa"/>
            <w:shd w:val="clear" w:color="auto" w:fill="auto"/>
          </w:tcPr>
          <w:p w14:paraId="0E2C0F22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Система электронного обучения Moodle⃰</w:t>
            </w:r>
          </w:p>
        </w:tc>
        <w:tc>
          <w:tcPr>
            <w:tcW w:w="4394" w:type="dxa"/>
            <w:shd w:val="clear" w:color="auto" w:fill="auto"/>
          </w:tcPr>
          <w:p w14:paraId="4B4D4D70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</w:tbl>
    <w:p w14:paraId="00AC0E03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  <w:r w:rsidRPr="007165E0">
        <w:rPr>
          <w:rFonts w:ascii="Times New Roman" w:hAnsi="Times New Roman" w:cs="Times New Roman"/>
          <w:i/>
          <w:sz w:val="24"/>
        </w:rPr>
        <w:t xml:space="preserve">⃰ </w:t>
      </w:r>
      <w:r w:rsidRPr="007165E0">
        <w:rPr>
          <w:rFonts w:ascii="Times New Roman" w:hAnsi="Times New Roman" w:cs="Times New Roman"/>
          <w:sz w:val="24"/>
        </w:rPr>
        <w:t>При реализации дисциплины с частичным применением дистанционных образовательных технологий</w:t>
      </w:r>
    </w:p>
    <w:p w14:paraId="63A22D47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s://library.rsu.edu.ru/" TargetMode="Externa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hyperlink" Target="http://eqworld.ipmnet.ru/indexr.htm" TargetMode="External"/><Relationship Id="rId7" Type="http://schemas.openxmlformats.org/officeDocument/2006/relationships/header" Target="header1.xml"/><Relationship Id="rId12" Type="http://schemas.openxmlformats.org/officeDocument/2006/relationships/hyperlink" Target="http://znanium.com" TargetMode="Externa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16" Type="http://schemas.openxmlformats.org/officeDocument/2006/relationships/hyperlink" Target="https://www.biblio-online.ru" TargetMode="Externa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book.ru" TargetMode="Externa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yperlink" Target="https://dlib.eastview.com/" TargetMode="External"/><Relationship Id="rId22" Type="http://schemas.openxmlformats.org/officeDocument/2006/relationships/hyperlink" Target="http://old.exponenta.ru/" TargetMode="External"/><Relationship Id="rId27" Type="http://schemas.openxmlformats.org/officeDocument/2006/relationships/fontTable" Target="fontTable.xml"/><Relationship Id="rId29" Type="http://schemas.openxmlformats.org/officeDocument/2006/relationships/hyperlink" Target="https://urait.ru/bcode/560386" TargetMode="External"/><Relationship Id="rId30" Type="http://schemas.openxmlformats.org/officeDocument/2006/relationships/hyperlink" Target="https://urait.ru/bcode/559736" TargetMode="External"/><Relationship Id="rId31" Type="http://schemas.openxmlformats.org/officeDocument/2006/relationships/hyperlink" Target="https://urait.ru/bcode/544679" TargetMode="External"/><Relationship Id="rId32" Type="http://schemas.openxmlformats.org/officeDocument/2006/relationships/hyperlink" Target="https://urait.ru/bcode/535903" TargetMode="External"/><Relationship Id="rId33" Type="http://schemas.openxmlformats.org/officeDocument/2006/relationships/hyperlink" Target="https://www.hse.ru/mag/27364712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