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Дифференциальная геометрия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Специальность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Специализация</w:t>
            </w:r>
            <w:r w:rsidRPr="005F68E4">
              <w:rPr>
                <w:sz w:val="28"/>
                <w:szCs w:val="28"/>
              </w:rPr>
              <w:t/>
            </w:r>
            <w:r w:rsidRPr="005F68E4">
              <w:rPr>
                <w:sz w:val="28"/>
                <w:szCs w:val="28"/>
              </w:rPr>
              <w:t/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математики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14810D79" w14:textId="77777777" w:rsidR="009574D6" w:rsidRPr="00427AF8" w:rsidRDefault="009C6CD5" w:rsidP="002647EF">
      <w:pPr>
        <w:pStyle w:val="Standard"/>
        <w:pageBreakBefore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Б1.О.04.05 «Дифференциальная геометрия»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локальной геометрии гладких кривых и поверхностей;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знаний о локальных геометрических характеристиках гладких кривых и поверхностей;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методами вычисления кривизны, кручения, фундаментальных форм и геодезических;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связывать координатные вычисления с инвариантными геометрическими свойствами.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Б1.О.04.05 «Дифференциальная геометрия» относится к обязательной части Блока 1.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Математический анализ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Аналитическая геометрия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Производственная практика (научно-исследовательская работа)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"/>
          <w:szCs w:val="2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09" w:footer="709" w:gutter="0"/>
          <w:cols w:space="720"/>
          <w:titlePg/>
        </w:sectPr>
        <w:spacing w:before="0" w:after="0" w:line="20" w:lineRule="exact"/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ОПК-1.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4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Владеть (навыками)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ОПК-1. Способен находить, формулировать и решать актуальные и значимые проблемы фундаментальной математики и механики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ОПК-1.1. Обладает обширным диапазоном знаний, полученным в области фундаментальной математики и ее актуальных проблем.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определения, основные теоремы и условия их применимости; кривизну, геометрию кривых и поверхностей.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объяснять утверждения и приводить примеры и контрпримеры в задачах дисциплины; исследование геодезических на простых поверхностях и сравнение разных параметризаций.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доказательства и проверки математических утверждений при изучении: кривизну, геометрию кривых и поверхностей.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ОПК-1.2. Осуществляет выбор методов решения задач фундаментальной математики.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методы решения и границы применимости математических методов; кривизну, геометрию кривых и поверхностей.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сравнивать и обоснованно выбирать методы решения в задачах дисциплины; исследование геодезических на простых поверхностях и сравнение разных параметризаций.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выбора метода и проверки полученного решения при изучении: кривизну, геометрию кривых и поверхностей.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ОПК-1.3. Формализует актуальные задачи фундаментальной математики, подбирает и применяет подходящие методы их решения.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приемы формализации и постановки математической задачи; кривизну, геометрию кривых и поверхностей.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формализовать условия и строить последовательность решения в задачах дисциплины; исследование геодезических на простых поверхностях и сравнение разных параметризаций.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постановки задачи и аргументированного решения при изучении: кривизну, геометрию кривых и поверхностей.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  <w:sz w:val="2"/>
          <w:szCs w:val="2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1134" w:left="1134" w:header="709" w:footer="709" w:gutter="0"/>
          <w:cols w:space="720"/>
        </w:sectPr>
        <w:spacing w:before="0" w:after="0" w:line="20" w:lineRule="exact"/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3402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5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 СОДЕРЖАНИЕ ДИСЦИПЛИНЫ (МОДУЛЯ)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2.1. Содержание разделов дисциплины (модуля)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  <w:keepNext/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5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Гладкие кривые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Регулярная параметризация гладкой кривой и натуральный параметр. Касательная, нормаль, бинормаль и репер Френе. Кривизна, кручение и формулы Френе. Основная теорема теории кривых. Плоские и пространственные кривые, изменение ориентации и геометрические инварианты. Длина дуги и выбор регулярной параметризации для исследования локальной формы кривой. Геометрические характеристики траектории движения и влияние перепараметризации на кривизну и кручение.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Гладкие поверхности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Регулярная поверхность и ее локальная параметризация. Касательное пространство, касательная плоскость и нормаль. Первая квадратичная форма и метрические коэффициенты. Координатные линии, изменение параметров, длины, углы и площади в локальных координатах. Изометрические отображения, внутренняя метрика и различие внутренней и внешней геометрии поверхности. Метрические характеристики параметризованной поверхности как основа измерения расстояний и площадей в геометрической модели. Геометрия признаковых векторов, лежащих на заданной гладкой поверхности; расстояние в объемлющем пространстве и длина заданного пути на поверхности.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Кривизна поверхности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Вторая квадратичная форма поверхности. Нормальная кривизна и формула Эйлера. Главные направления и главные кривизны, гауссова и средняя кривизна. Эллиптические, гиперболические, параболические и плоские точки. Умбилические точки и линии кривизны. Связь знака кривизны с локальной формой поверхности. Кривизна сферы, цилиндра и поверхности вращения; зависимость знака средней кривизны от ориентации нормали.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Внутренняя геометрия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Внутренняя метрика поверхности и символы Кристоффеля в локальных координатах. Геодезическая кривизна и геодезические как линии нулевой геодезической кривизны. Вывод координатного уравнения геодезической из геометрических условий. Большие круги сферы и явная параметризация геодезических. Параллельный перенос касательного вектора вдоль заданного контура. Теорема Гаусса о внутренней кривизне и изометрические инварианты поверхности.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3. САМОСТОЯТЕЛЬНАЯ РАБОТА ОБУЧАЮЩЕГОСЯ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60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5 семестр – 60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Видами самостоятельной работы обучающегося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зачету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да (см. Оценочные средства).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Сизый С. В. Лекции по дифференциальной геометрии. Москва: ФИЗМАТЛИТ, 2007. — Текст: электронный. ЭБС «Лань». URL: https://e.lanbook.com/book/2320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Привалов И. И. Аналитическая геометрия. Санкт-Петербург: Лань, 2022. 304 с. — Текст: электронный. ЭБС «Лань». URL: https://e.lanbook.com/book/210353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1. BOOK.ru : электронная библиотека : сайт.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1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http://www.book.ru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электронный. </w:t>
      </w:r>
    </w:p>
    <w:p w14:paraId="09AB369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2. Znanium.com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2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http://znanium.com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Текст: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3. Научная библиотека РГУ имени С. А. Есенина: сайт. – URL: https://library.rsu-rzn.ru/marc/Default.asp (дата обращения: 21.02.2025).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4. Универсальная база данных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EastView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4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dlib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eastview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 – Режим доступа: в сети университета. – Текст: электронный. 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5. Университетская библиотека ONLINE: электронная библиотека.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5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http://biblioclub.ru/index.php?page=main_ub_red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6 ЮРАЙТ: образовательная  платформа : сайт. – Москва, 2013. – URL: https://urait.ru/ (дата обращения: 21.02.2025).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7.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Лань: электронная библиотека: сайт. – </w:t>
      </w:r>
      <w:r w:rsidRPr="005C7038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7" w:history="1"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e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lanbook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com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/</w:t>
        </w:r>
      </w:hyperlink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Режим доступа: для зарегистрированных пользователей.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>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.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The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of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Mathematical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Equations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Международный научно-образовательный сайт.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 xml:space="preserve">– Режим доступа: </w:t>
      </w:r>
      <w:hyperlink r:id="rId21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http://eqworld.ipmnet.ru/indexr.htm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, свободный (дата обращения: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21.02.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EXPonenta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ru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] : 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бразовательный математический сайт.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</w:rPr>
        <w:t>: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22" w:history="1">
        <w:r w:rsidRPr="006F6607">
          <w:rPr>
            <w:rFonts w:ascii="Times New Roman" w:eastAsia="Symbol" w:hAnsi="Times New Roman" w:cs="Times New Roman"/>
            <w:color w:val="0000FF"/>
            <w:sz w:val="28"/>
            <w:u w:val="single"/>
            <w:lang w:eastAsia="ru-RU"/>
          </w:rPr>
          <w:t>http://old.exponenta.ru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, свободный (дата обращ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гладкие кривые, гладкие поверхности, кривизна поверхности, внутренняя геометрия.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p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6" w:name="_Hlk171681250"/>
      <w:r w:rsidRPr="00B00E3E">
        <w:rPr>
          <w:rFonts w:ascii="Times New Roman" w:hAnsi="Times New Roman" w:cs="Times New Roman"/>
          <w:b/>
          <w:sz w:val="28"/>
          <w:szCs w:val="28"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Операционная система</w:t>
              <w:br/>
              <w:t>Debian GNU/Linux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21ABEF85" w14:textId="77777777">
        <w:tc>
          <w:tcPr>
            <w:tcW w:w="4957" w:type="dxa"/>
            <w:shd w:val="clear" w:color="auto" w:fill="auto"/>
          </w:tcPr>
          <w:p w14:paraId="1C00305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Архиватор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Engrampa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Archive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Manager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4394" w:type="dxa"/>
            <w:shd w:val="clear" w:color="auto" w:fill="auto"/>
          </w:tcPr>
          <w:p w14:paraId="4E4AABC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7CD002B" w14:textId="77777777">
        <w:tc>
          <w:tcPr>
            <w:tcW w:w="4957" w:type="dxa"/>
            <w:shd w:val="clear" w:color="auto" w:fill="auto"/>
          </w:tcPr>
          <w:p w14:paraId="5C10841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Файловые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</w:rPr>
              <w:t>менеджеры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:</w:t>
            </w:r>
          </w:p>
          <w:p w14:paraId="00A7C70A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Midnight Commander</w:t>
            </w:r>
          </w:p>
          <w:p w14:paraId="3F8B80F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Double Commander</w:t>
            </w:r>
          </w:p>
        </w:tc>
        <w:tc>
          <w:tcPr>
            <w:tcW w:w="4394" w:type="dxa"/>
            <w:shd w:val="clear" w:color="auto" w:fill="auto"/>
          </w:tcPr>
          <w:p w14:paraId="65DF04E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46AA5661" w14:textId="77777777">
        <w:tc>
          <w:tcPr>
            <w:tcW w:w="4957" w:type="dxa"/>
            <w:shd w:val="clear" w:color="auto" w:fill="auto"/>
          </w:tcPr>
          <w:p w14:paraId="4E8C461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Интернет-браузеры: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Chromium</w:t>
            </w:r>
          </w:p>
          <w:p w14:paraId="7668C8D9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Firefox</w:t>
            </w:r>
          </w:p>
        </w:tc>
        <w:tc>
          <w:tcPr>
            <w:tcW w:w="4394" w:type="dxa"/>
            <w:shd w:val="clear" w:color="auto" w:fill="auto"/>
          </w:tcPr>
          <w:p w14:paraId="2CEE226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769A8BD9" w14:textId="77777777">
        <w:trPr>
          <w:trHeight w:val="599"/>
        </w:trPr>
        <w:tc>
          <w:tcPr>
            <w:tcW w:w="4957" w:type="dxa"/>
            <w:shd w:val="clear" w:color="auto" w:fill="auto"/>
          </w:tcPr>
          <w:p w14:paraId="0FC0B157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графических файлов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Pix</w:t>
            </w:r>
          </w:p>
        </w:tc>
        <w:tc>
          <w:tcPr>
            <w:tcW w:w="4394" w:type="dxa"/>
            <w:shd w:val="clear" w:color="auto" w:fill="auto"/>
          </w:tcPr>
          <w:p w14:paraId="6E6011D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D22EDF" w14:textId="77777777">
        <w:trPr>
          <w:trHeight w:val="581"/>
        </w:trPr>
        <w:tc>
          <w:tcPr>
            <w:tcW w:w="4957" w:type="dxa"/>
            <w:shd w:val="clear" w:color="auto" w:fill="auto"/>
          </w:tcPr>
          <w:p w14:paraId="21F3FD2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Atril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Document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Viewer</w:t>
            </w:r>
          </w:p>
        </w:tc>
        <w:tc>
          <w:tcPr>
            <w:tcW w:w="4394" w:type="dxa"/>
            <w:shd w:val="clear" w:color="auto" w:fill="auto"/>
          </w:tcPr>
          <w:p w14:paraId="28432AEB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08391951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215CEF04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Медиа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-</w:t>
            </w:r>
            <w:r w:rsidRPr="001A6B4B">
              <w:rPr>
                <w:rFonts w:ascii="Times New Roman" w:hAnsi="Times New Roman" w:cs="Times New Roman"/>
                <w:sz w:val="24"/>
              </w:rPr>
              <w:t>плеер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VLC media player </w:t>
            </w:r>
          </w:p>
        </w:tc>
        <w:tc>
          <w:tcPr>
            <w:tcW w:w="4394" w:type="dxa"/>
            <w:shd w:val="clear" w:color="auto" w:fill="auto"/>
          </w:tcPr>
          <w:p w14:paraId="054A234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B6FD9C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118CF1D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6725E45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6FA0A377" w14:textId="77777777">
        <w:trPr>
          <w:trHeight w:val="402"/>
        </w:trPr>
        <w:tc>
          <w:tcPr>
            <w:tcW w:w="4957" w:type="dxa"/>
            <w:shd w:val="clear" w:color="auto" w:fill="auto"/>
          </w:tcPr>
          <w:p w14:paraId="0E2C0F22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4B4D4D70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</w:tbl>
    <w:p w14:paraId="00AC0E03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  <w:r w:rsidRPr="007165E0">
        <w:rPr>
          <w:rFonts w:ascii="Times New Roman" w:hAnsi="Times New Roman" w:cs="Times New Roman"/>
          <w:i/>
          <w:sz w:val="24"/>
        </w:rPr>
        <w:t xml:space="preserve">⃰ </w:t>
      </w:r>
      <w:r w:rsidRPr="007165E0">
        <w:rPr>
          <w:rFonts w:ascii="Times New Roman" w:hAnsi="Times New Roman" w:cs="Times New Roman"/>
          <w:sz w:val="24"/>
        </w:rPr>
        <w:t>При реализации дисциплины с частичным применением дистанционных образовательных технологий</w:t>
      </w:r>
    </w:p>
    <w:p w14:paraId="63A22D47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</w:p>
    <w:p w14:paraId="5FAFF2BB" w14:textId="77777777" w:rsidR="00871FD0" w:rsidRPr="00491A9D" w:rsidRDefault="000452E3" w:rsidP="00C83F29">
      <w:pPr>
        <w:ind w:left="360"/>
        <w:rPr>
          <w:bCs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Специализированное ПО: Python, SymPy, Matplotlib.</w:t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library.rsu.edu.ru/" TargetMode="Externa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hyperlink" Target="http://eqworld.ipmnet.ru/indexr.htm" TargetMode="External"/><Relationship Id="rId7" Type="http://schemas.openxmlformats.org/officeDocument/2006/relationships/header" Target="header1.xml"/><Relationship Id="rId12" Type="http://schemas.openxmlformats.org/officeDocument/2006/relationships/hyperlink" Target="http://znanium.com" TargetMode="Externa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16" Type="http://schemas.openxmlformats.org/officeDocument/2006/relationships/hyperlink" Target="https://www.biblio-online.ru" TargetMode="Externa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book.ru" TargetMode="Externa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yperlink" Target="https://dlib.eastview.com/" TargetMode="External"/><Relationship Id="rId22" Type="http://schemas.openxmlformats.org/officeDocument/2006/relationships/hyperlink" Target="http://old.exponenta.ru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