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 w:rsidRPr="009B673E"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Tr="002343FC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«Программная инженерия»</w:t>
            </w:r>
          </w:p>
        </w:tc>
      </w:tr>
      <w:tr w:rsidR="00FE1C02" w:rsidTr="00E36657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FA762C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4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highlight w:val="yellow"/>
              </w:rPr>
            </w:pPr>
          </w:p>
          <w:p w:rsidR="00FE1C02" w:rsidRPr="008E3667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  <w:highlight w:val="yellow"/>
              </w:rPr>
            </w:pPr>
            <w:r>
              <w:rPr>
                <w:i/>
                <w:kern w:val="2"/>
                <w:sz w:val="28"/>
              </w:rPr>
              <w:t>физико-математических и компьютерных наук</w:t>
            </w:r>
            <w:r w:rsidR="00FE1C02" w:rsidRPr="009B673E">
              <w:rPr>
                <w:i/>
                <w:kern w:val="2"/>
                <w:sz w:val="28"/>
              </w:rPr>
              <w:t xml:space="preserve">  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2343FC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часть, формируемую участниками образовательных отношений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6785F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bCs/>
          <w:kern w:val="2"/>
          <w:sz w:val="28"/>
          <w:szCs w:val="28"/>
        </w:rPr>
        <w:pageBreakBefore/>
      </w:pP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«Программная инженерия»</w:t>
      </w:r>
      <w:r>
        <w:rPr>
          <w:spacing w:val="-2"/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Tr="00B05906">
        <w:tc>
          <w:tcPr>
            <w:tcW w:w="2376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bookmarkStart w:id="1" w:name="_Hlk215163808"/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D872A3" w:rsidRDefault="00B05906" w:rsidP="00B05906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B0590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bookmarkEnd w:id="1"/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sz w:val="28"/>
          <w:szCs w:val="28"/>
          <w:u w:val="single"/>
        </w:rPr>
        <w:t xml:space="preserve">«Программная инженерия»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E36657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Tr="00B05906">
        <w:tc>
          <w:tcPr>
            <w:tcW w:w="2093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B0590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BE02E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Tr="0072798B">
        <w:tc>
          <w:tcPr>
            <w:tcW w:w="2376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D872A3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D872A3" w:rsidRDefault="00B05906" w:rsidP="00B05906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4157"/>
        <w:gridCol w:w="1762"/>
        <w:gridCol w:w="1437"/>
        <w:gridCol w:w="1702"/>
      </w:tblGrid>
      <w:tr w:rsidR="00D90045" w:rsidRPr="00D872A3" w:rsidTr="00E36657">
        <w:trPr>
          <w:cantSplit/>
          <w:trHeight w:val="20"/>
          <w:tblHeader/>
        </w:trPr>
        <w:tc>
          <w:tcPr>
            <w:tcW w:w="268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2172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20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751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889" w:type="pct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6953FA" w:rsidRPr="00D872A3" w:rsidTr="006953FA">
        <w:trPr>
          <w:cantSplit/>
        </w:trPr>
        <w:tc>
          <w:tcPr>
            <w:tcW w:w="268" w:type="pct"/>
          </w:tcPr>
          <w:p w:rsidR="006953FA" w:rsidRPr="003527D0" w:rsidRDefault="006953FA" w:rsidP="006953FA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6953FA" w:rsidRPr="0072798B" w:rsidRDefault="006953FA" w:rsidP="006953FA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Требования и планирование</w:t>
            </w:r>
          </w:p>
        </w:tc>
        <w:tc>
          <w:tcPr>
            <w:tcW w:w="920" w:type="pct"/>
            <w:vAlign w:val="center"/>
            <w:vMerge w:val="restart"/>
          </w:tcPr>
          <w:p w:rsidR="006953FA" w:rsidRPr="007F5F30" w:rsidRDefault="006953FA" w:rsidP="006953FA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УК-2</w:t>
              <w:br/>
              <w:t xml:space="preserve">ПК-4</w:t>
            </w:r>
          </w:p>
        </w:tc>
        <w:tc>
          <w:tcPr>
            <w:tcW w:w="751" w:type="pct"/>
            <w:vAlign w:val="center"/>
            <w:vMerge w:val="restart"/>
          </w:tcPr>
          <w:p w:rsidR="006953FA" w:rsidRDefault="006953FA" w:rsidP="006953F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УК-2.2</w:t>
              <w:br/>
              <w:t xml:space="preserve">ПК-4.1</w:t>
              <w:br/>
              <w:t xml:space="preserve">ПК-4.2</w:t>
              <w:br/>
              <w:t xml:space="preserve">ПК-4.3</w:t>
            </w:r>
          </w:p>
        </w:tc>
        <w:tc>
          <w:tcPr>
            <w:tcW w:w="889" w:type="pct"/>
            <w:vAlign w:val="center"/>
            <w:vMerge w:val="restart"/>
          </w:tcPr>
          <w:p w:rsidR="006953FA" w:rsidRPr="007F5F30" w:rsidRDefault="006953FA" w:rsidP="006953FA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6953FA" w:rsidRPr="00D872A3" w:rsidTr="006953FA">
        <w:trPr>
          <w:cantSplit/>
        </w:trPr>
        <w:tc>
          <w:tcPr>
            <w:tcW w:w="268" w:type="pct"/>
          </w:tcPr>
          <w:p w:rsidR="006953FA" w:rsidRPr="003527D0" w:rsidRDefault="006953FA" w:rsidP="006953FA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6953FA" w:rsidRPr="0072798B" w:rsidRDefault="006953FA" w:rsidP="006953FA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Архитектура и проектирование</w:t>
            </w:r>
          </w:p>
        </w:tc>
        <w:tc>
          <w:tcPr>
            <w:tcW w:w="920" w:type="pct"/>
            <w:vAlign w:val="center"/>
            <w:vMerge w:val="continue"/>
          </w:tcPr>
          <w:p w:rsidR="006953FA" w:rsidRPr="007F5F30" w:rsidRDefault="006953FA" w:rsidP="006953FA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953FA" w:rsidRDefault="006953FA" w:rsidP="006953F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953FA" w:rsidRPr="007F5F30" w:rsidRDefault="006953FA" w:rsidP="006953FA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6953FA" w:rsidRPr="00D872A3" w:rsidTr="006953FA">
        <w:trPr>
          <w:cantSplit/>
        </w:trPr>
        <w:tc>
          <w:tcPr>
            <w:tcW w:w="268" w:type="pct"/>
          </w:tcPr>
          <w:p w:rsidR="006953FA" w:rsidRPr="003527D0" w:rsidRDefault="006953FA" w:rsidP="006953FA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6953FA" w:rsidRPr="0072798B" w:rsidRDefault="006953FA" w:rsidP="006953FA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Интеграция и внедрение</w:t>
            </w:r>
          </w:p>
        </w:tc>
        <w:tc>
          <w:tcPr>
            <w:tcW w:w="920" w:type="pct"/>
            <w:vAlign w:val="center"/>
            <w:vMerge w:val="continue"/>
          </w:tcPr>
          <w:p w:rsidR="006953FA" w:rsidRPr="007F5F30" w:rsidRDefault="006953FA" w:rsidP="006953FA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953FA" w:rsidRDefault="006953FA" w:rsidP="006953F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953FA" w:rsidRPr="007F5F30" w:rsidRDefault="006953FA" w:rsidP="006953FA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6953FA" w:rsidRPr="00D872A3" w:rsidTr="006953FA">
        <w:trPr>
          <w:cantSplit/>
        </w:trPr>
        <w:tc>
          <w:tcPr>
            <w:tcW w:w="268" w:type="pct"/>
          </w:tcPr>
          <w:p w:rsidR="006953FA" w:rsidRPr="003527D0" w:rsidRDefault="006953FA" w:rsidP="006953FA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25"/>
              </w:numPr>
            </w:pPr>
          </w:p>
        </w:tc>
        <w:tc>
          <w:tcPr>
            <w:tcW w:w="2172" w:type="pct"/>
          </w:tcPr>
          <w:p w:rsidR="006953FA" w:rsidRPr="0072798B" w:rsidRDefault="006953FA" w:rsidP="006953FA">
            <w:pPr>
              <w:spacing w:line="240" w:lineRule="auto"/>
              <w:ind w:firstLine="0"/>
              <w:rPr>
                <w:sz w:val="24"/>
                <w:highlight w:val="yellow"/>
              </w:rPr>
            </w:pPr>
            <w:r>
              <w:t xml:space="preserve">Сопровождение и развитие</w:t>
            </w:r>
          </w:p>
        </w:tc>
        <w:tc>
          <w:tcPr>
            <w:tcW w:w="920" w:type="pct"/>
            <w:vAlign w:val="center"/>
            <w:vMerge w:val="continue"/>
          </w:tcPr>
          <w:p w:rsidR="006953FA" w:rsidRPr="007F5F30" w:rsidRDefault="006953FA" w:rsidP="006953FA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751" w:type="pct"/>
            <w:vAlign w:val="center"/>
            <w:vMerge w:val="continue"/>
          </w:tcPr>
          <w:p w:rsidR="006953FA" w:rsidRDefault="006953FA" w:rsidP="006953FA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val="en-US" w:eastAsia="zh-CN"/>
              </w:rPr>
            </w:pPr>
          </w:p>
        </w:tc>
        <w:tc>
          <w:tcPr>
            <w:tcW w:w="889" w:type="pct"/>
            <w:vAlign w:val="center"/>
            <w:vMerge w:val="continue"/>
          </w:tcPr>
          <w:p w:rsidR="006953FA" w:rsidRPr="007F5F30" w:rsidRDefault="006953FA" w:rsidP="006953FA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395A32" w:rsidRDefault="00395A32" w:rsidP="00395A32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395A32" w:rsidRDefault="00395A32" w:rsidP="00395A32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395A32" w:rsidRPr="00842C4A" w:rsidTr="00860C3E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395A32" w:rsidRPr="00842C4A" w:rsidRDefault="00395A32" w:rsidP="00860C3E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395A32" w:rsidRPr="00842C4A" w:rsidRDefault="00395A32" w:rsidP="00860C3E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</w:t>
            </w:r>
            <w:r>
              <w:rPr>
                <w:bCs/>
                <w:kern w:val="2"/>
                <w:sz w:val="24"/>
                <w:szCs w:val="24"/>
                <w:lang w:eastAsia="zh-CN"/>
              </w:rPr>
              <w:t>*</w:t>
            </w:r>
          </w:p>
        </w:tc>
        <w:tc>
          <w:tcPr>
            <w:tcW w:w="2925" w:type="dxa"/>
            <w:vAlign w:val="center"/>
          </w:tcPr>
          <w:p w:rsidR="00395A32" w:rsidRPr="00842C4A" w:rsidRDefault="00395A32" w:rsidP="00860C3E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Функциональные и нефункциональные требования. Проверяемость и критерии приемки.</w:t>
            </w:r>
          </w:p>
        </w:tc>
        <w:tc>
          <w:tcPr>
            <w:tcW w:w="2925" w:type="dxa"/>
            <w:vAlign w:val="center"/>
            <w:vMerge w:val="restart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  <w:r>
              <w:t xml:space="preserve">УК-2.2</w:t>
              <w:br/>
              <w:t xml:space="preserve">ПК-4.1</w:t>
              <w:br/>
              <w:t xml:space="preserve">ПК-4.2</w:t>
              <w:br/>
              <w:t xml:space="preserve">ПК-4.3</w:t>
            </w: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Сценарий использования и границы расчетной системы. Внешние участники и ответственность.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Трассируемость требования до приемочного испытания. Выявление непокрытых условий.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Требование к алгоритму и требование к сервису. Корректность расчета и системные свойства.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Декомпозиция выпуска и оценка трудоемкости. Зависимости работ и резерв неопределенности.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Технические риски проекта. Влияние вероятности и последствий на порядок реализации.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Изменение требований и границ расчетного сервиса. Оценка затронутых компонентов.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Для сервиса решения линейной системы порядка не более 100 сформулируйте три функциональных и два нефункциональных требования. Обязательно рассмотрите несовместимые размеры и вырожденную матрицу. Каждому требованию сопоставьте измеримый критерий приемки и один риск; обозначьте границы сервиса.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Предметный расчет и инфраструктура сервиса. Границы ответственности компонентов.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Связность и зацепление модулей. Влияние на изменяемость и проверяемость системы.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Контракт API. Схемы запроса, результата, ошибки и совместимость версий.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Инверсия зависимостей. Замена хранилища без изменения предметного расчета.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Компонентная схема и контракт обмена. Различие структуры системы и формата взаимодействия.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Идентификатор расчетного запуска. Согласование структуры хранения и состояний выполнения.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Сквозной сценарий как проверка архитектурного решения. Прохождение данных и ошибок.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Спроектируйте минимальную модульную архитектуру синхронного сервиса решения линейных систем. Вход JSON с полями A, b; A — квадратная матрица конечных чисел порядка 2..100, b — вектор соответствующей длины. Должны различаться ошибка формата, вырожденность и недоступность хранилища. Успешный ответ разрешен только после сохранения входа, решения и статуса запуска с уникальным id. Реализация решателя должна заменяться без изменения внешнего API. Самостоятельно выделите компоненты и контракты, задайте схему хранения и атомарную границу; проследите один успешный сценарий и отказ сохранения. Полная HTTP-реализация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Воспроизводимое развертывание. Версии артефакта, зависимостей и конфигурации среды.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Конвейер CI. Связь сборки, проверок и допуска артефакта к запуску.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Секреты конфигурации. Передача во время запуска и исключение из контейнерного образа.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Миграция данных и выпуск версии. Порядок действий и совместимость компонентов.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Проверка готовности сервиса и запуск процесса. Различие наблюдаемых состояний.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Отказ внешней зависимости. Диагностика и контролируемое поведение интегрированного сервиса.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Образ приложения и конфигурация среды. Параметры переносимого развертывания.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Выпускается v2 API измерительного сервиса. v1 принимает и возвращает pressure_Pa, а таблица reading(id, value) хранит значение в Па; имеется(1,100000). Бизнес-требование v2 — поле pressure_kPa на внешнем API. Предложение разработчика: переименовать поле v1 и сразу хранить в том же столбце kPa. Во время выпуска работают старые клиенты, необходим быстрый откат v1 без потери новых записей. Разработайте совместимый план выпуска, контракты хранения/конвертации и автоматические проверки, блокирующие небезопасное обновление. Используйте контрольный запрос v2 с 101.3 kPa; контейнер и сервер создавать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Журналирование и трассировка. Связь запроса с версией компонента и результатом.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Эксплуатационные метрики. Локализация источника задержки и отказа сервиса.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Возврат к предыдущему выпуску. Необходимые артефакты и совместимость данных.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Совместимое изменение API. Сохранение контрактов существующих клиентов.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Мониторинг деградации после выпуска. Связь изменения метрик с версией компонента.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Откат приложения и схема данных. Проверка совместимости после миграции.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Повторная приемка исправления инцидента. Воспроизведение исходного отказа и контроль соседних сценариев.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6953FA" w:rsidTr="00860C3E">
        <w:trPr>
          <w:jc w:val="center"/>
          <w:cantSplit/>
        </w:trPr>
        <w:tc>
          <w:tcPr>
            <w:tcW w:w="567" w:type="dxa"/>
          </w:tcPr>
          <w:p w:rsidR="006953FA" w:rsidRPr="009612B5" w:rsidRDefault="006953FA" w:rsidP="006953FA">
            <w:pPr>
              <w:pStyle w:val="a5"/>
              <w:tabs>
                <w:tab w:val="left" w:pos="0"/>
              </w:tabs>
              <w:suppressAutoHyphens/>
              <w:autoSpaceDN/>
              <w:ind w:right="284"/>
              <w:rPr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26"/>
              </w:numPr>
            </w:pPr>
          </w:p>
        </w:tc>
        <w:tc>
          <w:tcPr>
            <w:tcW w:w="5971" w:type="dxa"/>
          </w:tcPr>
          <w:p w:rsidR="006953FA" w:rsidRPr="007F5F30" w:rsidRDefault="006953FA" w:rsidP="006953FA">
            <w:pPr>
              <w:tabs>
                <w:tab w:val="left" w:pos="1026"/>
              </w:tabs>
              <w:spacing w:before="98"/>
              <w:ind w:firstLine="0"/>
              <w:rPr>
                <w:b/>
                <w:sz w:val="24"/>
                <w:highlight w:val="yellow"/>
              </w:rPr>
            </w:pPr>
            <w:r>
              <w:t xml:space="preserve">Контракт v1 сервиса допускает квадратные матрицы порядка 2..100. После v2 журнал содержит r1: shape[2,2], status=400, bad_shape; контрольный запрос 3×3 проходит. В БД сохранен завершенный r0 схемы v1. Миграция v2 добавила solver_version NOT NULL без DEFAULT и заполнила старые строки значением v1; приложение v1 при INSERT перечисляет только id, input, result, status. Код валидатора v2 не предоставлен. Выберите безопасный способ восстановления сервиса, необходимые проверки и свидетельства для локализации 400. Обоснуйте сохранность r0, работу новых записей после отката и границы установленных причин; полный ремонт сервера не требуется.</w:t>
            </w:r>
          </w:p>
        </w:tc>
        <w:tc>
          <w:tcPr>
            <w:tcW w:w="2925" w:type="dxa"/>
            <w:vAlign w:val="center"/>
            <w:vMerge w:val="continue"/>
          </w:tcPr>
          <w:p w:rsidR="006953FA" w:rsidRPr="0072798B" w:rsidRDefault="006953FA" w:rsidP="006953FA">
            <w:pPr>
              <w:ind w:firstLine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:rsidR="00395A32" w:rsidRPr="00D872A3" w:rsidRDefault="00395A32" w:rsidP="00395A32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24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395A32" w:rsidRPr="00D872A3" w:rsidRDefault="00395A32" w:rsidP="00395A32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395A32" w:rsidRPr="00D872A3" w:rsidTr="00860C3E">
        <w:trPr>
          <w:tblHeader/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395A32" w:rsidRPr="00D872A3" w:rsidTr="00860C3E">
        <w:trPr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395A32" w:rsidRPr="00D872A3" w:rsidTr="00860C3E">
        <w:trPr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395A32" w:rsidRPr="00D872A3" w:rsidTr="00860C3E">
        <w:trPr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395A32" w:rsidRPr="00D872A3" w:rsidTr="00860C3E">
        <w:trPr>
          <w:cantSplit/>
        </w:trPr>
        <w:tc>
          <w:tcPr>
            <w:tcW w:w="2668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395A32" w:rsidRPr="00D872A3" w:rsidRDefault="00395A32" w:rsidP="00860C3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B05906" w:rsidRPr="00B05906" w:rsidRDefault="00B05906" w:rsidP="00B05906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B05906" w:rsidRPr="000C5A15" w:rsidRDefault="00B05906" w:rsidP="00B05906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B05906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B05906" w:rsidRPr="00DA739A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B05906" w:rsidRPr="001B137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r w:rsidRPr="001B1376">
        <w:rPr>
          <w:sz w:val="28"/>
          <w:szCs w:val="28"/>
          <w:lang w:eastAsia="ko-KR"/>
        </w:rPr>
        <w:t>Титульный лист</w:t>
      </w:r>
      <w:r>
        <w:rPr>
          <w:sz w:val="28"/>
          <w:szCs w:val="28"/>
          <w:lang w:eastAsia="ko-KR"/>
        </w:rPr>
        <w:t xml:space="preserve"> (Приложение 1)</w:t>
      </w:r>
      <w:r w:rsidRPr="001B1376">
        <w:rPr>
          <w:sz w:val="28"/>
          <w:szCs w:val="28"/>
          <w:lang w:eastAsia="ko-KR"/>
        </w:rPr>
        <w:t>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B05906" w:rsidRPr="00B05906" w:rsidRDefault="00B05906" w:rsidP="0072798B">
      <w:pPr>
        <w:pStyle w:val="a5"/>
        <w:widowControl/>
        <w:numPr>
          <w:ilvl w:val="0"/>
          <w:numId w:val="27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B05906" w:rsidRPr="002521E3" w:rsidRDefault="00B05906" w:rsidP="00B05906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B05906" w:rsidRPr="000C5A15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0C5A15">
        <w:rPr>
          <w:i/>
          <w:iCs/>
          <w:sz w:val="28"/>
          <w:szCs w:val="28"/>
          <w:lang w:eastAsia="ko-KR"/>
        </w:rPr>
        <w:t>Оформление текста отчета.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Шрифт: размер 14 пт; гарнитура Times New Roman.</w:t>
      </w:r>
    </w:p>
    <w:p w:rsidR="00B05906" w:rsidRPr="0029521A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листа и заголовков основных разделов). </w:t>
      </w:r>
    </w:p>
    <w:p w:rsidR="00B05906" w:rsidRPr="0072798B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</w:t>
      </w:r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r w:rsidRPr="0072798B">
        <w:rPr>
          <w:i/>
          <w:iCs/>
          <w:sz w:val="28"/>
          <w:szCs w:val="28"/>
          <w:lang w:eastAsia="ko-KR"/>
        </w:rPr>
        <w:t>таблиц.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B05906" w:rsidRPr="0072798B" w:rsidRDefault="00B05906" w:rsidP="0072798B">
      <w:pPr>
        <w:pStyle w:val="a5"/>
        <w:widowControl/>
        <w:numPr>
          <w:ilvl w:val="0"/>
          <w:numId w:val="28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r w:rsidRPr="0072798B">
        <w:rPr>
          <w:i/>
          <w:iCs/>
          <w:sz w:val="28"/>
          <w:szCs w:val="28"/>
          <w:lang w:eastAsia="ko-KR"/>
        </w:rPr>
        <w:t>Оформление рисунков.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B05906" w:rsidRPr="002521E3" w:rsidRDefault="00B05906" w:rsidP="0072798B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B05906" w:rsidRPr="001B1376" w:rsidRDefault="00B05906" w:rsidP="00B05906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B05906" w:rsidRPr="00B663C4" w:rsidRDefault="00B05906" w:rsidP="00B05906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B05906" w:rsidRPr="00B663C4" w:rsidTr="00CD09BE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B05906" w:rsidRPr="00B663C4" w:rsidTr="00CD09BE">
        <w:trPr>
          <w:trHeight w:val="270"/>
          <w:cantSplit/>
        </w:trPr>
        <w:tc>
          <w:tcPr>
            <w:tcW w:w="2678" w:type="dxa"/>
            <w:vAlign w:val="center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B05906" w:rsidRPr="00B05906" w:rsidRDefault="00B05906" w:rsidP="00B05906">
            <w:pPr>
              <w:pStyle w:val="a5"/>
              <w:numPr>
                <w:ilvl w:val="0"/>
                <w:numId w:val="29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B05906" w:rsidRPr="00B663C4" w:rsidTr="00CD09BE">
        <w:trPr>
          <w:trHeight w:val="1376"/>
          <w:cantSplit/>
        </w:trPr>
        <w:tc>
          <w:tcPr>
            <w:tcW w:w="2678" w:type="dxa"/>
          </w:tcPr>
          <w:p w:rsidR="00B05906" w:rsidRPr="00B663C4" w:rsidRDefault="00B05906" w:rsidP="00CD09BE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B05906" w:rsidRPr="00B05906" w:rsidRDefault="00B05906" w:rsidP="00B05906">
            <w:pPr>
              <w:pStyle w:val="a5"/>
              <w:widowControl/>
              <w:numPr>
                <w:ilvl w:val="0"/>
                <w:numId w:val="30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«Программная инженерия»</w:t>
      </w:r>
    </w:p>
    <w:p w:rsidR="00395A32" w:rsidRDefault="00395A32" w:rsidP="00395A32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(9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Разработка требований и критериев приемки сервиса математического расчета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1"/>
        <w:keepLines w:val="1"/>
      </w:pPr>
      <w:r>
        <w:rPr>
          <w:sz w:val="24"/>
          <w:szCs w:val="24"/>
          <w:lang w:val="ru-RU"/>
        </w:rPr>
        <w:t xml:space="preserve">Приемочный вход и ожидаемый результат каждого требования расчетного сервиса.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6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Противоречивое и непроверяемое требование. Выявление до начала реализации.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Построение плана выпуска расчетного сервиса с оценкой трудоемкости и реестром технических рисков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Зависимости работ в плане выпуска. Допустимый порядок и критические этапы.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7"/>
        </w:numPr>
        <w:keepNext w:val="0"/>
        <w:keepLines w:val="1"/>
      </w:pPr>
      <w:r>
        <w:rPr>
          <w:sz w:val="24"/>
          <w:szCs w:val="24"/>
          <w:lang w:val="ru-RU"/>
        </w:rPr>
        <w:t xml:space="preserve">Технические риски. Учет в трудоемкости и резерве плана.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Проектирование модульной архитектуры расчетного сервиса и контракта его API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1"/>
        <w:keepLines w:val="1"/>
      </w:pPr>
      <w:r>
        <w:rPr>
          <w:sz w:val="24"/>
          <w:szCs w:val="24"/>
          <w:lang w:val="ru-RU"/>
        </w:rPr>
        <w:t xml:space="preserve">Границы API, расчета и хранения в спроектированной модульной архитектуре.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8"/>
        </w:numPr>
        <w:keepNext w:val="0"/>
        <w:keepLines w:val="1"/>
      </w:pPr>
      <w:r>
        <w:rPr>
          <w:sz w:val="24"/>
          <w:szCs w:val="24"/>
          <w:lang w:val="ru-RU"/>
        </w:rPr>
        <w:t xml:space="preserve">Контракт обмена между модулями. Проверка реальной передачи данных и ошибок.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Проверка совместимости контрактов данных между расчетным модулем, хранилищем и HTTP-интерфейсом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1"/>
        <w:keepLines w:val="1"/>
      </w:pPr>
      <w:r>
        <w:rPr>
          <w:sz w:val="24"/>
          <w:szCs w:val="24"/>
          <w:lang w:val="ru-RU"/>
        </w:rPr>
        <w:t xml:space="preserve">Версия JSON-контракта. Согласование с таблицей запусков и HTTP-ответом.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49"/>
        </w:numPr>
        <w:keepNext w:val="0"/>
        <w:keepLines w:val="1"/>
      </w:pPr>
      <w:r>
        <w:rPr>
          <w:sz w:val="24"/>
          <w:szCs w:val="24"/>
          <w:lang w:val="ru-RU"/>
        </w:rPr>
        <w:t xml:space="preserve">Несовместимый формат входа. Контролируемый отказ без потери сохраненных данных.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Настройка автоматической сборки и контейнерного развертывания расчетного сервиса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1"/>
        <w:keepLines w:val="1"/>
      </w:pPr>
      <w:r>
        <w:rPr>
          <w:sz w:val="24"/>
          <w:szCs w:val="24"/>
          <w:lang w:val="ru-RU"/>
        </w:rPr>
        <w:t xml:space="preserve">Этапы CI до развертывания. Условия допуска версии к запуску.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0"/>
        </w:numPr>
        <w:keepNext w:val="0"/>
        <w:keepLines w:val="1"/>
      </w:pPr>
      <w:r>
        <w:rPr>
          <w:sz w:val="24"/>
          <w:szCs w:val="24"/>
          <w:lang w:val="ru-RU"/>
        </w:rPr>
        <w:t xml:space="preserve">Чистый запуск и контрольный запрос. Подтверждение готовности версии сервиса.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Интеграция расчетного сервиса с базой данных и проверка обработки отказа внешней зависимости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Поведение сервиса при недоступности базы данных. Ошибка и сохранение согласованного состояния.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1"/>
        </w:numPr>
        <w:keepNext w:val="0"/>
        <w:keepLines w:val="1"/>
      </w:pPr>
      <w:r>
        <w:rPr>
          <w:sz w:val="24"/>
          <w:szCs w:val="24"/>
          <w:lang w:val="ru-RU"/>
        </w:rPr>
        <w:t xml:space="preserve">Восстановление внешней зависимости. Интеграционный сценарий повторного успешного обращения.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Организация журналирования, мониторинга и отката версии вычислительного сервиса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1"/>
        <w:keepLines w:val="1"/>
      </w:pPr>
      <w:r>
        <w:rPr>
          <w:sz w:val="24"/>
          <w:szCs w:val="24"/>
          <w:lang w:val="ru-RU"/>
        </w:rPr>
        <w:t xml:space="preserve">Связь запроса, версии и результата в журнале расчетного сервиса.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2"/>
        </w:numPr>
        <w:keepNext w:val="0"/>
        <w:keepLines w:val="1"/>
      </w:pPr>
      <w:r>
        <w:rPr>
          <w:sz w:val="24"/>
          <w:szCs w:val="24"/>
          <w:lang w:val="ru-RU"/>
        </w:rPr>
        <w:t xml:space="preserve">Сценарий отката. Сохранность записей и работоспособность предыдущей версии.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Локализация деградации расчетного сервиса по метрикам и журналам с проверкой исправления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1"/>
        <w:keepLines w:val="1"/>
      </w:pPr>
      <w:r>
        <w:rPr>
          <w:sz w:val="24"/>
          <w:szCs w:val="24"/>
          <w:lang w:val="ru-RU"/>
        </w:rPr>
        <w:t xml:space="preserve">Метрики и журналы внесенной деградации. Локализация неисправного компонента.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53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Повторная приемка после исправления. Подтверждение устранения причины инцидента.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Программная инженерия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A2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37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1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3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1" w15:restartNumberingAfterBreak="0">
    <w:nsid w:val="16FC6CC9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C054F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D173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4289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8" w15:restartNumberingAfterBreak="0">
    <w:nsid w:val="27F77A78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7C0471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4F3E24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E1BC5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7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FA01CB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E5622D3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7EEB470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4"/>
  </w:num>
  <w:num w:numId="3">
    <w:abstractNumId w:val="10"/>
  </w:num>
  <w:num w:numId="4">
    <w:abstractNumId w:val="5"/>
  </w:num>
  <w:num w:numId="5">
    <w:abstractNumId w:val="7"/>
  </w:num>
  <w:num w:numId="6">
    <w:abstractNumId w:val="16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6"/>
  </w:num>
  <w:num w:numId="9">
    <w:abstractNumId w:val="11"/>
  </w:num>
  <w:num w:numId="10">
    <w:abstractNumId w:val="9"/>
  </w:num>
  <w:num w:numId="11">
    <w:abstractNumId w:val="18"/>
  </w:num>
  <w:num w:numId="12">
    <w:abstractNumId w:val="12"/>
  </w:num>
  <w:num w:numId="13">
    <w:abstractNumId w:val="13"/>
  </w:num>
  <w:num w:numId="14">
    <w:abstractNumId w:val="1"/>
  </w:num>
  <w:num w:numId="15">
    <w:abstractNumId w:val="20"/>
  </w:num>
  <w:num w:numId="16">
    <w:abstractNumId w:val="2"/>
  </w:num>
  <w:num w:numId="17">
    <w:abstractNumId w:val="15"/>
  </w:num>
  <w:num w:numId="18">
    <w:abstractNumId w:val="4"/>
  </w:num>
  <w:num w:numId="19">
    <w:abstractNumId w:val="21"/>
  </w:num>
  <w:num w:numId="20">
    <w:abstractNumId w:val="8"/>
  </w:num>
  <w:num w:numId="21">
    <w:abstractNumId w:val="3"/>
  </w:num>
  <w:num w:numId="22">
    <w:abstractNumId w:val="22"/>
  </w:num>
  <w:num w:numId="23">
    <w:abstractNumId w:val="19"/>
  </w:num>
  <w:num w:numId="24">
    <w:abstractNumId w:val="17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4"/>
    <w:lvlOverride w:ilvl="0">
      <w:startOverride w:val="1"/>
    </w:lvlOverride>
  </w:num>
  <w:num w:numId="28">
    <w:abstractNumId w:val="21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16"/>
    <w:lvlOverride w:ilvl="0">
      <w:startOverride w:val="1"/>
    </w:lvlOverride>
  </w:num>
  <w:num w:numId="31" w16cid:durableId="655188443">
    <w:abstractNumId w:val="33"/>
  </w:num>
  <w:num w:numId="32" w16cid:durableId="707146475">
    <w:abstractNumId w:val="24"/>
  </w:num>
  <w:num w:numId="33" w16cid:durableId="1233153632">
    <w:abstractNumId w:val="32"/>
  </w:num>
  <w:num w:numId="34" w16cid:durableId="369064973">
    <w:abstractNumId w:val="23"/>
  </w:num>
  <w:num w:numId="35" w16cid:durableId="1170289772">
    <w:abstractNumId w:val="27"/>
  </w:num>
  <w:num w:numId="36" w16cid:durableId="1076170425">
    <w:abstractNumId w:val="30"/>
  </w:num>
  <w:num w:numId="37" w16cid:durableId="1521315988">
    <w:abstractNumId w:val="28"/>
  </w:num>
  <w:num w:numId="38" w16cid:durableId="534197492">
    <w:abstractNumId w:val="26"/>
  </w:num>
  <w:num w:numId="39" w16cid:durableId="1194687589">
    <w:abstractNumId w:val="34"/>
  </w:num>
  <w:num w:numId="40" w16cid:durableId="79106060">
    <w:abstractNumId w:val="37"/>
  </w:num>
  <w:num w:numId="41" w16cid:durableId="1765029226">
    <w:abstractNumId w:val="25"/>
  </w:num>
  <w:num w:numId="42" w16cid:durableId="411701885">
    <w:abstractNumId w:val="35"/>
  </w:num>
  <w:num w:numId="43" w16cid:durableId="5905042">
    <w:abstractNumId w:val="29"/>
  </w:num>
  <w:num w:numId="44" w16cid:durableId="2138329609">
    <w:abstractNumId w:val="36"/>
  </w:num>
  <w:num w:numId="45" w16cid:durableId="1494879221">
    <w:abstractNumId w:val="31"/>
  </w:num>
  <w:num w:numId="46" w16cid:durableId="1076170425">
    <w:abstractNumId w:val="30"/>
    <w:lvlOverride w:ilvl="0">
      <w:startOverride w:val="1"/>
    </w:lvlOverride>
  </w:num>
  <w:num w:numId="47" w16cid:durableId="1076170425">
    <w:abstractNumId w:val="30"/>
    <w:lvlOverride w:ilvl="0">
      <w:startOverride w:val="1"/>
    </w:lvlOverride>
  </w:num>
  <w:num w:numId="48" w16cid:durableId="1076170425">
    <w:abstractNumId w:val="30"/>
    <w:lvlOverride w:ilvl="0">
      <w:startOverride w:val="1"/>
    </w:lvlOverride>
  </w:num>
  <w:num w:numId="49" w16cid:durableId="1076170425">
    <w:abstractNumId w:val="30"/>
    <w:lvlOverride w:ilvl="0">
      <w:startOverride w:val="1"/>
    </w:lvlOverride>
  </w:num>
  <w:num w:numId="50" w16cid:durableId="1076170425">
    <w:abstractNumId w:val="30"/>
    <w:lvlOverride w:ilvl="0">
      <w:startOverride w:val="1"/>
    </w:lvlOverride>
  </w:num>
  <w:num w:numId="51" w16cid:durableId="1076170425">
    <w:abstractNumId w:val="30"/>
    <w:lvlOverride w:ilvl="0">
      <w:startOverride w:val="1"/>
    </w:lvlOverride>
  </w:num>
  <w:num w:numId="52" w16cid:durableId="1076170425">
    <w:abstractNumId w:val="30"/>
    <w:lvlOverride w:ilvl="0">
      <w:startOverride w:val="1"/>
    </w:lvlOverride>
  </w:num>
  <w:num w:numId="53" w16cid:durableId="1076170425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35C5"/>
    <w:rsid w:val="00212F2C"/>
    <w:rsid w:val="002343FC"/>
    <w:rsid w:val="003527D0"/>
    <w:rsid w:val="00395A32"/>
    <w:rsid w:val="00426B34"/>
    <w:rsid w:val="004A1ACD"/>
    <w:rsid w:val="004B2177"/>
    <w:rsid w:val="004B2778"/>
    <w:rsid w:val="005117CA"/>
    <w:rsid w:val="005F1E0D"/>
    <w:rsid w:val="006953FA"/>
    <w:rsid w:val="006E2DCC"/>
    <w:rsid w:val="0072798B"/>
    <w:rsid w:val="00772F06"/>
    <w:rsid w:val="007926CF"/>
    <w:rsid w:val="007F5F30"/>
    <w:rsid w:val="00830BCE"/>
    <w:rsid w:val="008A7D11"/>
    <w:rsid w:val="008C1186"/>
    <w:rsid w:val="008E3667"/>
    <w:rsid w:val="009612B5"/>
    <w:rsid w:val="00973F9B"/>
    <w:rsid w:val="00997FB1"/>
    <w:rsid w:val="009B673E"/>
    <w:rsid w:val="00A23A0B"/>
    <w:rsid w:val="00B05906"/>
    <w:rsid w:val="00BE02E6"/>
    <w:rsid w:val="00C26BDC"/>
    <w:rsid w:val="00D475A7"/>
    <w:rsid w:val="00D6785F"/>
    <w:rsid w:val="00D90045"/>
    <w:rsid w:val="00E36657"/>
    <w:rsid w:val="00F51FE0"/>
    <w:rsid w:val="00F746AC"/>
    <w:rsid w:val="00F87437"/>
    <w:rsid w:val="00FA762C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7B2360A-AA09-4B4A-BF8B-EADA464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9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23</cp:revision>
  <dcterms:created xsi:type="dcterms:W3CDTF">2025-11-25T15:40:00Z</dcterms:created>
  <dcterms:modified xsi:type="dcterms:W3CDTF">2025-12-04T15:38:00Z</dcterms:modified>
</cp:coreProperties>
</file>