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Математическая криптография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ФТД.01 «Математическая криптография»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математических основ криптографии и исследования вычислительных задач, связанных с защитой данных и оценкой алгоритмов;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об алгебраических и теоретико-числовых основаниях криптографических конструкций;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модульных вычислений, построения учебных криптосистем и анализа вычислительной сложности;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различать математические допущения безопасности и результаты экспериментального анализа криптографических данных.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ФТД.01 «Математическая криптография» относится к факультативной части.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Алгебра и теория чисел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Дискретная математика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Алгоритмы и структуры данных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Машинное обучение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ПК-2. Разработка новых архитектур нейронных сетей, методов оптимизации, алгоритмов обучения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ПК-2.1. Собирает, накапливает и анализирует информацию с использованием современных методов сбора и обработки данных.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сбора, хранения и анализа данных для модели; криптографическую арифметику и анализ учебных шифров.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подготавливать набор данных и проверять его качество в задачах дисциплины; исследование небольшой нейросетевой модели на учебных криптографических данных и подготовка отчета.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сбора и обработки данных для обучаемой модели при изучении: криптографическую арифметику и анализ учебных шифров.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highlight w:val="yellow"/>
              </w:rPr>
              <w:t>ПК-2.2. Применяет знания в области фундаментальной математики и программирования для разработки новых методов оптимизации и алгоритмов обучения нейронных сетей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highlight w:val="yellow"/>
              </w:rPr>
              <w:t>математические основы оптимизации и алгоритмов обучения; криптографическую арифметику и анализ учебных шифров.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highlight w:val="yellow"/>
              </w:rPr>
              <w:t>изменять алгоритм обучения и сравнивать качество оптимизации в задачах дисциплины; исследование небольшой нейросетевой модели на учебных криптографических данных и подготовка отчета.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highlight w:val="yellow"/>
              </w:rPr>
              <w:t>навыками реализации и экспериментальной проверки алгоритма обучения при изучении: криптографическую арифметику и анализ учебных шифров.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highlight w:val="yellow"/>
              </w:rPr>
              <w:t>ПК-2.3. Разрабатывает и изменяет архитектуру нейронных сетей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highlight w:val="yellow"/>
              </w:rPr>
              <w:t>принципы построения и изменения нейросетевой архитектуры; криптографическую арифметику и анализ учебных шифров.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highlight w:val="yellow"/>
              </w:rPr>
              <w:t>разрабатывать и изменять учебную архитектуру нейросети в задачах дисциплины; исследование небольшой нейросетевой модели на учебных криптографических данных и подготовка отчета.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highlight w:val="yellow"/>
              </w:rPr>
              <w:t>навыками сравнения архитектур при одинаковом протоколе проверки при изучении: криптографическую арифметику и анализ учебных шифров.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9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18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18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9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Арифметика криптографических задач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Выбор группы и параметров для учебной криптографической конструкции с использованием арифметики конечных полей и колец вычетов. Проверка корректности порядка элемента и структуры подгруппы. Постановки факторизации и дискретного логарифмирования и оценка ресурса противника. Вероятностный тест простоты как элемент генерации параметров. Неподходящие размеры, малые подгруппы и повторное использование параметров как источники слабости конструкции.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Криптографические конструкции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Симметричное и асимметричное шифрование, хеширование и подпись. RSA и обмен ключами как математические модели. Допущения безопасности и учебные размеры параметров. Математическая схема RSA, группа для обмена Диффи - Хеллмана и схемы электронной подписи. Коллизии хеш-функции, обратимость преобразования и различие стойкости конструкции и размера ключа.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Оценка и анализ данных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Модели атак, распределения данных и признаки. Статистический анализ учебных шифротекстов и экспериментальная оценка алгоритмов. Разделение тренировочных и тестовых данных. Частотные характеристики, критерии равномерности и статистические зависимости криптографических данных. Модель наблюдений, доступный противнику ресурс и разграничение учебной атаки и оценки промышленной системы.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Дифференцируемые модели в криптографическом исследовании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Использование готового полносвязного классификатора в учебном анализе криптографических наблюдений. Выбор признаков, выходного слоя и функции потерь по заданной модели наблюдений. Сопоставление с частотным и математическим эталонами. Разделение данных по независимым ключам, проверка утечки и контроля переобучения. Оценка качества на новых ключах и ограничение вывода о стойкости шифра по результату классификации.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p w14:paraId="720F8BD5" w14:textId="77777777" w:rsidR="00433A6F" w:rsidRPr="00CF4196" w:rsidRDefault="00433A6F" w:rsidP="00433A6F">
      <w:pPr>
        <w:widowControl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Лабораторный практикум не предусмотрен.</w:t>
      </w:r>
    </w:p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практических занятий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Содержание практического занятия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9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Арифметика криптографических задач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Реализация модульной арифметики и сравнение вычислительной сложности алгоритмов.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Криптографические конструкции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Исследование учебной схемы RSA и алгоритма обмена ключами с анализом ограничений.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Оценка и анализ данных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Подготовка набора данных для анализа учебного шифра и сравнение базовых методов классификации.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Дифференцируемые модели в криптографическом исследовании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Исследование небольшой нейросетевой модели на учебных криптографических данных и подготовка отчета.</w:t>
            </w:r>
          </w:p>
        </w:tc>
      </w:tr>
    </w:tbl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36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9 семестр – 36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практическим занятиям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Решение задач на практических занятиях;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Контрольная работа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Глухов М. М., Круглов И. А., Пичкур А. Б. Введение в теоретико-числовые методы криптографии. Санкт-Петербург: Лань, 2011. 400 с. — Текст: электронный. ЭБС «Лань». URL: https://e.lanbook.com/book/68466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Василенко О. Н. Теоретико-числовые алгоритмы в криптографии. Москва: МЦНМО, 2006. 336 с. — Текст: электронный. ЭБС «Лань». URL: https://e.lanbook.com/book/9303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6.1. Требования к аудиториям (помещениям, местам) для проведения занятий: учебная аудитория для проведения занятий лекционного типа, групповых и индивидуальных консультаций, текущего контроля и промежуточной аттестации; аудитория для проведения практических занятий, самостоятельной работы с доступом в сеть Интернет.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арифметика криптографических задач, криптографические конструкции, оценка и анализ данных, дифференцируемые модели в криптографическом исследовании.</w:t>
            </w:r>
          </w:p>
        </w:tc>
      </w:tr>
      <w:tr w:rsidR="00427AF8" w:rsidRPr="00427AF8" w14:paraId="7B57534C" w14:textId="77777777">
        <w:tc>
          <w:tcPr>
            <w:tcW w:w="2518" w:type="dxa"/>
          </w:tcPr>
          <w:p w14:paraId="6F81DBC0" w14:textId="77777777" w:rsidR="00EB5DA2" w:rsidRPr="00427AF8" w:rsidRDefault="00EB5DA2" w:rsidP="002647EF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Практические занятия</w:t>
            </w:r>
            <w:r w:rsidR="003E5892">
              <w:rPr>
                <w:rFonts w:ascii="Times New Roman" w:hAnsi="Times New Roman" w:cs="Times New Roman"/>
                <w:color w:val="auto"/>
                <w:sz w:val="24"/>
              </w:rPr>
              <w:t xml:space="preserve"> (семинар)</w:t>
            </w:r>
          </w:p>
        </w:tc>
        <w:tc>
          <w:tcPr>
            <w:tcW w:w="7088" w:type="dxa"/>
          </w:tcPr>
          <w:p w14:paraId="63D84837" w14:textId="77777777" w:rsidR="00EB5DA2" w:rsidRPr="00427AF8" w:rsidRDefault="003E5892" w:rsidP="002647EF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3E5892">
              <w:rPr>
                <w:rFonts w:ascii="Times New Roman" w:hAnsi="Times New Roman" w:cs="Times New Roman"/>
                <w:color w:val="auto"/>
                <w:sz w:val="24"/>
              </w:rPr>
              <w:t>Подготовка к каждому практическому занятию должна начаться с ознакомления с планом семинарского занятия, который отражает содержание предложенной темы. Тщательное продумывание и изучение вопросов плана основывается на проработке текущего материала лекции, а затем изучения обязательной и дополнительной литературы, ресурсов Интернета, рекомендованных к данной теме. На основе индивидуальных предпочтений студент может самостоятельно выбрать тему доклада по проблеме семинара и подготовить по нему электронную презентацию. Если предусмотрено выполнение практического задания, то его необходимо выполнить с учетом предложенных рекомендаций преподавателя (устных или письменных). При подготовке к семинарским занятиям необходимо обратить особое внимание на самостоятельное изучение рекомендованной учебно</w:t>
            </w:r>
            <w:r w:rsidR="002F3C1A">
              <w:rPr>
                <w:rFonts w:ascii="Times New Roman" w:hAnsi="Times New Roman" w:cs="Times New Roman"/>
                <w:color w:val="auto"/>
                <w:sz w:val="24"/>
              </w:rPr>
              <w:t>-</w:t>
            </w:r>
            <w:r w:rsidRPr="003E5892">
              <w:rPr>
                <w:rFonts w:ascii="Times New Roman" w:hAnsi="Times New Roman" w:cs="Times New Roman"/>
                <w:color w:val="auto"/>
                <w:sz w:val="24"/>
              </w:rPr>
              <w:t>методической, научной литературы и электронных ресурсов. Конспектирование источников. Работа с конспектом лекций, подготовка ответов к контрольным вопросам, просмотр рекомендуемой литературы, электронных презентаций лекций и др.</w:t>
            </w:r>
          </w:p>
        </w:tc>
      </w:tr>
      <w:tr w:rsidR="00A358E6" w:rsidRPr="00427AF8" w14:paraId="0C5D0E5F" w14:textId="77777777" w:rsidTr="00FE2BFB">
        <w:tc>
          <w:tcPr>
            <w:tcW w:w="2518" w:type="dxa"/>
            <w:shd w:val="clear" w:color="auto" w:fill="auto"/>
          </w:tcPr>
          <w:p w14:paraId="07E98206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Контрольная работа/индивидуальные задания</w:t>
            </w:r>
          </w:p>
        </w:tc>
        <w:tc>
          <w:tcPr>
            <w:tcW w:w="7088" w:type="dxa"/>
            <w:shd w:val="clear" w:color="auto" w:fill="auto"/>
          </w:tcPr>
          <w:p w14:paraId="242DCEA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Знакомство с основной и дополнительной литературой, включая справочные издания, зарубежные источники, конспект основных положений, терминов, сведений, требующихся для запоминания и являющихся основополагающими в этой теме. Составление аннотаций к прочитанным литературным источникам и др.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SymPy, SageMath, PyTorch, scikit-learn.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