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Интеллектуальный анализ данных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Б1.В.01.04 «Интеллектуальный анализ данных»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исследовательского анализа данных, поиска закономерностей и организации воспроизводимого аналитического исследования;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выявлении закономерностей, кластерной структуре и аномалиях в многомерных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ассоциативного анализа, кластеризации, снижения размерности и анализа графовых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оценивать устойчивость найденных закономерностей и различать содержательную связь и случайное совпадение.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Б1.В.01.04 «Интеллектуальный анализ данных»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Базы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ПК-1, ПК-3.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ПК-1. Способен к проведению научно-исследовательских разработок на основе применения фундаментальных знаний по математике и методов математического моделирования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ПК-1.1. Самостоятельно адаптирует фундаментальные знания в области математики при разработке тематических планов и методических программ проведения исследований и разработок в реальном секторе экономики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подходы к адаптации математических методов в исследовании;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тематический план и выбирать методы исследования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адаптации математического аппарата к исследовательской задаче при изучении: извлечение закономерностей и проверку аналитических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ПК-1.2. Способен проводить анализ и теоретически обобщать научные данные, результаты экспериментов и наблюдений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анализа данных и обобщения результатов эксперимента;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экспериментальные данные и теоретические выводы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анализа наблюдений и обоснования исследовательских выводов при изучении: извлечение закономерностей и проверку аналитических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ПК-1.3. Управляет результатами исследования, готовит научные отчеты и документы по результатам исследований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требования к структуре отчета и управлению результатами;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оформлять результаты, исходные данные и ограничения выводов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подготовки научного отчета и систематизации результатов при изучении: извлечение закономерностей и проверку аналитических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ПК-3. Способен к организации научно-исследовательских разработок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ПК-3.1. Составляет план исследования, формирует отдельные исследовательские задачи, аккумулирует, оценивает и интерпретирует результаты исследования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выделения исследовательских задач и интерпретации;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план, выделять задачи и оценивать результаты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планирования исследования и интерпретации результатов при изучении: извлечение закономерностей и проверку аналитических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ПК-3.2. Разрабатывает проекты перспективных планов работ по конкретной теме исследования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 перспективного плана и взаимосвязь этапов исследования;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проектировать этапы работ, сроки, ресурсы и ожидаемые результаты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разработки перспективного плана исследовательской работы при изучении: извлечение закономерностей и проверку аналитических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ПК-3.3. Осуществляет контроль выполнения предусмотренных планом заданий, качества проведенных работ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качества и методы контроля исследовательских работ; извлечение закономерностей и проверку аналитических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фактические результаты с планом и критериями качества в задачах дисциплины; исследование сложного набора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контроля выполнения заданий и анализа качества работы при изучении: извлечение закономерностей и проверку аналитических гипотез.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9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Исследование структуры многомерных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Единица наблюдения, схема происхождения данных и согласование источников. Профили качества, дубликаты, систематические пропуски и зависимость пропусков от групп наблюдений. Устойчивость найденных закономерностей к очистке и изменению состава признаков. Меры сходства смешанных данных, влияние масштаба и выбор подпространства. Проверка предметного смысла обнаруженной структуры.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Поиск закономерностей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Ассоциативные правила, поддержка, достоверность и lift. Алгоритмы Apriori и FP-growth. Множественность проверок и содержательная интерпретация правил. Частые наборы, антимонотонность поддержки и эффективное сокращение поиска. Избыточность правил, направленность импликации, статистическая значимость и проверка правил на независимых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Устойчивость кластеров и обнаружение аномалий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Повторные выборки и согласование кластерных разбиений, индекс Рэнда и устойчивость центров. Плотностные кластеры различной формы, чувствительность к радиусу окрестности и порогу плотности. Ограничения единого масштаба плотности: слияние плотных групп и потеря разреженных групп при изменении параметров DBSCAN. Спектральная кластеризация графа сходства. Локальные выбросы, методы LOF и изолирующего леса, порог аномальности. Сопоставление вложений PCA и нелинейных методов по сохранению соседств.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Графовый анализ и рекомендательные модели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графа взаимодействий, направленность и веса ребер. Центральности, сообщества и их устойчивость к изменению наблюдений. Матрица пользовательских взаимодействий, неявная обратная связь и матричная факторизация. Ранжирование рекомендаций, отрицательные примеры, метрики Recall@k и NDCG@k. Холодный старт и оценка по временным срезам без включения будущих взаимодействий.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78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78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Оськин Д. А., Левченко Н. Г., Седова Н. А. Интеллектуальный анализ данных. Санкт-Петербург: Лань, 2026. 228 с. — Текст: электронный. ЭБС «Лань». URL: https://e.lanbook.com/book/522509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Митяков Е. С., Шмелева А. Г., Ладынин А. И. Искусственный интеллект и машинное обучение. Санкт-Петербург: Лань, 2026. 252 с. — Текст: электронный. ЭБС «Лань». URL: https://e.lanbook.com/book/507451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исследование структуры многомерных данных, поиск закономерностей, устойчивость кластеров и обнаружение аномалий, графовый анализ и рекомендательные модели.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