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Функциональный анализ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Б1.О.04.11 «Функциональный анализ»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функциональных пространствах и линейных операторах для исследования математических задач;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систематических знаний о метрических, нормированных и гильбертовых пространствах;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исследования непрерывности, компактности и спектральных свойств линейных операторов;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обосновывать разрешимость операторных уравнений и строить проекционные приближения их решений.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Б1.О.04.11 «Функциональный анализ» относится к обязательной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Математический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Действительный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Алгебра и теория чисел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Вариационное исчисление и оптимальное управление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физика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Динамические системы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ОПК-1.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ОПК-1. Способен находить, формулировать и решать актуальные и значимые проблемы фундаментальной математики и механики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ОПК-1.1. Обладает обширным диапазоном знаний, полученным в области фундаментальной математики и ее актуальных проблем.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определения, основные теоремы и условия их применимости; нормированные пространства и линейные операторы.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объяснять утверждения и приводить примеры и контрпримеры в задачах дисциплины; решение интегрального уравнения проекционным методом и анализ устойчивости результата.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доказательства и проверки математических утверждений при изучении: нормированные пространства и линейные операторы.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ОПК-1.2. Осуществляет выбор методов решения задач фундаментальной математики.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решения и границы применимости математических методов; нормированные пространства и линейные операторы.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сравнивать и обоснованно выбирать методы решения в задачах дисциплины; решение интегрального уравнения проекционным методом и анализ устойчивости результата.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выбора метода и проверки полученного решения при изучении: нормированные пространства и линейные операторы.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ОПК-1.3. Формализует актуальные задачи фундаментальной математики, подбирает и применяет подходящие методы их решения.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приемы формализации и постановки математической задачи; нормированные пространства и линейные операторы.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формализовать условия и строить последовательность решения в задачах дисциплины; решение интегрального уравнения проекционным методом и анализ устойчивости результата.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постановки задачи и аргументированного решения при изучении: нормированные пространства и линейные операторы.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1701"/>
        <w:gridCol w:w="1701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gridSpan w:val="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7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8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64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50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18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92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1701"/>
          </w:tcPr>
          <w:p/>
        </w:tc>
        <w:tc>
          <w:tcPr>
            <w:tcW w:type="dxa" w:w="1701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144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6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Метрические пространства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Метрические пространства функций, открытые и замкнутые множества, полнота и пополнение. Компактность, последовательная компактность и вполне ограниченные множества. Непрерывность отображений между метрическими пространствами. Принцип сжимающих отображений в полном пространстве и оценка расстояния до неподвижной точки. Построение решения функционального уравнения как неподвижной точки и проверка сохранения выбранного множества оператором.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Нормированные пространства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Нормированные и банаховы пространства. Пространства непрерывных функций и изученные пространства интегрируемых функций как примеры нормированной структуры. Подпространства, факторпространства и пополнение. Эквивалентность норм в конечномерном случае и неэквивалентность в бесконечномерном. Непрерывные линейные функционалы, замкнутость подпространства и полнота относительно выбранной нормы.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Гильбертовы пространства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Полные пространства со скалярным произведением и примеры пространств функций. Теорема о проекции на замкнутое подпространство, ортогональное дополнение и существование наилучшего приближения. Представление непрерывного линейного функционала по теореме Рисса. Неравенство Бесселя, полнота ортонормированной системы и равенство Парсеваля. Сходимость бесконечных ортогональных разложений в норме гильбертова пространства. Наилучшее приближение наблюдаемой функции в заданном пространстве пробных функций и ортогональность остатка. Функции-признаки в пространстве L2, интегральное скалярное произведение и матрица Грама системы функций. Положительная полуопределенность, линейная зависимость в L2 и вырожденность матрицы Грама.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операторы и функционалы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Ограниченные линейные операторы и непрерывные функционалы в банаховых пространствах. Сопряженное пространство и двойственность, слабая топология. Теоремы Хана - Банаха, Банаха - Штейнгауза, об открытом отображении и о замкнутом графике. Ограниченность обратного оператора, условия топологической обратимости и отличие от алгебраической обратимости.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Спектральная теория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Спектр и резольвента. Компактные и самосопряженные операторы. Спектральные свойства и разложения по собственным функциям. Точечный, непрерывный и остаточный спектр, спектральный радиус и резольвентное тождество. Спектральные свойства компактных операторов. Ортогональность собственных векторов самосопряженного оператора для различных собственных значений; спектральная теорема для компактного самосопряженного оператора. Ограниченный оператор умножения в L2 как пример точечного и непрерывного спектра.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Операторные уравнения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Операторная постановка интегрального уравнения и альтернатива Фредгольма. Компактные возмущения единичного оператора, ядро и образ. Слабая сходимость и конечномерные проекции. Условия устойчивости проекционного приближения и корректность операторной задачи. Регуляризация некорректного уравнения, влияние параметра регуляризации на устойчивость и точность приближенного решения. Обратная задача восстановления распределенного источника по интегральным наблюдениям; различие единственности решения и устойчивости к шуму.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208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 семестр – 92 часов.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116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 и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Колмогоров А. Н., Фомин С. В. Элементы теории функций и функционального анализа. Москва: ФИЗМАТЛИТ, 2009. 572 с. — Текст: электронный. ЭБС «Лань». URL: https://e.lanbook.com/book/2206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Лебедев В. И. Функциональный анализ и вычислительная математика. Москва: ФИЗМАТЛИТ, 2005. — Текст: электронный. ЭБС «Лань». URL: https://e.lanbook.com/book/59277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>
        <w:rPr>
          <w:rFonts w:ascii="Times New Roman" w:hAnsi="Times New Roman"/>
          <w:sz w:val="24"/>
          <w:color w:val="000000"/>
        </w:rPr>
        <w:t xml:space="preserve">1. BOOK.ru : электронная библиотека 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01.10.2026). – Режим доступа: для зарегистрированных пользователей. – Текст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2. Научная библиотека РГУ имени С. А. Есенина: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https://library.rsu-rzn.ru/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3. ИВИС (EastView) : универсальная база электронных периодических изданий : сайт. – URL: </w:t>
      </w:r>
      <w:hyperlink r:id="rIdResource3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4. Университетская библиотека ONLINE: электронная библиотека. – URL: </w:t>
      </w:r>
      <w:hyperlink r:id="rId15">
        <w:r>
          <w:rPr>
            <w:rFonts w:ascii="Times New Roman" w:hAnsi="Times New Roman"/>
            <w:sz w:val="24"/>
            <w:color w:val="000000"/>
          </w:rPr>
          <w:t xml:space="preserve">http://biblioclub.ru/index.php?page=main_ub_red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5. ЮРАЙТ: образовательная  платформа : сайт. – Москва, 2013. – URL: </w:t>
      </w:r>
      <w:hyperlink r:id="rIdResource4">
        <w:r>
          <w:rPr>
            <w:rFonts w:ascii="Times New Roman" w:hAnsi="Times New Roman"/>
            <w:sz w:val="24"/>
            <w:color w:val="000000"/>
          </w:rPr>
          <w:t xml:space="preserve">https://urait.ru/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6. Лань: электронная библиотека: сайт. – URL: </w:t>
      </w:r>
      <w:hyperlink r:id="rId17">
        <w:r>
          <w:rPr>
            <w:rFonts w:ascii="Times New Roman" w:hAnsi="Times New Roman"/>
            <w:sz w:val="24"/>
            <w:color w:val="000000"/>
          </w:rPr>
          <w:t xml:space="preserve">https://e.lanbook.com/</w:t>
        </w:r>
      </w:hyperlink>
      <w:r>
        <w:rPr>
          <w:rFonts w:ascii="Times New Roman" w:hAnsi="Times New Roman"/>
          <w:sz w:val="24"/>
          <w:color w:val="000000"/>
        </w:rPr>
        <w:t xml:space="preserve">. – (дата обращения: 21.02.2025). – Режим доступа: для зарегистрированных пользователей. 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>
        <w:rPr>
          <w:rFonts w:ascii="Times New Roman" w:hAnsi="Times New Roman"/>
          <w:sz w:val="24"/>
          <w:color w:val="000000"/>
        </w:rPr>
        <w:t xml:space="preserve">EqWorld. The World of Mathematical Equations [Электронный ресурс] : Международный научно-образовательный сайт. – Режим доступа: </w:t>
      </w:r>
      <w:hyperlink r:id="rIdResource5">
        <w:r>
          <w:rPr>
            <w:rFonts w:ascii="Times New Roman" w:hAnsi="Times New Roman"/>
            <w:sz w:val="24"/>
            <w:color w:val="000000"/>
          </w:rPr>
          <w:t xml:space="preserve">https://eqworld.ipmnet.ru/indexr.htm</w:t>
        </w:r>
      </w:hyperlink>
      <w:r>
        <w:rPr>
          <w:rFonts w:ascii="Times New Roman" w:hAnsi="Times New Roman"/>
          <w:sz w:val="24"/>
          <w:color w:val="000000"/>
        </w:rPr>
        <w:t xml:space="preserve">, свободный (дата обращения: 27.10.2026).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color w:val="000000"/>
        </w:rPr>
        <w:t xml:space="preserve">Сообщество «Экспонента» : научно-образовательный сайт. – URL: </w:t>
      </w:r>
      <w:hyperlink r:id="rIdResource6">
        <w:r>
          <w:rPr>
            <w:rFonts w:ascii="Times New Roman" w:hAnsi="Times New Roman"/>
            <w:sz w:val="24"/>
            <w:color w:val="000000"/>
          </w:rPr>
          <w:t xml:space="preserve">https://hub.exponenta.ru/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 для чтения. – Текст: электронный.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метрические пространства, нормированные пространства, гильбертовы пространства.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6" w:name="_Hlk171681250"/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№93/03-22У от 11.03.2022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б/н от 19.01.2026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Специализированный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Python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  <w:spacing w:before="0" w:after="0" w:line="20" w:lineRule="exact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7" Type="http://schemas.openxmlformats.org/officeDocument/2006/relationships/fontTable" Target="fontTable.xm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library.rsu-rzn.ru/" TargetMode="External"/><Relationship Id="rIdResource3" Type="http://schemas.openxmlformats.org/officeDocument/2006/relationships/hyperlink" Target="https://eivis.ru/" TargetMode="External"/><Relationship Id="rIdResource4" Type="http://schemas.openxmlformats.org/officeDocument/2006/relationships/hyperlink" Target="https://urait.ru/" TargetMode="External"/><Relationship Id="rIdResource5" Type="http://schemas.openxmlformats.org/officeDocument/2006/relationships/hyperlink" Target="https://eqworld.ipmnet.ru/indexr.htm" TargetMode="External"/><Relationship Id="rIdResource6" Type="http://schemas.openxmlformats.org/officeDocument/2006/relationships/hyperlink" Target="https://hub.exponenta.ru/" TargetMode="External"/><Relationship Id="rId13" Type="http://schemas.openxmlformats.org/officeDocument/2006/relationships/hyperlink" Target="https://library.rsu.edu.ru/" TargetMode="External"/><Relationship Id="rId16" Type="http://schemas.openxmlformats.org/officeDocument/2006/relationships/hyperlink" Target="https://www.biblio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