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Педагогика и психология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Специальность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Специализация</w:t>
            </w:r>
            <w:r w:rsidRPr="005F68E4">
              <w:rPr>
                <w:sz w:val="28"/>
                <w:szCs w:val="28"/>
              </w:rPr>
              <w:t/>
            </w:r>
            <w:r w:rsidRPr="005F68E4">
              <w:rPr>
                <w:sz w:val="28"/>
                <w:szCs w:val="28"/>
              </w:rPr>
              <w:t/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педагогики и менеджмента в образовании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>
      <w:pPr>
        <w:pageBreakBefore/>
        <w:spacing w:after="160"/>
      </w:pPr>
      <w:r>
        <w:rPr>
          <w:rFonts w:ascii="Times New Roman" w:hAnsi="Times New Roman"/>
          <w:b w:val="0"/>
          <w:sz w:val="28"/>
        </w:rPr>
        <w:t>Разработана в соответствии с ФГОС ВО по специальности 01.05.01 «Фундаментальные математика и механика», утверждённым приказом Минобрнауки России от 10 января 2018 г. № 16.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Учебный план по специальности 01.05.01 «Фундаментальные математика и механика», специализация «Математическое моделирование и искусственный интеллект», одобрен учёным советом РГУ имени С.А. Есенина «___» __________ 20___ г.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Рабочая программа дисциплины (модуля) утверждена на заседании кафедры педагогики и менеджмента в образовании «___» __________ 20___ г., протокол № ____.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Разработчик — __________________________________________________________</w:t>
        <w:br/>
        <w:t>(учёная степень, учёное звание, должность, Ф.И.О.)</w:t>
      </w:r>
    </w:p>
    <w:p w14:paraId="14810D79" w14:textId="77777777" w:rsidR="009574D6" w:rsidRPr="00427AF8" w:rsidRDefault="009C6CD5" w:rsidP="002647EF">
      <w:pPr>
        <w:pStyle w:val="Standard"/>
        <w:pageBreakBefore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Б1.О.04.22 «Педагогика и психология»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психологических и педагогических основ организации обучения, общения и развития обучающихся;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закономерностях психического развития, обучения и воспитания;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приемами педагогического общения, организации учебной деятельности и оценки образовательных результатов;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учитывать возрастные и индивидуальные особенности обучающихся при выборе педагогических решений.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Б1.О.04.22 «Педагогика и психология»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Математика и информатика в объеме среднего общего образования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Теория и методика преподавания математики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Теория разработки пользовательских интерфейсов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Искусственный интеллект в преподавании математики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"/>
          <w:szCs w:val="2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09" w:footer="709" w:gutter="0"/>
          <w:cols w:space="720"/>
          <w:titlePg/>
        </w:sectPr>
        <w:spacing w:before="0" w:after="0" w:line="20" w:lineRule="exact"/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ОПК-4.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4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Владеть (навыками)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>ОПК-4. Способен использовать в педагогической деятельности научные основы знаний в сфере математики и механики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ОПК-4.1. Обладает знаниями в области математики и методики ее преподавания, необходимыми для осуществления педагогической деятельности.</w:t>
            </w:r>
          </w:p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ОПК-4.2. Обладает необходимым профессиональным инструментарием, позволяющим реализовывать образовательный процесс на различных ступенях образования в образовательных учреждениях различного типа.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инструменты проектирования учебного занятия и диагностики; педагогические технологии и психологию обучения.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подбирать задания и технологии с учетом ступени образования в задачах дисциплины; разработка критериев оценивания.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проектирования занятия и выбора дидактических средств при изучении: педагогические технологии и психологию обучения.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ОПК-4.3. Осуществляет образовательную деятельность в образовательных учреждениях, формулирует и решает задачи, возникающие в процессе преподавательской деятельности.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способы постановки и решения педагогических задач; педагогические технологии и психологию обучения.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проводить учебный фрагмент и анализировать затруднения учащихся в задачах дисциплины; разработка критериев оценивания.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проведения и самоанализа учебной деятельности при изучении: педагогические технологии и психологию обучения.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  <w:sz w:val="2"/>
          <w:szCs w:val="2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1134" w:left="1134" w:header="709" w:footer="709" w:gutter="0"/>
          <w:cols w:space="720"/>
        </w:sectPr>
        <w:spacing w:before="0" w:after="0" w:line="20" w:lineRule="exact"/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814"/>
        <w:gridCol w:w="1361"/>
        <w:gridCol w:w="737"/>
        <w:gridCol w:w="1587"/>
        <w:gridCol w:w="3402"/>
      </w:tblGrid>
      <w:tr>
        <w:trPr>
          <w:tblHeader/>
        </w:trPr>
        <w:tc>
          <w:tcPr>
            <w:tcW w:type="dxa" w:w="454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175"/>
            <w:gridSpan w:val="2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Вид учебной работы</w:t>
            </w:r>
          </w:p>
        </w:tc>
        <w:tc>
          <w:tcPr>
            <w:tcW w:type="dxa" w:w="73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 часов</w:t>
            </w:r>
          </w:p>
        </w:tc>
        <w:tc>
          <w:tcPr>
            <w:tcW w:type="dxa" w:w="158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 том числе практическая подготовка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Семестры / курсы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5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Контактная работа обучающихся с преподавателем (по видам учебных занятий),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64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Лекции (Л)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Практические занятия (ПЗ)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Семинары (С)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Лабораторные работы (ЛР)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Иные виды занятий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Самостоятельная работа,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44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КР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КП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(З)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с оценкой (ЗаО)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экзамен (Э)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часов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з.е.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 СОДЕРЖАНИЕ ДИСЦИПЛИНЫ (МОДУЛЯ)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2.1. Содержание разделов дисциплины (модуля)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  <w:keepNext/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семестра/курса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Психология познания и развития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Восприятие, память, внимание и мышление. Возрастные и индивидуальные различия. Мотивация учебной деятельности и развитие самостоятельности. Развитие личности, социализация, деятельность и связь обучения с возрастными закономерностями. Когнитивная нагрузка, индивидуальные различия и условия формирования устойчивых учебных навыков.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Образовательный процесс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Цели и содержание образования. Дидактические принципы и методы обучения, связь обучения, воспитания и развития. Формы организации занятий и образовательная среда. Педагогические технологии и включение обучающихся в самостоятельную деятельность. Связь образовательной цели с результатом обучения и выбор организационного решения с учетом особенностей группы.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Педагогическое общение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Педагогическое взаимодействие и стили общения. Групповая динамика, сотрудничество и поддержка самостоятельности обучающегося. Обратная связь, педагогические конфликты и способы их разрешения. Инклюзивное обучение и педагогическая этика. Анализ ситуации взаимодействия, учет индивидуальных различий и оценка последствий выбранного педагогического решения.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Оценивание и рефлексия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Диагностика учебных результатов, формирующее и итоговое оценивание. Критерии, самооценка и рефлексия. Анализ качества педагогического решения. Валидность и надежность оценочного задания, критерии и уровни достижения результата. Самооценка, содержательная обратная связь и использование диагностики для коррекции обучения.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практических занятий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b/>
                <w:sz w:val="24"/>
                <w:szCs w:val="22"/>
              </w:rPr>
              <w:t>Содержание практического занятия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Психология познания и развития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Разбор учебных ситуаций с учетом особенностей познания и мотивации.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Образовательный процесс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Проектирование фрагмента занятия с согласованными целями, заданиями и результатами.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Педагогическое общение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Решение ситуационных задач о коммуникации, обратной связи и доступности обучения.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Оценивание и рефлексия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Разработка критериев оценивания; анализ педагогического кейса и корректировка решения.</w:t>
            </w:r>
          </w:p>
        </w:tc>
      </w:tr>
    </w:tbl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3. САМОСТОЯТЕЛЬНАЯ РАБОТА ОБУЧАЮЩЕГОСЯ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44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5 семестр – 44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Видами самостоятельной работы обучающегося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практическим занятиям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зачету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>
      <w:pPr>
        <w:keepNext/>
        <w:spacing w:after="160"/>
      </w:pPr>
      <w:r>
        <w:rPr>
          <w:rFonts w:ascii="Times New Roman" w:hAnsi="Times New Roman"/>
          <w:b/>
          <w:sz w:val="28"/>
        </w:rPr>
        <w:t>4. ОЦЕНОЧНЫЕ СРЕДСТВА ДЛЯ ТЕКУЩЕГО КОНТРОЛЯ УСПЕВАЕМОСТИ И ПРОМЕЖУТОЧНОЙ АТТЕСТАЦИИ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4.1. Формы текущего контроля успеваемости указаны в Оценочных средствах.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4.2. Рейтинговая система оценки знаний обучающихся по дисциплине (модулю):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4.3. Лабораторные работы: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4.4. Курсовая работа/курсовой проект: нет.</w:t>
      </w: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Овсянникова О. А. Психология и педагогика высшей школы. Санкт-Петербург: Лань, 2021. 236 с. — Текст: электронный. ЭБС «Лань». URL: https://e.lanbook.com/book/159491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Смирнов С. Д. Психология и педагогика для преподавателей высшей школы. Москва: МГТУ им. Н. Э. Баумана, 2014. 422 с. — Текст: электронный. ЭБС «Лань». URL: https://e.lanbook.com/book/106583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>
        <w:rPr>
          <w:rFonts w:ascii="Times New Roman" w:hAnsi="Times New Roman"/>
          <w:sz w:val="24"/>
          <w:color w:val="000000"/>
        </w:rPr>
        <w:t xml:space="preserve">1. BOOK.ru : электронная библиотека : сайт. – URL: </w:t>
      </w:r>
      <w:hyperlink r:id="rIdResource1">
        <w:r>
          <w:rPr>
            <w:rFonts w:ascii="Times New Roman" w:hAnsi="Times New Roman"/>
            <w:sz w:val="24"/>
            <w:color w:val="000000"/>
          </w:rPr>
          <w:t xml:space="preserve">https://book.ru/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01.10.2026). – Режим доступа: для зарегистрированных пользователей. – Текст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2. Научная библиотека РГУ имени С. А. Есенина: сайт. – URL: </w:t>
      </w:r>
      <w:hyperlink r:id="rIdResource2">
        <w:r>
          <w:rPr>
            <w:rFonts w:ascii="Times New Roman" w:hAnsi="Times New Roman"/>
            <w:sz w:val="24"/>
            <w:color w:val="000000"/>
          </w:rPr>
          <w:t xml:space="preserve">https://library.rsu-rzn.ru/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27.10.2026).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3. ИВИС (EastView) : универсальная база электронных периодических изданий : сайт. – URL: </w:t>
      </w:r>
      <w:hyperlink r:id="rIdResource3">
        <w:r>
          <w:rPr>
            <w:rFonts w:ascii="Times New Roman" w:hAnsi="Times New Roman"/>
            <w:sz w:val="24"/>
            <w:color w:val="000000"/>
          </w:rPr>
          <w:t xml:space="preserve">https://eivis.ru/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27.10.2026). – Режим доступа: по подписке университета; в сети университета и удалённо после авторизации. – Текст: электронный.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4. Университетская библиотека ONLINE: электронная библиотека. – URL: </w:t>
      </w:r>
      <w:hyperlink r:id="rId15">
        <w:r>
          <w:rPr>
            <w:rFonts w:ascii="Times New Roman" w:hAnsi="Times New Roman"/>
            <w:sz w:val="24"/>
            <w:color w:val="000000"/>
          </w:rPr>
          <w:t xml:space="preserve">http://biblioclub.ru/index.php?page=main_ub_red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21.02.2025).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5. ЮРАЙТ: образовательная  платформа : сайт. – Москва, 2013. – URL: </w:t>
      </w:r>
      <w:hyperlink r:id="rIdResource4">
        <w:r>
          <w:rPr>
            <w:rFonts w:ascii="Times New Roman" w:hAnsi="Times New Roman"/>
            <w:sz w:val="24"/>
            <w:color w:val="000000"/>
          </w:rPr>
          <w:t xml:space="preserve">https://urait.ru/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21.02.2025).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6. Лань: электронная библиотека: сайт. – URL: </w:t>
      </w:r>
      <w:hyperlink r:id="rId17">
        <w:r>
          <w:rPr>
            <w:rFonts w:ascii="Times New Roman" w:hAnsi="Times New Roman"/>
            <w:sz w:val="24"/>
            <w:color w:val="000000"/>
          </w:rPr>
          <w:t xml:space="preserve">https://e.lanbook.com/</w:t>
        </w:r>
      </w:hyperlink>
      <w:r>
        <w:rPr>
          <w:rFonts w:ascii="Times New Roman" w:hAnsi="Times New Roman"/>
          <w:sz w:val="24"/>
          <w:color w:val="000000"/>
        </w:rPr>
        <w:t xml:space="preserve">. – (дата обращения: 21.02.2025). – Режим доступа: для зарегистрированных пользователей. 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>
        <w:rPr>
          <w:rFonts w:ascii="Times New Roman" w:hAnsi="Times New Roman"/>
          <w:sz w:val="24"/>
          <w:color w:val="000000"/>
        </w:rPr>
        <w:t xml:space="preserve">EqWorld. The World of Mathematical Equations [Электронный ресурс] : Международный научно-образовательный сайт. – Режим доступа: </w:t>
      </w:r>
      <w:hyperlink r:id="rIdResource5">
        <w:r>
          <w:rPr>
            <w:rFonts w:ascii="Times New Roman" w:hAnsi="Times New Roman"/>
            <w:sz w:val="24"/>
            <w:color w:val="000000"/>
          </w:rPr>
          <w:t xml:space="preserve">https://eqworld.ipmnet.ru/indexr.htm</w:t>
        </w:r>
      </w:hyperlink>
      <w:r>
        <w:rPr>
          <w:rFonts w:ascii="Times New Roman" w:hAnsi="Times New Roman"/>
          <w:sz w:val="24"/>
          <w:color w:val="000000"/>
        </w:rPr>
        <w:t xml:space="preserve">, свободный (дата обращения: 27.10.2026).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/>
          <w:sz w:val="24"/>
          <w:color w:val="000000"/>
        </w:rPr>
        <w:t xml:space="preserve">Сообщество «Экспонента» : научно-образовательный сайт. – URL: </w:t>
      </w:r>
      <w:hyperlink r:id="rIdResource6">
        <w:r>
          <w:rPr>
            <w:rFonts w:ascii="Times New Roman" w:hAnsi="Times New Roman"/>
            <w:sz w:val="24"/>
            <w:color w:val="000000"/>
          </w:rPr>
          <w:t xml:space="preserve">https://hub.exponenta.ru/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27.10.2026). – Режим доступа: свободный для чтения. – Текст: электронный.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6.1. Требования к аудиториям (помещениям, местам) для проведения занятий: учебная аудитория для проведения занятий лекционного типа, групповых и индивидуальных консультаций, текущего контроля и промежуточной аттестации; аудитория для проведения практических занятий, самостоятельной работы с доступом в сеть Интернет.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психология познания и развития, образовательный процесс, педагогическое общение, оценивание и рефлексия.</w:t>
            </w:r>
          </w:p>
        </w:tc>
      </w:tr>
      <w:tr w:rsidR="00427AF8" w:rsidRPr="00427AF8" w14:paraId="7B57534C" w14:textId="77777777">
        <w:trPr>
          <w:cantSplit/>
        </w:trPr>
        <w:tc>
          <w:tcPr>
            <w:tcW w:w="2518" w:type="dxa"/>
          </w:tcPr>
          <w:p w14:paraId="6F81DBC0" w14:textId="77777777" w:rsidR="00EB5DA2" w:rsidRPr="00427AF8" w:rsidRDefault="00EB5DA2" w:rsidP="002647EF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Практические занятия</w:t>
            </w:r>
            <w:r w:rsidR="003E5892">
              <w:rPr>
                <w:rFonts w:ascii="Times New Roman" w:hAnsi="Times New Roman" w:cs="Times New Roman"/>
                <w:color w:val="auto"/>
                <w:sz w:val="24"/>
              </w:rPr>
              <w:t xml:space="preserve"> (семинар)</w:t>
            </w:r>
          </w:p>
        </w:tc>
        <w:tc>
          <w:tcPr>
            <w:tcW w:w="7088" w:type="dxa"/>
          </w:tcPr>
          <w:p w14:paraId="63D84837" w14:textId="77777777" w:rsidR="00EB5DA2" w:rsidRPr="00427AF8" w:rsidRDefault="003E5892" w:rsidP="002647EF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3E5892">
              <w:rPr>
                <w:rFonts w:ascii="Times New Roman" w:hAnsi="Times New Roman" w:cs="Times New Roman"/>
                <w:color w:val="auto"/>
                <w:sz w:val="24"/>
              </w:rPr>
              <w:t>Подготовка к каждому практическому занятию должна начаться с ознакомления с планом семинарского занятия, который отражает содержание предложенной темы. Тщательное продумывание и изучение вопросов плана основывается на проработке текущего материала лекции, а затем изучения обязательной и дополнительной литературы, ресурсов Интернета, рекомендованных к данной теме. На основе индивидуальных предпочтений студент может самостоятельно выбрать тему доклада по проблеме семинара и подготовить по нему электронную презентацию. Если предусмотрено выполнение практического задания, то его необходимо выполнить с учетом предложенных рекомендаций преподавателя (устных или письменных). При подготовке к семинарским занятиям необходимо обратить особое внимание на самостоятельное изучение рекомендованной учебно</w:t>
            </w:r>
            <w:r w:rsidR="002F3C1A">
              <w:rPr>
                <w:rFonts w:ascii="Times New Roman" w:hAnsi="Times New Roman" w:cs="Times New Roman"/>
                <w:color w:val="auto"/>
                <w:sz w:val="24"/>
              </w:rPr>
              <w:t>-</w:t>
            </w:r>
            <w:r w:rsidRPr="003E5892">
              <w:rPr>
                <w:rFonts w:ascii="Times New Roman" w:hAnsi="Times New Roman" w:cs="Times New Roman"/>
                <w:color w:val="auto"/>
                <w:sz w:val="24"/>
              </w:rPr>
              <w:t>методической, научной литературы и электронных ресурсов. Конспектирование источников. Работа с конспектом лекций, подготовка ответов к контрольным вопросам, просмотр рекомендуемой литературы, электронных презентаций лекций и др.</w:t>
            </w:r>
          </w:p>
        </w:tc>
      </w:tr>
      <w:tr w:rsidR="00A358E6" w:rsidRPr="00427AF8" w14:paraId="0C5D0E5F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07E98206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Контрольная работа/индивидуальные задания</w:t>
            </w:r>
          </w:p>
        </w:tc>
        <w:tc>
          <w:tcPr>
            <w:tcW w:w="7088" w:type="dxa"/>
            <w:shd w:val="clear" w:color="auto" w:fill="auto"/>
          </w:tcPr>
          <w:p w14:paraId="242DCEA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Знакомство с основной и дополнительной литературой, включая справочные издания, зарубежные источники, конспект основных положений, терминов, сведений, требующихся для запоминания и являющихся основополагающими в этой теме. Составление аннотаций к прочитанным литературным источникам и др.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pageBreakBefore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bookmarkStar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id="6" w:name="_Hlk171681250"/>
    <w:p xmlns:w="http://schemas.openxmlformats.org/wordprocessingml/2006/main" xmlns:w14="http://schemas.microsoft.com/office/word/2010/wordml"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Стандартный набор ПО:</w:t>
      </w:r>
    </w:p>
    <w:tbl xmlns:w="http://schemas.openxmlformats.org/wordprocessingml/2006/main" xmlns:w14="http://schemas.microsoft.com/office/word/2010/wordml"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Операционная система </w:t>
              <w:br/>
              <w:t xml:space="preserve">РЕД ОС 8.0 «Рабочая станция»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Соглашение №93/03-22У от 11.03.2022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Офисный пакет Р7-Офис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Соглашение б/н от 19.01.2026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Архиватор: </w:t>
              <w:br/>
              <w:t xml:space="preserve">Engrampa – Archive Manager 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Файловые менеджеры:</w:t>
              <w:br/>
              <w:t xml:space="preserve">Midnight Commander, Double Commander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Интернет-браузеры:</w:t>
              <w:br/>
              <w:t xml:space="preserve">Chromium, Firefox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Программа для просмотра и редактирования графических файлов Pix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  <w:br/>
              <w:t xml:space="preserve">Atril – Document Viewer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Медиа-плеер VLC media player 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</w:tbl>
    <w:p xmlns:w="http://schemas.openxmlformats.org/wordprocessingml/2006/main" xmlns:w14="http://schemas.microsoft.com/office/word/2010/wordml" w14:paraId="34A74755" w14:textId="77777777" w:rsidR="000452E3" w:rsidRPr="00B00E3E" w:rsidRDefault="000452E3" w:rsidP="000452E3">
      <w:pPr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  <w:spacing w:before="0" w:after="0" w:line="20" w:lineRule="exact"/>
      </w:pPr>
      <w:r>
        <w:rPr>
          <w:rFonts w:ascii="Times New Roman" w:hAnsi="Times New Roman" w:cs="Times New Roman"/>
          <w:b/>
          <w:sz w:val="28"/>
          <w:szCs w:val="28"/>
        </w:rPr>
        <w:t xml:space="preserve"/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27" Type="http://schemas.openxmlformats.org/officeDocument/2006/relationships/fontTable" Target="fontTable.xml"/><Relationship Id="rIdResource1" Type="http://schemas.openxmlformats.org/officeDocument/2006/relationships/hyperlink" Target="https://book.ru/" TargetMode="External"/><Relationship Id="rIdResource2" Type="http://schemas.openxmlformats.org/officeDocument/2006/relationships/hyperlink" Target="https://library.rsu-rzn.ru/" TargetMode="External"/><Relationship Id="rIdResource3" Type="http://schemas.openxmlformats.org/officeDocument/2006/relationships/hyperlink" Target="https://eivis.ru/" TargetMode="External"/><Relationship Id="rIdResource4" Type="http://schemas.openxmlformats.org/officeDocument/2006/relationships/hyperlink" Target="https://urait.ru/" TargetMode="External"/><Relationship Id="rIdResource5" Type="http://schemas.openxmlformats.org/officeDocument/2006/relationships/hyperlink" Target="https://eqworld.ipmnet.ru/indexr.htm" TargetMode="External"/><Relationship Id="rIdResource6" Type="http://schemas.openxmlformats.org/officeDocument/2006/relationships/hyperlink" Target="https://hub.exponenta.ru/" TargetMode="External"/><Relationship Id="rId13" Type="http://schemas.openxmlformats.org/officeDocument/2006/relationships/hyperlink" Target="https://library.rsu.edu.ru/" TargetMode="External"/><Relationship Id="rId16" Type="http://schemas.openxmlformats.org/officeDocument/2006/relationships/hyperlink" Target="https://www.biblio-online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