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«Интеллектуальный анализ данных»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«Интеллектуальный анализ данных»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«Интеллектуальный анализ данных»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Исследование структуры многомерных данных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ПК-1</w:t>
              <w:br/>
              <w:t xml:space="preserve">ПК-3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Поиск закономерностей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Устойчивость кластеров и обнаружение аномалий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Графовый анализ и рекомендательные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Единица наблюдения при объединении источников. Ключи и предотвращение смешения объектов.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ПК-1.1</w:t>
              <w:br/>
              <w:t xml:space="preserve">ПК-1.2</w:t>
              <w:br/>
              <w:t xml:space="preserve">ПК-1.3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Систематические пропуски по группам. Смещение распределений и обнаруживаемой структуры.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признаков и мера сходства. Изменение соседств и обоснование нормировки.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Устойчивость закономерности к очистке. Сопоставление результатов на согласованных наблюдениях.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Происхождение источников. Согласование смысла, единиц и времени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Мера сходства смешанных данных. Раздельный учет числовых и категориальных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Удаление дубликатов и предметный смысл структуры. Проверка искусственного усиления групп.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записей(id, group, x, y)={(1, A,1,2),(2, A,2,4),(3, B,1,2),(4, B,2, None),(5, B,3, None)} и дополнительной точной копии id=1 решается задача исследования структуры по имеющимся x и group. Предложены две политики: использовать все наблюдения с известными признаками структуры либо оставить только строки с известным y. Выберите обоснованную политику и обращение с копией, подтвердите решение профилем и расчетами по группам. Объясните, что эти данные позволяют и не позволяют заключить о механизме пропусков y; обучать модель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Поддержка, достоверность и lift ассоциативного правила. Связь показателей и интерпретация.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Антимонотонность поддержки. Отсечение кандидатов в поиске частых наборов.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Высокая достоверность правила. Ограничения вывода при частом заключении и учет lift.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Независимая проверка ассоциативного правила. Сохранение метрик и предметного смысла.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FP-growth. Сжатие транзакций в FP-дерево и поиск частых наборов без явной генерации кандидатов. Отличие от Apriori.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Бутстреп транзакций. Оценка разброса показателей и устойчивости выбранного правила.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Статистическая устойчивость и предметная полезность правила. Различие критериев.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транзакций {A, B},{A, C},{A, B, C},{B, C},{A, B},{A} оцените кандидаты A→B, B→A, A→C для предметного пилота. Политика отбора требует support не менее 1/3, confidence не менее 0.6 и lift строго выше 1. Самостоятельно организуйте расчет и примите решение по каждому правилу; объясните, как проверять выбранный подход на независимых данных и оцените достаточность confidence как единственного критерия. Перебор всех возможных правил и обучение модели не требуются.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Единый порог плотности DBSCAN. Потеря разреженных групп и слияние плотных кластеров.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кластеров повторных выборок. Перестановка меток и изменение состава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Локальная аномалия и глобальная удаленность. Роль плотности окрестности.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Сохранение соседств при снижении размерности. Критерий сравнения вложений.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Индекс Рэнда. Учет согласованных пар и независимость от нумерации кластеров.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 сходства и спектральная кластеризация. Выбор связей и разделение на группы.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LOF и изолирующий лес. Различия механизмов оценки аномальности и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точек 0,0.1,0.2,2,2.4,2.8,6 на прямой требуется методом DBSCAN получить два кластера: первые три точки и следующие три; последняя точка должна остаться шумом. min_samples=3 включает саму точку; окрестность задается расстоянием не более eps. Найдите все eps в [0,2], обеспечивающие требование, и обоснуйте границы. Для одного выбранного значения покажите ядерные, граничные и шумовые точки. Объясните, какие выводы о естественности такого разбиения остаются неподтвержденными.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Направленность и веса ребер. Влияние на выбранную центральность графа.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Временная проверка рекомендаций. Отбор обучающих взаимодействий и исключение будущей информации.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Recall@k и NDCG@k. Полнота рекомендаций и учет порядка релевантных объектов.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Холодный старт пользователя и объекта. Недостающая информация и возможные базовые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Матричная факторизация неявных взаимодействий. Скрытые факторы и трактовка отсутствия события.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Отрицательные примеры неявной обратной связи. Предположения и риск ложных отрицаний.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Устойчивость сообщества к изменению ребер. Сопоставление результатов на одинаковых вершинах.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Каталог объектов {A, B, C, D}; история событий: u1: A в день 1, B в день 3, D в день 4; u2: B в день 1, C в день 2; u3: C в день 2, B в день 3. На вечер дня 2 каждому из u1 и u3 формируется список из 2 непросмотренных объектов по популярности доступных взаимодействий, при равенстве — по алфавиту. Релевантны объекты этих пользователей в дни 3–4. Постройте списки и вычислите macroRecall@2 и macroNDCG@2 с бинарной релевантностью, DCG с дисконтом 1/log2(rank+1), IDCG по числу релевантных объектов, не более 2. Обоснуйте временной протокол и объясните, можно ли присвоить такую же тестовую оценку новому u4 без будущих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Исследование структуры многомерных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профиля качества объединенных таблиц и выявление противоречивых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Исследование смещения распределений признаков при систематических пропусках в группах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Выбор меры сходства смешанных признаков и проверка ее влияния на соседства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Поиск закономерностей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Поиск частых наборов покупок алгоритмом Apriori при изменении минимальной поддержки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Проверка устойчивости ассоциативных правил на повторных выборках транзакций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кластеров и обнаружение аномалий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Оценка устойчивости центров и состава кластеров k-средних при повторной выборке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Исследование слияния и потери кластеров DBSCAN при неодинаковой плотности наблюдений и изменении радиуса окрестности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Оценка сохранения соседств в готовых линейном и нелинейном вложениях при изменении состава наблюдений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Выявление локальных аномалий в многомерных измерениях методами LOF и изолирующего леса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Графовый анализ и рекомендательные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Поиск сообществ в графе взаимодействий и оценка устойчивости центральностей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рекомендаций по неявной обратной связи методом матричной факторизации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Оценка ранжирования рекомендаций по временным срезам и решение задачи холодного старта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Style w:val="TableGrid"/>
        <w:tblW w:w="9348" w:type="dxa"/>
        <w:tblInd w:w="0" w:type="dxa"/>
        <w:tblCellMar>
          <w:top w:w="61" w:type="dxa"/>
          <w:left w:w="149" w:type="dxa"/>
          <w:right w:w="82" w:type="dxa"/>
        </w:tblCellMar>
        <w:tblLook w:val="04A0" w:firstRow="1" w:lastRow="0" w:firstColumn="1" w:lastColumn="0" w:noHBand="0" w:noVBand="1"/>
      </w:tblPr>
      <w:tblGrid>
        <w:gridCol w:w="1560"/>
        <w:gridCol w:w="7788"/>
      </w:tblGrid>
      <w:tr w:rsidR="003C4A8C" w14:paraId="46560442" w14:textId="77777777" w:rsidTr="00632F4F">
        <w:trPr>
          <w:trHeight w:val="29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090716" w14:textId="77777777" w:rsidR="003C4A8C" w:rsidRDefault="003C4A8C" w:rsidP="00632F4F">
            <w:pPr>
              <w:spacing w:line="259" w:lineRule="auto"/>
              <w:ind w:right="69" w:firstLine="0"/>
              <w:jc w:val="center"/>
            </w:pPr>
            <w:r>
              <w:rPr>
                <w:sz w:val="24"/>
              </w:rPr>
              <w:t xml:space="preserve">Оценка </w:t>
            </w:r>
          </w:p>
        </w:tc>
        <w:tc>
          <w:tcPr>
            <w:tcW w:w="7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1C882" w14:textId="77777777" w:rsidR="003C4A8C" w:rsidRDefault="003C4A8C" w:rsidP="00632F4F">
            <w:pPr>
              <w:spacing w:line="259" w:lineRule="auto"/>
              <w:ind w:right="71" w:firstLine="0"/>
              <w:jc w:val="center"/>
            </w:pPr>
            <w:r>
              <w:rPr>
                <w:sz w:val="24"/>
              </w:rPr>
              <w:t xml:space="preserve">Критерии </w:t>
            </w:r>
          </w:p>
        </w:tc>
      </w:tr>
      <w:tr w:rsidR="003C4A8C" w14:paraId="17CFAB01" w14:textId="77777777" w:rsidTr="00632F4F">
        <w:trPr>
          <w:trHeight w:val="3121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EE3A6E" w14:textId="77777777" w:rsidR="003C4A8C" w:rsidRDefault="003C4A8C" w:rsidP="00632F4F">
            <w:pPr>
              <w:spacing w:line="259" w:lineRule="auto"/>
              <w:ind w:firstLine="0"/>
            </w:pPr>
            <w:r>
              <w:rPr>
                <w:sz w:val="24"/>
              </w:rPr>
              <w:t xml:space="preserve">зачтено </w:t>
            </w:r>
          </w:p>
        </w:tc>
        <w:tc>
          <w:tcPr>
            <w:tcW w:w="7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481BB" w14:textId="77777777" w:rsidR="003C4A8C" w:rsidRDefault="003C4A8C" w:rsidP="00632F4F">
            <w:pPr>
              <w:spacing w:after="19" w:line="279" w:lineRule="auto"/>
              <w:ind w:right="58" w:firstLine="279"/>
            </w:pPr>
            <w:r>
              <w:rPr>
                <w:sz w:val="24"/>
              </w:rPr>
              <w:t xml:space="preserve">Выставляется обучающемуся, выполнившему лабораторную работу на компьютере, оформившему отчет и защитившему выполненную лабораторную работу, если при выполнении и защите лабораторной работы обучающийся демонстрирует: </w:t>
            </w:r>
          </w:p>
          <w:p w14:paraId="0131887A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hanging="10"/>
            </w:pPr>
            <w:r>
              <w:rPr>
                <w:sz w:val="24"/>
              </w:rPr>
              <w:t xml:space="preserve">прочные знания основных понятий изучаемого раздела; </w:t>
            </w:r>
          </w:p>
          <w:p w14:paraId="644D63DE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hanging="10"/>
            </w:pPr>
            <w:r>
              <w:rPr>
                <w:sz w:val="24"/>
              </w:rPr>
              <w:t xml:space="preserve">владение терминологическим аппаратом; </w:t>
            </w:r>
          </w:p>
          <w:p w14:paraId="07FD3AA8" w14:textId="5641925E" w:rsidR="003C4A8C" w:rsidRDefault="003C4A8C" w:rsidP="003C4A8C">
            <w:pPr>
              <w:widowControl/>
              <w:autoSpaceDE/>
              <w:autoSpaceDN/>
              <w:adjustRightInd/>
              <w:spacing w:after="43" w:line="259" w:lineRule="auto"/>
              <w:ind w:hanging="10"/>
            </w:pPr>
            <w:r>
              <w:rPr>
                <w:sz w:val="24"/>
              </w:rPr>
              <w:t xml:space="preserve">умение объяснять сущность соответствующих процессов, делать выводы и обобщения, давать аргументированные ответы, приводить примеры;  </w:t>
            </w:r>
          </w:p>
          <w:p w14:paraId="18BFF967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hanging="10"/>
            </w:pPr>
            <w:r>
              <w:rPr>
                <w:sz w:val="24"/>
              </w:rPr>
              <w:t xml:space="preserve">необходимые умения и навыки использования аппаратных и/или программных средств для решения задач в соответствующей предметной области </w:t>
            </w:r>
          </w:p>
        </w:tc>
      </w:tr>
      <w:tr w:rsidR="003C4A8C" w14:paraId="4540DDC9" w14:textId="77777777" w:rsidTr="00632F4F">
        <w:trPr>
          <w:trHeight w:val="3396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14DFFCE3" w14:textId="77777777" w:rsidR="003C4A8C" w:rsidRDefault="003C4A8C" w:rsidP="00632F4F">
            <w:pPr>
              <w:spacing w:line="259" w:lineRule="auto"/>
              <w:ind w:firstLine="0"/>
            </w:pPr>
            <w:r>
              <w:rPr>
                <w:sz w:val="24"/>
              </w:rPr>
              <w:t xml:space="preserve">не зачтено </w:t>
            </w:r>
          </w:p>
        </w:tc>
        <w:tc>
          <w:tcPr>
            <w:tcW w:w="77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F55ACB" w14:textId="77777777" w:rsidR="003C4A8C" w:rsidRDefault="003C4A8C" w:rsidP="00632F4F">
            <w:pPr>
              <w:spacing w:after="19" w:line="278" w:lineRule="auto"/>
              <w:ind w:right="58" w:firstLine="279"/>
            </w:pPr>
            <w:r>
              <w:rPr>
                <w:sz w:val="24"/>
              </w:rPr>
              <w:t xml:space="preserve">Выставляется обучающемуся, не выполнившему лабораторную работу на компьютере, или не оформившему отчет, или не защитившему выполненную лабораторную работу, если при выполнении и защите лабораторной работы обучающийся демонстрирует: </w:t>
            </w:r>
          </w:p>
          <w:p w14:paraId="32A8FEC8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right="30" w:hanging="10"/>
              <w:jc w:val="both"/>
            </w:pPr>
            <w:r>
              <w:rPr>
                <w:sz w:val="24"/>
              </w:rPr>
              <w:t xml:space="preserve">отсутствие знания какого-либо основного понятия изучаемого раздела; </w:t>
            </w:r>
          </w:p>
          <w:p w14:paraId="1842FAD4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right="30" w:hanging="10"/>
              <w:jc w:val="both"/>
            </w:pPr>
            <w:r>
              <w:rPr>
                <w:sz w:val="24"/>
              </w:rPr>
              <w:t xml:space="preserve">отсутствие владения терминологическим аппаратом; </w:t>
            </w:r>
          </w:p>
          <w:p w14:paraId="5C9D4505" w14:textId="2C9914F7" w:rsidR="003C4A8C" w:rsidRDefault="003C4A8C" w:rsidP="003C4A8C">
            <w:pPr>
              <w:widowControl/>
              <w:autoSpaceDE/>
              <w:autoSpaceDN/>
              <w:adjustRightInd/>
              <w:spacing w:after="43" w:line="258" w:lineRule="auto"/>
              <w:ind w:right="30" w:hanging="10"/>
              <w:jc w:val="both"/>
            </w:pPr>
            <w:r>
              <w:rPr>
                <w:sz w:val="24"/>
              </w:rPr>
              <w:t xml:space="preserve">неумение объяснять сущность соответствующих процессов, делать выводы и обобщения, давать аргументированные ответы, приводить примеры;  </w:t>
            </w:r>
          </w:p>
          <w:p w14:paraId="186DBEE4" w14:textId="77777777" w:rsidR="003C4A8C" w:rsidRDefault="003C4A8C" w:rsidP="003C4A8C">
            <w:pPr>
              <w:widowControl/>
              <w:autoSpaceDE/>
              <w:autoSpaceDN/>
              <w:adjustRightInd/>
              <w:spacing w:line="259" w:lineRule="auto"/>
              <w:ind w:right="30" w:hanging="10"/>
              <w:jc w:val="both"/>
            </w:pPr>
            <w:r>
              <w:rPr>
                <w:sz w:val="24"/>
              </w:rPr>
              <w:t xml:space="preserve">отсутствие необходимых умений и навыков использования аппаратных и/или программных средств для решения задач в соответствующей предметной области.  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«Интеллектуальный анализ данных»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профиля качества объединенных таблиц и выявление противоречивых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Единицы наблюдения и ключи объединенных таблиц. Проверка согласованности источников.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Противоречащие записи источников. Выявление профилем качества и предметные ограничения.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Исследование смещения распределений признаков при систематических пропусках в группах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Систематические пропуски по группам. Смещение распределения исследуемого признака.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распределений до и после удаления записей с пропусками. Границы вывода о смещении.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Выбор меры сходства смешанных признаков и проверка ее влияния на соседства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Мера сходства числовых и категориальных признаков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Масштаб признаков и состав ближайших соседей. Проверка изменения соседств.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Поиск частых наборов покупок алгоритмом Apriori при изменении минимальной поддержки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Свойство Apriori. Отсечение кандидатов при заданной минимальной поддержке.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Ручной подсчет поддержки выбранного набора в исходных транзакциях.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Проверка устойчивости ассоциативных правил на повторных выборках транзакций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Бутстреп транзакций и устойчивость показателей ассоциативного правила.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Достоверность, lift и предметный смысл правила. Взаимное дополнение оценок.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Оценка устойчивости центров и состава кластеров k-средних при повторной выборке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Сопоставление центров и меток кластеров на повторных выборках.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Перестановка номеров кластеров и изменение состава групп. Критерий различения.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Исследование слияния и потери кластеров DBSCAN при неодинаковой плотности наблюдений и изменении радиуса окрестности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Единый радиус DBSCAN для плотной и разреженной групп. Причины слияния и потери кластеров.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Параметр min_samples. Изменение состава ядерных точек, шума и связности кластеров.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Оценка сохранения соседств в готовых линейном и нелинейном вложениях при изменении состава наблюдений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Сохранение соседств в PCA и готовом нелинейном вложении. Выбранный критерий.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состава наблюдений. Устойчивость вывода о сохранении соседств.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Выявление локальных аномалий в многомерных измерениях методами LOF и изолирующего леса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Локальная аномалия в исследуемых данных. Отличие от глобально удаленной точки.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Расхождение рангов LOF и изолирующего леса. Объяснение через свойства методов.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Поиск сообществ в графе взаимодействий и оценка устойчивости центральностей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Направленность и веса ребер в рассчитанной центральности графа.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Удаление ребер и устойчивость найденного сообщества. Проверка на фиксированных вершинах.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рекомендаций по неявной обратной связи методом матричной факторизации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Матрица неявных взаимодействий. Формирование только по обучающему временному срезу.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Сравнение факторизационных рекомендаций с базой популярности на общем протоколе.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Оценка ранжирования рекомендаций по временным срезам и решение задачи холодного старта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Временной срез ранжирования. Недопустимость включения будущих взаимодействий.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Пользователи с контрольным событием и неизвестные пользователи. Условия расчета метрики.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Интеллектуальный анализ данных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table" w:customStyle="1" w:styleId="TableGrid">
    <w:name w:val="TableGrid"/>
    <w:rsid w:val="003C4A8C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