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Анализ временных рядов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Специальность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Специализация</w:t>
            </w:r>
            <w:r w:rsidRPr="005F68E4">
              <w:rPr>
                <w:sz w:val="28"/>
                <w:szCs w:val="28"/>
              </w:rPr>
              <w:t/>
            </w:r>
            <w:r w:rsidRPr="005F68E4">
              <w:rPr>
                <w:sz w:val="28"/>
                <w:szCs w:val="28"/>
              </w:rPr>
              <w:t/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>
      <w:pPr>
        <w:pageBreakBefore/>
        <w:spacing w:after="160"/>
      </w:pPr>
      <w:r>
        <w:rPr>
          <w:rFonts w:ascii="Times New Roman" w:hAnsi="Times New Roman"/>
          <w:b w:val="0"/>
          <w:sz w:val="28"/>
        </w:rPr>
        <w:t>Разработана в соответствии с ФГОС ВО по специальности 01.05.01 «Фундаментальные математика и механика», утверждённым приказом Минобрнауки России от 10 января 2018 г. № 16.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Учебный план по специальности 01.05.01 «Фундаментальные математика и механика», специализация «Математическое моделирование и искусственный интеллект», одобрен учёным советом РГУ имени С.А. Есенина «___» __________ 20___ г.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Рабочая программа дисциплины (модуля) утверждена на заседании кафедры математики «___» __________ 20___ г., протокол № ____.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Разработчик — __________________________________________________________</w:t>
        <w:br/>
        <w:t>(учёная степень, учёное звание, должность, Ф.И.О.)</w:t>
      </w:r>
    </w:p>
    <w:p w14:paraId="14810D79" w14:textId="77777777" w:rsidR="009574D6" w:rsidRPr="00427AF8" w:rsidRDefault="009C6CD5" w:rsidP="002647EF">
      <w:pPr>
        <w:pStyle w:val="Standard"/>
        <w:pageBreakBefore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Б1.О.04.14 «Анализ временных рядов»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методов анализа зависимости во времени и построения проверяемых прогнозов временных рядов;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структуре временного ряда, стационарности и зависимости наблюдений;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методами идентификации, оценивания и диагностики моделей временных рядов;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строить прогнозы с учетом временного порядка данных и оценивать их неопределенность.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Б1.О.04.14 «Анализ временных рядов» относится к обязательной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Математическая статистика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Случайные процессы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Программирование и прикладная математика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>
        <w:rPr>
          <w:color w:val="auto"/>
          <w:sz w:val="28"/>
          <w:szCs w:val="28"/>
        </w:rPr>
        <w:t>2.3. Перечень дисциплин и видов учебной работы, при освоении которых используются результаты изучения данной дисциплины: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Динамические системы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Выполнение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"/>
          <w:szCs w:val="2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09" w:footer="709" w:gutter="0"/>
          <w:cols w:space="720"/>
          <w:titlePg/>
        </w:sectPr>
        <w:spacing w:before="0" w:after="0" w:line="20" w:lineRule="exact"/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Изучение дисциплины направлено на формирование следующих компетенций: ОПК-2.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4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Владеть (навыками)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4"/>
              </w:rPr>
              <w:t>ОПК-2. Способен создавать, анализировать и реализовывать новые математические модели в современном естествознании, технике, экономике и управлении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ОПК-2.1. Строит различные математические модели в профессиональной деятельности на основе имеющихся теоретических знаний и опыта решения математических задач.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принципы построения моделей и выбора исходных допущений; стационарность, временные зависимости и прогнозирование.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строить модель и задавать ее параметры и ограничения в задачах дисциплины; исследование ряда с внешними факторами.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построения и реализации математической модели при изучении: стационарность, временные зависимости и прогнозирование.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ОПК-2.2. Выбирает необходимые методы исследования, модифицирует существующие, разрабатывает новые с учетом особенностей решаемой задачи.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методы исследования и способы адаптации моделей; стационарность, временные зависимости и прогнозирование.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выбирать и модифицировать метод с учетом условий задачи в задачах дисциплины; исследование ряда с внешними факторами.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сравнения методов и обоснования их модификации при изучении: стационарность, временные зависимости и прогнозирование.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ОПК-2.3. Анализирует и интерпретирует результаты математического моделирования, оценивает их обоснованность и использует их в решении профессиональных задач.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критерии обоснованности и способы интерпретации модели; стационарность, временные зависимости и прогнозирование.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оценивать достоверность результатов и границы выводов в задачах дисциплины; исследование ряда с внешними факторами.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проверки модели и интерпретации результата при изучении: стационарность, временные зависимости и прогнозирование.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  <w:sz w:val="2"/>
          <w:szCs w:val="2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1134" w:left="1134" w:header="709" w:footer="709" w:gutter="0"/>
          <w:cols w:space="720"/>
        </w:sectPr>
        <w:spacing w:before="0" w:after="0" w:line="20" w:lineRule="exact"/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1814"/>
        <w:gridCol w:w="1361"/>
        <w:gridCol w:w="737"/>
        <w:gridCol w:w="1587"/>
        <w:gridCol w:w="3402"/>
      </w:tblGrid>
      <w:tr>
        <w:trPr>
          <w:tblHeader/>
        </w:trPr>
        <w:tc>
          <w:tcPr>
            <w:tcW w:type="dxa" w:w="454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3175"/>
            <w:gridSpan w:val="2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Вид учебной работы</w:t>
            </w:r>
          </w:p>
        </w:tc>
        <w:tc>
          <w:tcPr>
            <w:tcW w:type="dxa" w:w="73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Всего часов</w:t>
            </w:r>
          </w:p>
        </w:tc>
        <w:tc>
          <w:tcPr>
            <w:tcW w:type="dxa" w:w="158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 том числе практическая подготовка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Семестры / курсы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8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Контактная работа обучающихся с преподавателем (по видам учебных занятий),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48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Лекции (Л)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Практические занятия (ПЗ)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1.3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Семинары (С)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1.4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Лабораторные работы (ЛР)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1.5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Иные виды занятий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Самостоятельная работа,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96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Курсовая работа/проект (при наличии)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КР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Курсовая работа/проект (при наличии)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КП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(З)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с оценкой (ЗаО)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экзамен (Э)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часов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180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з.е.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 СОДЕРЖАНИЕ ДИСЦИПЛИНЫ (МОДУЛЯ)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2.1. Содержание разделов дисциплины (модуля)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  <w:keepNext/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семестра/курса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Подготовка временного ряда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Временной индекс, пропуски и выбросы наблюдаемого ряда. Аддитивная и мультипликативная декомпозиция, тренд, сезонность и календарные эффекты. Оценивание автокорреляции и частной автокорреляции по конечным данным. Трендовая и разностная стационарность, выбор преобразования ряда. Диагностика структуры ряда перед подбором модели с использованием изученных характеристик случайного процесса.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Линейные модели рядов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Авторегрессионные модели, модели скользящего среднего и ARMA. Стационарность и обратимость через корни характеристических полиномов. Интегрированные и сезонные модели ARIMA. Оценивание параметров, выбор порядка и информационные критерии. Диагностика коррелированных остатков, роль разностей и ограничения избыточной параметризации модели конечного ряда.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Прогнозирование и проверка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Наивный прогноз и экспоненциальное сглаживание. Одно- и многошаговый прогноз, прогнозные интервалы и накопление ошибки. Скользящее начало прогноза, последовательные временные срезы и недопустимость использования будущих наблюдений. Метрики с учетом масштаба ряда, проверка покрытия прогнозного интервала и сравнение моделей с базовым прогнозом.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Многомерные ряды и модели пространства состояний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Векторная авторегрессия, внешние регрессоры и оценка межрядовых зависимостей. Модель пространства состояний: наблюдаемое и скрытое состояние, шум перехода и измерения. Рекурсии прогноза и коррекции фильтра Калмана и оценка скрытого уровня ряда. Диагностика структурного сдвига и условной гетероскедастичности. Сравнение моделей на последовательных временных срезах и ограничения экстраполяции после смены режима.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3. САМОСТОЯТЕЛЬНАЯ РАБОТА ОБУЧАЮЩЕГОСЯ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96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8 семестр – 96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Видами самостоятельной работы обучающегося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>
      <w:pPr>
        <w:keepNext/>
        <w:spacing w:after="160"/>
      </w:pPr>
      <w:r>
        <w:rPr>
          <w:rFonts w:ascii="Times New Roman" w:hAnsi="Times New Roman"/>
          <w:b/>
          <w:sz w:val="28"/>
        </w:rPr>
        <w:t>4. ОЦЕНОЧНЫЕ СРЕДСТВА ДЛЯ ТЕКУЩЕГО КОНТРОЛЯ УСПЕВАЕМОСТИ И ПРОМЕЖУТОЧНОЙ АТТЕСТАЦИИ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4.1. Формы текущего контроля успеваемости указаны в Оценочных средствах.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4.2. Рейтинговая система оценки знаний обучающихся по дисциплине (модулю): нет.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4.3. Лабораторные работы: да (см. Оценочные средства).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4.4. Курсовая работа/курсовой проект: нет.</w:t>
      </w: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Катаргин Н. В., Качалина Е. А. Анализ временных рядов. Санкт-Петербург: Лань, 2024. 180 с. — Текст: электронный. ЭБС «Лань». URL: https://e.lanbook.com/book/433307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Боровков А. А. Математическая статистика. Санкт-Петербург: Лань, 2021. 704 с. — Текст: электронный. ЭБС «Лань». URL: https://e.lanbook.com/book/164711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3. Научная библиотека РГУ имени С. А. Есенина: сайт. – URL: https://library.rsu-rzn.ru/marc/Default.asp (дата обращения: 21.02.2025).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6 ЮРАЙТ: образовательная  платформа : сайт. – Москва, 2013. – URL: https://urait.ru/ (дата обращения: 21.02.2025).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keepLines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rPr>
          <w:cantSplit/>
          <w:tblHeader/>
        </w:trPr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keepNext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keepNext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подготовка временного ряда, линейные модели рядов, прогнозирование и проверка, многомерные ряды и модели пространства состояний.</w:t>
            </w:r>
          </w:p>
        </w:tc>
      </w:tr>
      <w:tr w:rsidR="00A358E6" w:rsidRPr="00427AF8" w14:paraId="66CE5521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>
        <w:trPr>
          <w:tblHeader/>
        </w:trPr>
        <w:tc>
          <w:tcPr>
            <w:tcW w:type="dxa" w:w="495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Название ПО</w:t>
            </w:r>
          </w:p>
        </w:tc>
        <w:tc>
          <w:tcPr>
            <w:tcW w:type="dxa" w:w="439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Основание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pandas, statsmodels, Matplotlib.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