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Программная инженерия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Специальность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Специализация</w:t>
            </w:r>
            <w:r w:rsidRPr="005F68E4">
              <w:rPr>
                <w:sz w:val="28"/>
                <w:szCs w:val="28"/>
              </w:rPr>
              <w:t/>
            </w:r>
            <w:r w:rsidRPr="005F68E4">
              <w:rPr>
                <w:sz w:val="28"/>
                <w:szCs w:val="28"/>
              </w:rPr>
              <w:t/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>
      <w:pPr>
        <w:pageBreakBefore/>
        <w:spacing w:after="160"/>
      </w:pPr>
      <w:r>
        <w:rPr>
          <w:rFonts w:ascii="Times New Roman" w:hAnsi="Times New Roman"/>
          <w:b w:val="0"/>
          <w:sz w:val="28"/>
        </w:rPr>
        <w:t>Разработана в соответствии с ФГОС ВО по специальности 01.05.01 «Фундаментальные математика и механика», утверждённым приказом Минобрнауки России от 10 января 2018 г. № 16.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Учебный план по специальности 01.05.01 «Фундаментальные математика и механика», специализация «Математическое моделирование и искусственный интеллект», одобрен учёным советом РГУ имени С.А. Есенина «___» __________ 20___ г.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Рабочая программа дисциплины (модуля) утверждена на заседании кафедры математики «___» __________ 20___ г., протокол № ____.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Разработчик — __________________________________________________________</w:t>
        <w:br/>
        <w:t>(учёная степень, учёное звание, должность, Ф.И.О.)</w:t>
      </w:r>
    </w:p>
    <w:p w14:paraId="14810D79" w14:textId="77777777" w:rsidR="009574D6" w:rsidRPr="00427AF8" w:rsidRDefault="009C6CD5" w:rsidP="002647EF">
      <w:pPr>
        <w:pStyle w:val="Standard"/>
        <w:pageBreakBefore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Б1.В.01.09 «Программная инженерия»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проектирования, внедрения и сопровождения программных решений для математического моделирования и ИИ;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жизненном цикле, архитектуре и сопровождении программных систем;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разработкой требований, проектированием интерфейсов и организацией сборки и развертывания;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обеспечивать качество и сопровождаемость программных решений для математических расчетов и искусственного интеллекта.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Б1.В.01.09 «Программная инженерия» относится к части Блока 1, формируемой участниками образовательных отношений.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Программирование и прикладная математика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Алгоритмы и структуры данных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Базы данных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Распределенные системы и параллельные вычисления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Машинное обучение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>
        <w:rPr>
          <w:color w:val="auto"/>
          <w:sz w:val="28"/>
          <w:szCs w:val="28"/>
        </w:rPr>
        <w:t>2.3. Перечень дисциплин и видов учебной работы, при освоении которых используются результаты изучения данной дисциплины: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Тестирование программного обеспечения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Архитектура вычислительных систем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Выполнение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"/>
          <w:szCs w:val="2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09" w:footer="709" w:gutter="0"/>
          <w:cols w:space="720"/>
          <w:titlePg/>
        </w:sectPr>
        <w:spacing w:before="0" w:after="0" w:line="20" w:lineRule="exact"/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Изучение дисциплины направлено на формирование следующих компетенций: УК-2, ПК-4.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4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4"/>
                <w:szCs w:val="22"/>
              </w:rPr>
              <w:t>Владеть (навыками)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УК-2. Способен управлять проектом на всех этапах его жизненного цикла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УК-2.2. Разрабатывает концепцию и план реализации проекта с учетом потенциальных рисков и возможности их устранения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методы планирования проекта и оценки рисков; жизненный цикл и архитектуру программного решения.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разрабатывать концепцию и план с мерами снижения рисков в задачах дисциплины; анализ эксплуатационной проблемы.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составления плана реализации и реестра проектных рисков при изучении: жизненный цикл и архитектуру программного решения.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4"/>
              </w:rPr>
              <w:t>ПК-4. Способен осуществлять проектирование, внедрение и сопровождение программных решений для задач математического моделирования и искусственного интеллекта.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ПК-4.1. Проектирует архитектуру, структуры данных, базы данных и программные интерфейсы программных решений для задач математического моделирования и искусственного интеллекта.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принципы проектирования архитектуры, данных и интерфейсов; жизненный цикл и архитектуру программного решения.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проектировать структуру решения, данные и программные интерфейсы в задачах дисциплины; анализ эксплуатационной проблемы.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подготовки и проверки архитектурного решения при изучении: жизненный цикл и архитектуру программного решения.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ПК-4.2. Обосновывает выбор технологий и программных средств, осуществляет интеграцию и внедрение программных решений.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критерии выбора технологий и способы интеграции решений; жизненный цикл и архитектуру программного решения.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обосновывать технологии и выполнять интеграцию компонентов в задачах дисциплины; анализ эксплуатационной проблемы.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интеграции и проверяемого развертывания программного решения при изучении: жизненный цикл и архитектуру программного решения.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ПК-4.3. Осуществляет сопровождение, анализирует функционирование и совершенствует программные решения в процессе их эксплуатации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методы мониторинга и совершенствования программного решения; жизненный цикл и архитектуру программного решения.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анализировать работу решения и устранять обнаруженные проблемы в задачах дисциплины; анализ эксплуатационной проблемы.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</w:rPr>
              <w:t>навыками сопровождения, диагностики и улучшения программного решения при изучении: жизненный цикл и архитектуру программного решения.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  <w:sz w:val="2"/>
          <w:szCs w:val="2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1134" w:left="1134" w:header="709" w:footer="709" w:gutter="0"/>
          <w:cols w:space="720"/>
        </w:sectPr>
        <w:spacing w:before="0" w:after="0" w:line="20" w:lineRule="exact"/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4"/>
        <w:gridCol w:w="1814"/>
        <w:gridCol w:w="1361"/>
        <w:gridCol w:w="737"/>
        <w:gridCol w:w="1587"/>
        <w:gridCol w:w="3402"/>
      </w:tblGrid>
      <w:tr>
        <w:trPr>
          <w:tblHeader/>
        </w:trPr>
        <w:tc>
          <w:tcPr>
            <w:tcW w:type="dxa" w:w="454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п/п</w:t>
            </w:r>
          </w:p>
        </w:tc>
        <w:tc>
          <w:tcPr>
            <w:tcW w:type="dxa" w:w="3175"/>
            <w:gridSpan w:val="2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Вид учебной работы</w:t>
            </w:r>
          </w:p>
        </w:tc>
        <w:tc>
          <w:tcPr>
            <w:tcW w:type="dxa" w:w="73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Всего часов</w:t>
            </w:r>
          </w:p>
        </w:tc>
        <w:tc>
          <w:tcPr>
            <w:tcW w:type="dxa" w:w="1587"/>
            <w:vMerge w:val="restart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В том числе практическая подготовка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Семестры / курсы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9</w:t>
            </w:r>
          </w:p>
        </w:tc>
      </w:tr>
      <w:tr>
        <w:trPr>
          <w:tblHeader/>
        </w:trPr>
        <w:tc>
          <w:tcPr>
            <w:tcW w:type="dxa" w:w="454"/>
            <w:vMerge/>
          </w:tcPr>
          <w:p/>
        </w:tc>
        <w:tc>
          <w:tcPr>
            <w:tcW w:type="dxa" w:w="3175"/>
            <w:gridSpan w:val="2"/>
            <w:vMerge/>
          </w:tcPr>
          <w:p/>
        </w:tc>
        <w:tc>
          <w:tcPr>
            <w:tcW w:type="dxa" w:w="737"/>
            <w:vMerge/>
          </w:tcPr>
          <w:p/>
        </w:tc>
        <w:tc>
          <w:tcPr>
            <w:tcW w:type="dxa" w:w="1587"/>
            <w:vMerge/>
          </w:tcPr>
          <w:p/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часов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Контактная работа обучающихся с преподавателем (по видам учебных занятий),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48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1.1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Лекции (Л)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16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Практические занятия (ПЗ)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1.3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Семинары (С)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1.4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Лабораторные работы (ЛР)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32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1.5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Иные виды занятий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</w:t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Самостоятельная работа, всего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60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в том числе:</w:t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2.1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Курсовая работа/проект (при наличии)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КР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КП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restart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3</w:t>
            </w:r>
          </w:p>
        </w:tc>
        <w:tc>
          <w:tcPr>
            <w:tcW w:type="dxa" w:w="1814"/>
            <w:vAlign w:val="center"/>
            <w:vMerge w:val="restart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  <w:t>Промежуточная аттестация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(З)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0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зачёт с оценкой (ЗаО)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  <w:vMerge w:val="continue"/>
          </w:tcPr>
          <w:p/>
        </w:tc>
        <w:tc>
          <w:tcPr>
            <w:tcW w:type="dxa" w:w="1814"/>
            <w:vAlign w:val="center"/>
            <w:vMerge w:val="continue"/>
          </w:tcPr>
          <w:p/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экзамен (Э)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3175"/>
            <w:gridSpan w:val="2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737"/>
          </w:tcPr>
          <w:p/>
        </w:tc>
        <w:tc>
          <w:tcPr>
            <w:tcW w:type="dxa" w:w="1587"/>
          </w:tcPr>
          <w:p/>
        </w:tc>
        <w:tc>
          <w:tcPr>
            <w:tcW w:type="dxa" w:w="3402"/>
          </w:tcPr>
          <w:p/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часов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10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108</w:t>
            </w:r>
          </w:p>
        </w:tc>
      </w:tr>
      <w:tr>
        <w:tc>
          <w:tcPr>
            <w:tcW w:type="dxa" w:w="45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</w:r>
          </w:p>
        </w:tc>
        <w:tc>
          <w:tcPr>
            <w:tcW w:type="dxa" w:w="1814"/>
            <w:vAlign w:val="center"/>
          </w:tcPr>
          <w:p>
            <w:pPr>
              <w:spacing w:before="0" w:after="20" w:line="240" w:lineRule="auto"/>
              <w:jc w:val="left"/>
            </w:pPr>
            <w:r>
              <w:rPr>
                <w:rFonts w:ascii="Times New Roman" w:hAnsi="Times New Roman"/>
                <w:b/>
                <w:sz w:val="24"/>
              </w:rPr>
              <w:t>ИТОГО: общая трудоёмкость</w:t>
            </w:r>
          </w:p>
        </w:tc>
        <w:tc>
          <w:tcPr>
            <w:tcW w:type="dxa" w:w="1361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з.е.</w:t>
            </w:r>
          </w:p>
        </w:tc>
        <w:tc>
          <w:tcPr>
            <w:tcW w:type="dxa" w:w="73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  <w:tc>
          <w:tcPr>
            <w:tcW w:type="dxa" w:w="158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3</w:t>
            </w:r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 СОДЕРЖАНИЕ ДИСЦИПЛИНЫ (МОДУЛЯ)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2.1. Содержание разделов дисциплины (модуля)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  <w:keepNext/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№ семестра/курса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9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Требования и планирование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Жизненный цикл программного решения. Функциональные и нефункциональные требования, риски и план проекта. Требования к данным, вычислениям и воспроизводимости. Сценарии использования, границы системы, заинтересованные стороны и критерии приемки. Трассируемость требований, управление изменениями и различие требования к алгоритму и к программной системе.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Архитектура и проектирование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Границы компонентов расчетного сервиса и разделение предметной модели и инфраструктуры. Связность, зацепление и инверсия зависимостей. Контракт API, версия схемы сообщения и обработка ошибок между компонентами. Использование готовой схемы хранения и выбор границ транзакций сервиса. Архитектурные шаблоны и обоснование решения по требованиям к сопровождению, производительности и изменяемости системы.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Интеграция и внедрение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Непрерывная интеграция расчетного сервиса, сборка артефактов и управление зависимостями компонентов. Контейнерные образы и воспроизводимое развертывание. Конфигурация среды и управление секретами. Миграции данных при выпуске версии, автоматические проверки готовности сервиса. Согласование версий компонентов и отличие проверки выпуска системы от локального тестирования отдельной функции.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Сопровождение и развитие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Эксплуатационные метрики расчетного сервиса, журналирование и трассировка запроса между компонентами. Версионирование модели, данных и конфигурации развертывания. Технический долг, совместимость API и миграция сервиса. Диагностика инцидента по журналам и возврат к предыдущему выпуску. Управление изменением требований и обновлением системы. Связь эксплуатационного сбоя с конкретной версией программного компонента.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>
        <w:rPr>
          <w:rFonts w:ascii="Times New Roman" w:hAnsi="Times New Roman"/>
          <w:b/>
          <w:color w:val="000000"/>
          <w:sz w:val="28"/>
          <w:szCs w:val="28"/>
        </w:rPr>
        <w:t xml:space="preserve">3. САМОСТОЯТЕЛЬНАЯ РАБОТА ОБУЧАЮЩЕГОСЯ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60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9 семестр – 60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Видами самостоятельной работы обучающегося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−  подготовка к зачету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>
      <w:pPr>
        <w:keepNext/>
        <w:spacing w:after="160"/>
      </w:pPr>
      <w:r>
        <w:rPr>
          <w:rFonts w:ascii="Times New Roman" w:hAnsi="Times New Roman"/>
          <w:b/>
          <w:sz w:val="28"/>
        </w:rPr>
        <w:t>4. ОЦЕНОЧНЫЕ СРЕДСТВА ДЛЯ ТЕКУЩЕГО КОНТРОЛЯ УСПЕВАЕМОСТИ И ПРОМЕЖУТОЧНОЙ АТТЕСТАЦИИ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4.1. Формы текущего контроля успеваемости указаны в Оценочных средствах.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4.2. Рейтинговая система оценки знаний обучающихся по дисциплине (модулю): нет.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4.3. Лабораторные работы: да (см. Оценочные средства).</w:t>
      </w:r>
    </w:p>
    <w:p>
      <w:pPr>
        <w:spacing w:after="160"/>
      </w:pPr>
      <w:r>
        <w:rPr>
          <w:rFonts w:ascii="Times New Roman" w:hAnsi="Times New Roman"/>
          <w:b w:val="0"/>
          <w:sz w:val="28"/>
        </w:rPr>
        <w:t>4.4. Курсовая работа/курсовой проект: нет.</w:t>
      </w: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Маран М. М. Программная инженерия. Санкт-Петербург: Лань, 2022. 196 с. — Текст: электронный. ЭБС «Лань». URL: https://e.lanbook.com/book/189470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1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Романов Е. Л. Программная инженерия. Новосибирск: НГТУ, 2017. 395 с. — Текст: электронный. ЭБС «Лань». URL: https://e.lanbook.com/book/118221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>
        <w:rPr>
          <w:rFonts w:ascii="Times New Roman" w:hAnsi="Times New Roman"/>
          <w:sz w:val="24"/>
          <w:color w:val="000000"/>
        </w:rPr>
        <w:t xml:space="preserve">1. BOOK.ru : электронная библиотека : сайт. – URL: </w:t>
      </w:r>
      <w:hyperlink r:id="rIdResource1">
        <w:r>
          <w:rPr>
            <w:rFonts w:ascii="Times New Roman" w:hAnsi="Times New Roman"/>
            <w:sz w:val="24"/>
            <w:color w:val="000000"/>
          </w:rPr>
          <w:t xml:space="preserve">https://book.ru/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01.10.2026). – Режим доступа: для зарегистрированных пользователей. – Текст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2. Научная библиотека РГУ имени С. А. Есенина: сайт. – URL: </w:t>
      </w:r>
      <w:hyperlink r:id="rIdResource2">
        <w:r>
          <w:rPr>
            <w:rFonts w:ascii="Times New Roman" w:hAnsi="Times New Roman"/>
            <w:sz w:val="24"/>
            <w:color w:val="000000"/>
          </w:rPr>
          <w:t xml:space="preserve">https://library.rsu-rzn.ru/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3. ИВИС (EastView) : универсальная база электронных периодических изданий : сайт. – URL: </w:t>
      </w:r>
      <w:hyperlink r:id="rIdResource3">
        <w:r>
          <w:rPr>
            <w:rFonts w:ascii="Times New Roman" w:hAnsi="Times New Roman"/>
            <w:sz w:val="24"/>
            <w:color w:val="000000"/>
          </w:rPr>
          <w:t xml:space="preserve">https://eivis.ru/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по подписке университета; в сети университета и удалённо после авторизации. – Текст: электронный.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4. Университетская библиотека ONLINE: электронная библиотека. – URL: </w:t>
      </w:r>
      <w:hyperlink r:id="rId15">
        <w:r>
          <w:rPr>
            <w:rFonts w:ascii="Times New Roman" w:hAnsi="Times New Roman"/>
            <w:sz w:val="24"/>
            <w:color w:val="000000"/>
          </w:rPr>
          <w:t xml:space="preserve">http://biblioclub.ru/index.php?page=main_ub_red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21.02.2025).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5. ЮРАЙТ: образовательная  платформа : сайт. – Москва, 2013. – URL: </w:t>
      </w:r>
      <w:hyperlink r:id="rIdResource4">
        <w:r>
          <w:rPr>
            <w:rFonts w:ascii="Times New Roman" w:hAnsi="Times New Roman"/>
            <w:sz w:val="24"/>
            <w:color w:val="000000"/>
          </w:rPr>
          <w:t xml:space="preserve">https://urait.ru/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21.02.2025).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/>
          <w:sz w:val="24"/>
          <w:color w:val="000000"/>
        </w:rPr>
        <w:t xml:space="preserve">6. Лань: электронная библиотека: сайт. – URL: </w:t>
      </w:r>
      <w:hyperlink r:id="rId17">
        <w:r>
          <w:rPr>
            <w:rFonts w:ascii="Times New Roman" w:hAnsi="Times New Roman"/>
            <w:sz w:val="24"/>
            <w:color w:val="000000"/>
          </w:rPr>
          <w:t xml:space="preserve">https://e.lanbook.com/</w:t>
        </w:r>
      </w:hyperlink>
      <w:r>
        <w:rPr>
          <w:rFonts w:ascii="Times New Roman" w:hAnsi="Times New Roman"/>
          <w:sz w:val="24"/>
          <w:color w:val="000000"/>
        </w:rPr>
        <w:t xml:space="preserve">. – (дата обращения: 21.02.2025). – Режим доступа: для зарегистрированных пользователей. 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>
        <w:rPr>
          <w:rFonts w:ascii="Times New Roman" w:hAnsi="Times New Roman"/>
          <w:sz w:val="24"/>
          <w:color w:val="000000"/>
        </w:rPr>
        <w:t xml:space="preserve">EqWorld. The World of Mathematical Equations [Электронный ресурс] : Международный научно-образовательный сайт. – Режим доступа: </w:t>
      </w:r>
      <w:hyperlink r:id="rIdResource5">
        <w:r>
          <w:rPr>
            <w:rFonts w:ascii="Times New Roman" w:hAnsi="Times New Roman"/>
            <w:sz w:val="24"/>
            <w:color w:val="000000"/>
          </w:rPr>
          <w:t xml:space="preserve">https://eqworld.ipmnet.ru/indexr.htm</w:t>
        </w:r>
      </w:hyperlink>
      <w:r>
        <w:rPr>
          <w:rFonts w:ascii="Times New Roman" w:hAnsi="Times New Roman"/>
          <w:sz w:val="24"/>
          <w:color w:val="000000"/>
        </w:rPr>
        <w:t xml:space="preserve">, свободный (дата обращения: 27.10.2026).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/>
          <w:sz w:val="24"/>
          <w:color w:val="000000"/>
        </w:rPr>
        <w:t xml:space="preserve">Сообщество «Экспонента» : научно-образовательный сайт. – URL: </w:t>
      </w:r>
      <w:hyperlink r:id="rIdResource6">
        <w:r>
          <w:rPr>
            <w:rFonts w:ascii="Times New Roman" w:hAnsi="Times New Roman"/>
            <w:sz w:val="24"/>
            <w:color w:val="000000"/>
          </w:rPr>
          <w:t xml:space="preserve">https://hub.exponenta.ru/</w:t>
        </w:r>
      </w:hyperlink>
      <w:r>
        <w:rPr>
          <w:rFonts w:ascii="Times New Roman" w:hAnsi="Times New Roman"/>
          <w:sz w:val="24"/>
          <w:color w:val="000000"/>
        </w:rPr>
        <w:t xml:space="preserve"> (дата обращения: 27.10.2026). – Режим доступа: свободный для чтения. – Текст: электронный.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keepLines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rPr>
          <w:cantSplit/>
          <w:tblHeader/>
        </w:trPr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keepNext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keepNext/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требования и планирование, архитектура и проектирование, интеграция и внедрение, сопровождение и развитие.</w:t>
            </w:r>
          </w:p>
        </w:tc>
      </w:tr>
      <w:tr w:rsidR="00A358E6" w:rsidRPr="00427AF8" w14:paraId="66CE5521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rPr>
          <w:cantSplit/>
        </w:trPr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bookmarkStart xmlns:w="http://schemas.openxmlformats.org/wordprocessingml/2006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w:id="6" w:name="_Hlk171681250"/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Стандартный набор ПО:</w:t>
      </w:r>
    </w:p>
    <w:tbl xmlns:w="http://schemas.openxmlformats.org/wordprocessingml/2006/main" xmlns:w14="http://schemas.microsoft.com/office/word/2010/wordml"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Операционная система </w:t>
              <w:br/>
              <w:t xml:space="preserve">РЕД ОС 8.0 «Рабочая станция»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Соглашение №93/03-22У от 11.03.2022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Офисный пакет Р7-Офис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Соглашение б/н от 19.01.2026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Архиватор: </w:t>
              <w:br/>
              <w:t xml:space="preserve">Engrampa – Archive Manager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Файловые менеджеры:</w:t>
              <w:br/>
              <w:t xml:space="preserve">Midnight Commander, Double Commander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Интернет-браузеры:</w:t>
              <w:br/>
              <w:t xml:space="preserve">Chromium, Firefox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Программа для просмотра и редактирования графических файлов Pix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  <w:br/>
              <w:t xml:space="preserve">Atril – Document Viewer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Медиа-плеер VLC media player 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Свободно распространяемое ПО</w:t>
            </w:r>
          </w:p>
        </w:tc>
      </w:tr>
    </w:tbl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Специализированный набор ПО:</w:t>
      </w:r>
    </w:p>
    <w:tbl xmlns:w="http://schemas.openxmlformats.org/wordprocessingml/2006/main" xmlns:w14="http://schemas.microsoft.com/office/word/2010/wordml"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>
        <w:trPr>
          <w:tblHeader/>
        </w:trPr>
        <w:tc>
          <w:tcPr>
            <w:tcW w:type="dxa" w:w="4957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Название ПО</w:t>
            </w:r>
          </w:p>
        </w:tc>
        <w:tc>
          <w:tcPr>
            <w:tcW w:type="dxa" w:w="4394"/>
            <w:vAlign w:val="center"/>
          </w:tcPr>
          <w:p>
            <w:pPr>
              <w:spacing w:before="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 xml:space="preserve">Основание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Python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Указано в перечне дополнительного ПО (категория «Языки программирования, библиотеки и среды разработки, робототехника»).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VSCodium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Указано в перечне дополнительного ПО (категория «Языки программирования, библиотеки и среды разработки, робототехника»).</w:t>
            </w:r>
          </w:p>
        </w:tc>
      </w:tr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Drawio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Указано в перечне дополнительного ПО (категория «Просмотр, редактирование и создание графических файлов»).</w:t>
            </w:r>
          </w:p>
        </w:tc>
      </w:tr>
    </w:tbl>
    <w:p xmlns:w="http://schemas.openxmlformats.org/wordprocessingml/2006/main" xmlns:w14="http://schemas.microsoft.com/office/word/2010/wordml" w14:paraId="34A74755" w14:textId="77777777" w:rsidR="000452E3" w:rsidRPr="00B00E3E" w:rsidRDefault="000452E3" w:rsidP="000452E3">
      <w:pPr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  <w:spacing w:before="0" w:after="0" w:line="20" w:lineRule="exact"/>
      </w:pPr>
      <w:r>
        <w:rPr>
          <w:rFonts w:ascii="Times New Roman" w:hAnsi="Times New Roman" w:cs="Times New Roman"/>
          <w:b/>
          <w:sz w:val="28"/>
          <w:szCs w:val="28"/>
        </w:rPr>
        <w:t xml:space="preserve"/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09" w:footer="709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27" Type="http://schemas.openxmlformats.org/officeDocument/2006/relationships/fontTable" Target="fontTable.xml"/><Relationship Id="rIdResource1" Type="http://schemas.openxmlformats.org/officeDocument/2006/relationships/hyperlink" Target="https://book.ru/" TargetMode="External"/><Relationship Id="rIdResource2" Type="http://schemas.openxmlformats.org/officeDocument/2006/relationships/hyperlink" Target="https://library.rsu-rzn.ru/" TargetMode="External"/><Relationship Id="rIdResource3" Type="http://schemas.openxmlformats.org/officeDocument/2006/relationships/hyperlink" Target="https://eivis.ru/" TargetMode="External"/><Relationship Id="rIdResource4" Type="http://schemas.openxmlformats.org/officeDocument/2006/relationships/hyperlink" Target="https://urait.ru/" TargetMode="External"/><Relationship Id="rIdResource5" Type="http://schemas.openxmlformats.org/officeDocument/2006/relationships/hyperlink" Target="https://eqworld.ipmnet.ru/indexr.htm" TargetMode="External"/><Relationship Id="rIdResource6" Type="http://schemas.openxmlformats.org/officeDocument/2006/relationships/hyperlink" Target="https://hub.exponenta.ru/" TargetMode="External"/><Relationship Id="rId13" Type="http://schemas.openxmlformats.org/officeDocument/2006/relationships/hyperlink" Target="https://library.rsu.edu.ru/" TargetMode="External"/><Relationship Id="rId16" Type="http://schemas.openxmlformats.org/officeDocument/2006/relationships/hyperlink" Target="https://www.biblio-online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