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Интеллектуальный анализ данных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Направление подготовки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Направленность (пр</w:t>
            </w:r>
            <w:r w:rsidRPr="005F68E4">
              <w:rPr>
                <w:sz w:val="28"/>
                <w:szCs w:val="28"/>
              </w:rPr>
              <w:t>о</w:t>
            </w:r>
            <w:r w:rsidRPr="005F68E4">
              <w:rPr>
                <w:sz w:val="28"/>
                <w:szCs w:val="28"/>
              </w:rPr>
              <w:t>филь)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 w14:paraId="14810D79" w14:textId="77777777" w:rsidR="009574D6" w:rsidRPr="00427AF8" w:rsidRDefault="009C6CD5" w:rsidP="002647EF">
      <w:pPr>
        <w:pStyle w:val="Standard"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br w:type="page"/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Б1.В.01.04 «Интеллектуальный анализ данных»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исследовательского анализа данных, поиска закономерностей и организации воспроизводимого аналитического исследования;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выявлении закономерностей, кластерной структуре и аномалиях в многомерных данных;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ассоциативного анализа, кластеризации, снижения размерности и анализа графовых данных;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оценивать устойчивость найденных закономерностей и различать содержательную связь и случайное совпадение.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Б1.В.01.04 «Интеллектуальный анализ данных»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статистика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Базы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8"/>
          <w:szCs w:val="28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20" w:footer="720" w:gutter="0"/>
          <w:cols w:space="720"/>
          <w:titlePg/>
        </w:sectPr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ПК-1, ПК-3.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2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Владеть (навыками)</w:t>
            </w:r>
          </w:p>
        </w:tc>
      </w:tr>
      <w:tr w:rsidR="00B603C6" w14:paraId="30C796DF" w14:textId="77777777" w:rsidTr="00C13E6B">
        <w:trPr>
          <w:jc w:val="center"/>
          <w:tblHeader/>
        </w:trPr>
        <w:tc>
          <w:tcPr>
            <w:tcW w:w="0" w:type="auto"/>
            <w:shd w:val="clear" w:color="auto" w:fill="auto"/>
          </w:tcPr>
          <w:p w14:paraId="201A935E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6943F2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047E2B4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10D1194A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0C3F6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38C676C8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ПК-1. Способен к проведению научно-исследовательских разработок на основе применения фундаментальных знаний по математике и методов математического моделирования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ПК-1.1. Самостоятельно адаптирует фундаментальные знания в области математики при разработке тематических планов и методических программ проведения исследований и разработок в реальном секторе экономики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подходы к адаптации математических методов в исследовании; извлечение закономерностей и проверку аналитических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составлять тематический план и выбирать методы исследования в задачах дисциплины; исследование сложного набора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адаптации математического аппарата к исследовательской задаче при изучении: извлечение закономерностей и проверку аналитических гипотез.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ПК-1.2. Способен проводить анализ и теоретически обобщать научные данные, результаты экспериментов и наблюдений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методы анализа данных и обобщения результатов эксперимента; извлечение закономерностей и проверку аналитических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сопоставлять экспериментальные данные и теоретические выводы в задачах дисциплины; исследование сложного набора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анализа наблюдений и обоснования исследовательских выводов при изучении: извлечение закономерностей и проверку аналитических гипотез.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ПК-1.3. Управляет результатами исследования, готовит научные отчеты и документы по результатам исследований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требования к структуре отчета и управлению результатами; извлечение закономерностей и проверку аналитических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оформлять результаты, исходные данные и ограничения выводов в задачах дисциплины; исследование сложного набора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подготовки научного отчета и систематизации результатов при изучении: извлечение закономерностей и проверку аналитических гипотез.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ПК-3. Способен к организации научно-исследовательских разработок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ПК-3.1. Составляет план исследования, формирует отдельные исследовательские задачи, аккумулирует, оценивает и интерпретирует результаты исследования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принципы выделения исследовательских задач и интерпретации; извлечение закономерностей и проверку аналитических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составлять план, выделять задачи и оценивать результаты в задачах дисциплины; исследование сложного набора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планирования исследования и интерпретации результатов при изучении: извлечение закономерностей и проверку аналитических гипотез.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ПК-3.2. Разрабатывает проекты перспективных планов работ по конкретной теме исследования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состав перспективного плана и взаимосвязь этапов исследования; извлечение закономерностей и проверку аналитических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проектировать этапы работ, сроки, ресурсы и ожидаемые результаты в задачах дисциплины; исследование сложного набора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разработки перспективного плана исследовательской работы при изучении: извлечение закономерностей и проверку аналитических гипотез.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ПК-3.3. Осуществляет контроль выполнения предусмотренных планом заданий, качества проведенных работ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критерии качества и методы контроля исследовательских работ; извлечение закономерностей и проверку аналитических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сопоставлять фактические результаты с планом и критериями качества в задачах дисциплины; исследование сложного набора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контроля выполнения заданий и анализа качества работы при изучении: извлечение закономерностей и проверку аналитических гипотез.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851" w:left="1134" w:header="720" w:footer="720" w:gutter="0"/>
          <w:cols w:space="720"/>
        </w:sectPr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9654" w:type="dxa"/>
        <w:tblInd w:w="-11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1334"/>
        <w:gridCol w:w="884"/>
        <w:gridCol w:w="1148"/>
        <w:gridCol w:w="856"/>
        <w:gridCol w:w="860"/>
        <w:gridCol w:w="853"/>
        <w:gridCol w:w="804"/>
      </w:tblGrid>
      <w:tr w:rsidR="00DE0851" w:rsidRPr="002647EF" w14:paraId="72CC35E0" w14:textId="77777777">
        <w:tc>
          <w:tcPr>
            <w:tcW w:w="42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CDBB4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Вид учебной работы</w:t>
            </w:r>
          </w:p>
        </w:tc>
        <w:tc>
          <w:tcPr>
            <w:tcW w:w="8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96C99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Всего</w:t>
            </w:r>
          </w:p>
          <w:p w14:paraId="52C1940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1148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758C46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Практи-ческая подготовка</w:t>
            </w:r>
          </w:p>
        </w:tc>
        <w:tc>
          <w:tcPr>
            <w:tcW w:w="33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2B66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Семестры</w:t>
            </w:r>
          </w:p>
        </w:tc>
      </w:tr>
      <w:tr w:rsidR="00DE0851" w:rsidRPr="002647EF" w14:paraId="42E6E885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3BD5E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588C3D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ACD3A2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3C2B4E" w14:textId="77777777" w:rsidR="00DE0851" w:rsidRPr="00593BCC" w:rsidRDefault="00DE0851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9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561A0A" w14:textId="77777777" w:rsidR="00DE0851" w:rsidRPr="00593BCC" w:rsidRDefault="00B603C6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31CF2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48C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9F2F36F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7316E6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42549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4B2FE71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D7FEB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532E6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29398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114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C82AFC5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6871B6B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1.Контактная работа обучающихся с преподавателем (по видам учебных з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нятий) (вс</w:t>
            </w:r>
            <w:r w:rsidRPr="002647EF">
              <w:rPr>
                <w:color w:val="auto"/>
              </w:rPr>
              <w:t>е</w:t>
            </w:r>
            <w:r w:rsidRPr="002647EF">
              <w:rPr>
                <w:color w:val="auto"/>
              </w:rPr>
              <w:t>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7BC96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40EA210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00D9D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B1C29B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83827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0AD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5CC6D76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0C9DD2B7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 том числе: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A9682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70DB0C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43B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B308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13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2B31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774670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3E9043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Лекции (Л)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F74945C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66C5D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5AF72E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C9633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F04E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22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B74B894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7A071CC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Практические занятия (ПЗ), семин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ры (С)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13A704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9F162F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6DEF7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89D89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460F3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70F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D19EBEF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27D9E17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Лабораторные работы (ЛР)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CABEB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50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A7FE3D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5486D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50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C6013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2927F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32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8BEE29E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67D23AA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rFonts w:eastAsia="Calibri"/>
                <w:color w:val="auto"/>
              </w:rPr>
              <w:t>Иные виды занятий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9CE038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6B2D6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B9F24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90859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4FC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F97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171F5BA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1E086F5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2.Самостоятельная работа студента (всего)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4A408F7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78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3F8B39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0E62B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78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EF30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2DF6C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7055" w14:textId="77777777" w:rsidR="00DE0851" w:rsidRPr="002647EF" w:rsidRDefault="00DE0851" w:rsidP="002647EF">
            <w:pPr>
              <w:pStyle w:val="Standard"/>
              <w:tabs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AD4F529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0ACE6F" w14:textId="77777777" w:rsidR="00DE0851" w:rsidRPr="002647EF" w:rsidRDefault="00DE0851" w:rsidP="002647EF">
            <w:pPr>
              <w:pStyle w:val="Standard"/>
              <w:ind w:firstLine="0"/>
              <w:jc w:val="left"/>
              <w:rPr>
                <w:color w:val="auto"/>
              </w:rPr>
            </w:pPr>
            <w:r w:rsidRPr="002647EF">
              <w:rPr>
                <w:color w:val="auto"/>
              </w:rPr>
              <w:t>3.</w:t>
            </w:r>
            <w:r w:rsidRPr="002647EF">
              <w:rPr>
                <w:rFonts w:eastAsia="Calibri"/>
                <w:color w:val="auto"/>
              </w:rPr>
              <w:t xml:space="preserve"> Курсовая работа</w:t>
            </w:r>
            <w:r w:rsidRPr="002647EF">
              <w:rPr>
                <w:rFonts w:eastAsia="Calibri"/>
                <w:color w:val="auto"/>
              </w:rPr>
              <w:br/>
              <w:t xml:space="preserve"> (при нал</w:t>
            </w:r>
            <w:r w:rsidRPr="002647EF">
              <w:rPr>
                <w:rFonts w:eastAsia="Calibri"/>
                <w:color w:val="auto"/>
              </w:rPr>
              <w:t>и</w:t>
            </w:r>
            <w:r w:rsidRPr="002647EF">
              <w:rPr>
                <w:rFonts w:eastAsia="Calibri"/>
                <w:color w:val="auto"/>
              </w:rPr>
              <w:t>чии)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E52D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КП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ADCC5C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29BCAD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C2783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8BDB4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9380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EFB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5D6DC91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CDF505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937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КР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4EFD1E" w14:textId="77777777" w:rsidR="00DE0851" w:rsidRPr="002647EF" w:rsidRDefault="003D617A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8514D46" w14:textId="77777777" w:rsidR="00DE0851" w:rsidRPr="002647EF" w:rsidRDefault="00DE0851" w:rsidP="003D617A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0E6D6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866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CE6B8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93D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A7FA0C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D89B7E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Вид промежуточной</w:t>
            </w:r>
          </w:p>
          <w:p w14:paraId="46D1EB11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аттестации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3D12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зачет (З)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4EBA72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7933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B1F586" w14:textId="77777777" w:rsidR="00DE0851" w:rsidRPr="00593BCC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250C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6C604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6F27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64C9831B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4705CB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B63C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экзамен (Э)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36090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E065F6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72C9D" w14:textId="77777777" w:rsidR="00DE0851" w:rsidRPr="004F6067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36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C76B57" w14:textId="77777777" w:rsidR="00DE0851" w:rsidRPr="004F6067" w:rsidRDefault="00B603C6" w:rsidP="004F6067">
            <w:pPr>
              <w:pStyle w:val="Standard"/>
              <w:tabs>
                <w:tab w:val="left" w:pos="360"/>
                <w:tab w:val="center" w:pos="440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6D9616" w14:textId="77777777" w:rsidR="00DE0851" w:rsidRPr="004F6067" w:rsidRDefault="00DE0851" w:rsidP="004F6067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3ADA6" w14:textId="77777777" w:rsidR="00DE0851" w:rsidRPr="004F6067" w:rsidRDefault="00DE0851" w:rsidP="004F6067">
            <w:pPr>
              <w:pStyle w:val="Standard"/>
              <w:tabs>
                <w:tab w:val="left" w:pos="315"/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583380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B79FC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ИТОГО: общая трудое</w:t>
            </w:r>
            <w:r w:rsidRPr="002647EF">
              <w:rPr>
                <w:color w:val="auto"/>
              </w:rPr>
              <w:t>м</w:t>
            </w:r>
            <w:r w:rsidRPr="002647EF">
              <w:rPr>
                <w:color w:val="auto"/>
              </w:rPr>
              <w:t>кость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79E15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C5F7EF" w14:textId="77777777" w:rsidR="00DE0851" w:rsidRPr="002647EF" w:rsidRDefault="00593BCC" w:rsidP="004F6067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180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7C549F0" w14:textId="77777777" w:rsidR="00DE0851" w:rsidRPr="002647EF" w:rsidRDefault="00593BCC" w:rsidP="002647EF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B26C4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180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0D5CE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471CE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C6DF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F900FFF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085CB3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90CC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зач. ед.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6CD0324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FE60C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3B74B" w14:textId="77777777" w:rsidR="00DE0851" w:rsidRPr="00B603C6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B7B8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2EEE9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FD0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br w:type="page"/>
      </w:r>
      <w:r w:rsidR="009574D6" w:rsidRPr="00253501">
        <w:rPr>
          <w:color w:val="auto"/>
          <w:sz w:val="28"/>
          <w:szCs w:val="28"/>
        </w:rPr>
        <w:lastRenderedPageBreak/>
        <w:t xml:space="preserve">2. СОДЕРЖАНИЕ УЧЕБНОЙ ДИСЦИПЛИНЫ 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2.1. Содержание разделов учебной дисциплины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31101350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Исследование структуры многомерных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Единица наблюдения, схема происхождения данных и согласование источников. Профили качества, дубликаты, систематические пропуски и зависимость пропусков от групп наблюдений. Устойчивость найденных закономерностей к очистке и изменению состава признаков. Меры сходства смешанных данных, влияние масштаба и выбор подпространства. Проверка предметного смысла обнаруженной структуры.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Поиск закономерностей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Ассоциативные правила, поддержка, достоверность и lift. Алгоритмы Apriori и FP-growth. Множественность проверок и содержательная интерпретация правил. Частые наборы, антимонотонность поддержки и эффективное сокращение поиска. Избыточность правил, направленность импликации, статистическая значимость и проверка правил на независимых данных.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Устойчивость кластеров и обнаружение аномалий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Повторные выборки и согласование кластерных разбиений, индекс Рэнда и устойчивость центров. Плотностные кластеры различной формы, чувствительность к радиусу окрестности и порогу плотности. Ограничения единого масштаба плотности: слияние плотных групп и потеря разреженных групп при изменении параметров DBSCAN. Спектральная кластеризация графа сходства. Локальные выбросы, методы LOF и изолирующего леса, порог аномальности. Сопоставление вложений PCA и нелинейных методов по сохранению соседств.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Графовый анализ и рекомендательные модели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Построение графа взаимодействий, направленность и веса ребер. Центральности, сообщества и их устойчивость к изменению наблюдений. Матрица пользовательских взаимодействий, неявная обратная связь и матричная факторизация. Ранжирование рекомендаций, отрицательные примеры, метрики Recall@k и NDCG@k. Холодный старт и оценка по временным срезам без включения будущих взаимодействий.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Исследование структуры многомерных данных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Построение профиля качества объединенных таблиц и выявление противоречивых наблюдений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Исследование смещения распределений признаков при систематических пропусках в группах наблюдений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Выбор меры сходства смешанных признаков и проверка ее влияния на соседства наблюдений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Поиск закономерностей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Поиск частых наборов покупок алгоритмом Apriori при изменении минимальной поддержки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Проверка устойчивости ассоциативных правил на повторных выборках транзакций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Устойчивость кластеров и обнаружение аномалий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Оценка устойчивости центров и состава кластеров k-средних при повторной выборке наблюдений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Исследование слияния и потери кластеров DBSCAN при неодинаковой плотности наблюдений и изменении радиуса окрестности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Оценка сохранения соседств в готовых линейном и нелинейном вложениях при изменении состава наблюдений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№9. Выявление локальных аномалий в многомерных измерениях методами LOF и изолирующего леса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Графовый анализ и рекомендательные модели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№10. Поиск сообществ в графе взаимодействий и оценка устойчивости центральностей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№11. Построение рекомендаций по неявной обратной связи методом матричной факторизации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№12. Оценка ранжирования рекомендаций по временным срезам и решение задачи холодного старта</w:t>
            </w:r>
          </w:p>
        </w:tc>
      </w:tr>
    </w:tbl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3. САМОСТОЯТЕЛЬНАЯ РАБОТА СТУДЕНТА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78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9 семестр – 78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Видами СРС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 w14:paraId="272D5CE1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</w:rPr>
      </w:pPr>
      <w:r w:rsidRPr="008A1D7D">
        <w:rPr>
          <w:color w:val="auto"/>
          <w:sz w:val="28"/>
          <w:szCs w:val="28"/>
        </w:rPr>
        <w:t xml:space="preserve">4. </w:t>
      </w:r>
      <w:r w:rsidR="00A755A7" w:rsidRPr="008A1D7D">
        <w:rPr>
          <w:color w:val="auto"/>
          <w:sz w:val="28"/>
          <w:szCs w:val="28"/>
        </w:rPr>
        <w:t>ОЦЕНОЧНЫЕ СРЕДСТВА ДЛЯ ТЕКУЩЕГО КОНТРОЛЯ УСПЕВАЕМОСТИ И ПРОМЕЖУТОЧНОЙ АТТЕСТАЦИИ</w:t>
      </w:r>
    </w:p>
    <w:p w14:paraId="1250E6F4" w14:textId="77777777" w:rsidR="00A630B2" w:rsidRPr="00427AF8" w:rsidRDefault="0077074A" w:rsidP="002647EF">
      <w:pPr>
        <w:pStyle w:val="Standard"/>
        <w:keepNext/>
        <w:ind w:firstLine="709"/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 </w:t>
      </w:r>
      <w:r w:rsidR="00A630B2" w:rsidRPr="00427AF8">
        <w:rPr>
          <w:color w:val="auto"/>
          <w:sz w:val="28"/>
          <w:szCs w:val="28"/>
        </w:rPr>
        <w:t>(</w:t>
      </w:r>
      <w:r w:rsidR="00A630B2" w:rsidRPr="00427AF8">
        <w:rPr>
          <w:i/>
          <w:color w:val="auto"/>
          <w:sz w:val="28"/>
          <w:szCs w:val="28"/>
        </w:rPr>
        <w:t>см</w:t>
      </w:r>
      <w:r w:rsidR="00A630B2" w:rsidRPr="00427AF8">
        <w:rPr>
          <w:color w:val="auto"/>
          <w:sz w:val="28"/>
          <w:szCs w:val="28"/>
        </w:rPr>
        <w:t xml:space="preserve">. </w:t>
      </w:r>
      <w:r w:rsidR="00A630B2" w:rsidRPr="00427AF8">
        <w:rPr>
          <w:i/>
          <w:color w:val="auto"/>
          <w:sz w:val="28"/>
          <w:szCs w:val="28"/>
        </w:rPr>
        <w:t>Фонд оценочных средств</w:t>
      </w:r>
      <w:r w:rsidR="00A630B2" w:rsidRPr="00427AF8">
        <w:rPr>
          <w:color w:val="auto"/>
          <w:sz w:val="28"/>
          <w:szCs w:val="28"/>
        </w:rPr>
        <w:t>)</w:t>
      </w:r>
    </w:p>
    <w:p w14:paraId="44B8CF7E" w14:textId="77777777" w:rsidR="0077074A" w:rsidRPr="00427AF8" w:rsidRDefault="0077074A" w:rsidP="002647EF">
      <w:pPr>
        <w:keepNext/>
        <w:rPr>
          <w:color w:val="auto"/>
          <w:sz w:val="16"/>
          <w:szCs w:val="16"/>
        </w:rPr>
      </w:pPr>
    </w:p>
    <w:p w14:paraId="00FCFF1A" w14:textId="77777777" w:rsidR="0077074A" w:rsidRPr="00427AF8" w:rsidRDefault="0077074A" w:rsidP="002647EF">
      <w:pPr>
        <w:pStyle w:val="ad"/>
        <w:keepNext/>
        <w:keepLines/>
        <w:numPr>
          <w:ilvl w:val="1"/>
          <w:numId w:val="8"/>
        </w:numPr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>Рейтинговая система оценки знаний обучающихся по дисциплине (м</w:t>
      </w:r>
      <w:r w:rsidRPr="00427AF8">
        <w:rPr>
          <w:rFonts w:ascii="Times New Roman" w:hAnsi="Times New Roman" w:cs="Times New Roman"/>
          <w:color w:val="auto"/>
          <w:sz w:val="28"/>
        </w:rPr>
        <w:t>о</w:t>
      </w:r>
      <w:r w:rsidRPr="00427AF8">
        <w:rPr>
          <w:rFonts w:ascii="Times New Roman" w:hAnsi="Times New Roman" w:cs="Times New Roman"/>
          <w:color w:val="auto"/>
          <w:sz w:val="28"/>
        </w:rPr>
        <w:t>дулю</w:t>
      </w:r>
      <w:r w:rsidRPr="00427AF8">
        <w:rPr>
          <w:rFonts w:ascii="Times New Roman" w:hAnsi="Times New Roman" w:cs="Times New Roman"/>
          <w:i/>
          <w:color w:val="auto"/>
          <w:sz w:val="28"/>
        </w:rPr>
        <w:t>) (при необходимости).</w:t>
      </w:r>
    </w:p>
    <w:p w14:paraId="04D33242" w14:textId="77777777" w:rsidR="0077074A" w:rsidRDefault="0077074A" w:rsidP="002647EF">
      <w:pPr>
        <w:pStyle w:val="ad"/>
        <w:keepNext w:val="0"/>
        <w:keepLines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i/>
          <w:color w:val="auto"/>
          <w:sz w:val="28"/>
        </w:rPr>
        <w:t>Рейтинговая система не используется</w:t>
      </w:r>
    </w:p>
    <w:p w14:paraId="353BCF17" w14:textId="77777777" w:rsidR="000452E3" w:rsidRPr="00427AF8" w:rsidRDefault="000452E3" w:rsidP="002647EF">
      <w:pPr>
        <w:pStyle w:val="ad"/>
        <w:keepNext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</w:p>
    <w:p w14:paraId="528484C5" w14:textId="77777777" w:rsidR="000452E3" w:rsidRDefault="000452E3" w:rsidP="000452E3">
      <w:pPr>
        <w:pStyle w:val="Standard"/>
        <w:keepNext/>
        <w:keepLines/>
        <w:ind w:firstLine="0"/>
        <w:rPr>
          <w:sz w:val="28"/>
          <w:szCs w:val="28"/>
        </w:rPr>
      </w:pPr>
      <w:r>
        <w:rPr>
          <w:sz w:val="28"/>
        </w:rPr>
        <w:t xml:space="preserve">4.2. </w:t>
      </w:r>
      <w:r w:rsidRPr="000D6968">
        <w:rPr>
          <w:sz w:val="28"/>
        </w:rPr>
        <w:t>Формы текущего контроля успеваемости по дисциплине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5D2D95C0" w14:textId="77777777" w:rsidR="000452E3" w:rsidRPr="00F02355" w:rsidRDefault="000452E3" w:rsidP="00842FBF">
      <w:pPr>
        <w:keepNext/>
        <w:widowControl/>
        <w:tabs>
          <w:tab w:val="left" w:pos="709"/>
        </w:tabs>
        <w:suppressAutoHyphens w:val="0"/>
        <w:spacing w:line="0" w:lineRule="atLeast"/>
        <w:ind w:left="709"/>
        <w:rPr>
          <w:rFonts w:ascii="Times New Roman" w:hAnsi="Times New Roman" w:cs="Times New Roman"/>
          <w:color w:val="auto"/>
          <w:sz w:val="28"/>
          <w:szCs w:val="28"/>
        </w:rPr>
      </w:pP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915577E" w14:textId="77777777">
        <w:trPr>
          <w:trHeight w:val="276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F21C43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764" w:type="dxa"/>
            <w:vMerge/>
            <w:shd w:val="clear" w:color="auto" w:fill="auto"/>
            <w:vAlign w:val="center"/>
          </w:tcPr>
          <w:p w14:paraId="6D70526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1.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Оськин Д. А., Левченко Н. Г., Седова Н. А. Интеллектуальный анализ данных. Санкт-Петербург: Лань, 2026. 228 с. — Текст: электронный. ЭБС «Лань». URL: https://e.lanbook.com/book/522509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EDC9F2F" w14:textId="77777777">
        <w:trPr>
          <w:trHeight w:val="276"/>
          <w:tblHeader/>
        </w:trPr>
        <w:tc>
          <w:tcPr>
            <w:tcW w:w="459" w:type="dxa"/>
            <w:vMerge/>
            <w:shd w:val="clear" w:color="auto" w:fill="auto"/>
            <w:vAlign w:val="center"/>
          </w:tcPr>
          <w:p w14:paraId="7FD6830A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930" w:type="dxa"/>
            <w:vMerge/>
            <w:shd w:val="clear" w:color="auto" w:fill="auto"/>
            <w:vAlign w:val="center"/>
          </w:tcPr>
          <w:p w14:paraId="636E05A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 w14:paraId="40D37FAD" w14:textId="77777777" w:rsidR="00842FBF" w:rsidRPr="00427AF8" w:rsidRDefault="00842FBF" w:rsidP="00842FB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1.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Митяков Е. С., Шмелева А. Г., Ладынин А. И. Искусственный интеллект и машинное обучение. Санкт-Петербург: Лань, 2026. 252 с. — Текст: электронный. ЭБС «Лань». URL: https://e.lanbook.com/book/507451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3. Научная библиотека РГУ имени С. А. Есенина: сайт. – URL: </w:t>
      </w:r>
      <w:hyperlink r:id="rId13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https://library.rsu.edu.ru/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bookmarkStart w:id="4" w:name="_Hlk171706115"/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bookmarkEnd w:id="4"/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6 ЮРАЙТ: образовательная  платформа : сайт. – Москва, 2013.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6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https://www.biblio-online.ru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исследование структуры многомерных данных, поиск закономерностей, устойчивость кластеров и обнаружение аномалий, графовый анализ и рекомендательные модели.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pandas, scikit-learn, NetworkX,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