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CHAPTER 2. TEST PLAN</w:t>
      </w:r>
    </w:p>
    <w:p>
      <w:pPr>
        <w:pStyle w:val="Heading2"/>
      </w:pPr>
      <w:r>
        <w:rPr>
          <w:b/>
        </w:rPr>
        <w:t>2.1. Test Scope</w:t>
      </w:r>
    </w:p>
    <w:p>
      <w:r>
        <w:rPr>
          <w:rFonts w:ascii="Times New Roman" w:hAnsi="Times New Roman" w:eastAsia="Times New Roman"/>
          <w:sz w:val="24"/>
        </w:rPr>
        <w:t>This chapter defines the boundaries of the testing effort for the Online Sales Management System. The scope was determined based on business impact, functional importance, visible user workflows, and source-informed risk analysis. Priority was given to areas where failures could directly affect access control, transaction correctness, inventory consistency, bulk data handling, and managerial visibility.</w:t>
      </w:r>
    </w:p>
    <w:p>
      <w:r>
        <w:rPr>
          <w:rFonts w:ascii="Times New Roman" w:hAnsi="Times New Roman" w:eastAsia="Times New Roman"/>
          <w:sz w:val="24"/>
        </w:rPr>
        <w:t>The final scope includes both user-facing and backend-accessible components. UI testing was prioritized for the administrative interface and the public product catalog, while API testing was used for the exposed service-health and catalog endpoints. The scope was designed to support structured manual execution, selective automation, and strong traceability between scenarios, test cases, results, evidence, and defect records.</w:t>
      </w:r>
    </w:p>
    <w:p>
      <w:pPr>
        <w:pStyle w:val="Heading3"/>
      </w:pPr>
      <w:r>
        <w:rPr>
          <w:b/>
        </w:rPr>
        <w:t>2.1.1. In-Scope</w:t>
      </w:r>
    </w:p>
    <w:p>
      <w:r>
        <w:rPr>
          <w:rFonts w:ascii="Times New Roman" w:hAnsi="Times New Roman" w:eastAsia="Times New Roman"/>
          <w:sz w:val="24"/>
        </w:rPr>
        <w:t>The following items were included in the official testing scope of this submission:</w:t>
      </w:r>
    </w:p>
    <w:p>
      <w:pPr>
        <w:ind w:left="357" w:hanging="170"/>
      </w:pPr>
      <w:r>
        <w:rPr>
          <w:rFonts w:ascii="Times New Roman" w:hAnsi="Times New Roman" w:eastAsia="Times New Roman"/>
          <w:sz w:val="24"/>
        </w:rPr>
        <w:t>• authentication and login validation</w:t>
      </w:r>
    </w:p>
    <w:p>
      <w:pPr>
        <w:ind w:left="357" w:hanging="170"/>
      </w:pPr>
      <w:r>
        <w:rPr>
          <w:rFonts w:ascii="Times New Roman" w:hAnsi="Times New Roman" w:eastAsia="Times New Roman"/>
          <w:sz w:val="24"/>
        </w:rPr>
        <w:t>• role-based access control and permission boundaries</w:t>
      </w:r>
    </w:p>
    <w:p>
      <w:pPr>
        <w:ind w:left="357" w:hanging="170"/>
      </w:pPr>
      <w:r>
        <w:rPr>
          <w:rFonts w:ascii="Times New Roman" w:hAnsi="Times New Roman" w:eastAsia="Times New Roman"/>
          <w:sz w:val="24"/>
        </w:rPr>
        <w:t>• admin user and admin group management</w:t>
      </w:r>
    </w:p>
    <w:p>
      <w:pPr>
        <w:ind w:left="357" w:hanging="170"/>
      </w:pPr>
      <w:r>
        <w:rPr>
          <w:rFonts w:ascii="Times New Roman" w:hAnsi="Times New Roman" w:eastAsia="Times New Roman"/>
          <w:sz w:val="24"/>
        </w:rPr>
        <w:t>• customer and supplier master-data workflows</w:t>
      </w:r>
    </w:p>
    <w:p>
      <w:pPr>
        <w:ind w:left="357" w:hanging="170"/>
      </w:pPr>
      <w:r>
        <w:rPr>
          <w:rFonts w:ascii="Times New Roman" w:hAnsi="Times New Roman" w:eastAsia="Times New Roman"/>
          <w:sz w:val="24"/>
        </w:rPr>
        <w:t>• product creation, update validation, duplicate checking, and product-state management</w:t>
      </w:r>
    </w:p>
    <w:p>
      <w:pPr>
        <w:ind w:left="357" w:hanging="170"/>
      </w:pPr>
      <w:r>
        <w:rPr>
          <w:rFonts w:ascii="Times New Roman" w:hAnsi="Times New Roman" w:eastAsia="Times New Roman"/>
          <w:sz w:val="24"/>
        </w:rPr>
        <w:t>• product import validation, preview behavior, and import confirmation flow</w:t>
      </w:r>
    </w:p>
    <w:p>
      <w:pPr>
        <w:ind w:left="357" w:hanging="170"/>
      </w:pPr>
      <w:r>
        <w:rPr>
          <w:rFonts w:ascii="Times New Roman" w:hAnsi="Times New Roman" w:eastAsia="Times New Roman"/>
          <w:sz w:val="24"/>
        </w:rPr>
        <w:t>• purchase creation, receiving, cancellation, and related validation behavior</w:t>
      </w:r>
    </w:p>
    <w:p>
      <w:pPr>
        <w:ind w:left="357" w:hanging="170"/>
      </w:pPr>
      <w:r>
        <w:rPr>
          <w:rFonts w:ascii="Times New Roman" w:hAnsi="Times New Roman" w:eastAsia="Times New Roman"/>
          <w:sz w:val="24"/>
        </w:rPr>
        <w:t>• invoice creation, payment, cancellation, and inventory-related business behavior</w:t>
      </w:r>
    </w:p>
    <w:p>
      <w:pPr>
        <w:ind w:left="357" w:hanging="170"/>
      </w:pPr>
      <w:r>
        <w:rPr>
          <w:rFonts w:ascii="Times New Roman" w:hAnsi="Times New Roman" w:eastAsia="Times New Roman"/>
          <w:sz w:val="24"/>
        </w:rPr>
        <w:t>• stock visibility, low-stock views, and stock-movement filtering</w:t>
      </w:r>
    </w:p>
    <w:p>
      <w:pPr>
        <w:ind w:left="357" w:hanging="170"/>
      </w:pPr>
      <w:r>
        <w:rPr>
          <w:rFonts w:ascii="Times New Roman" w:hAnsi="Times New Roman" w:eastAsia="Times New Roman"/>
          <w:sz w:val="24"/>
        </w:rPr>
        <w:t>• report filtering and export-related source verification</w:t>
      </w:r>
    </w:p>
    <w:p>
      <w:pPr>
        <w:ind w:left="357" w:hanging="170"/>
      </w:pPr>
      <w:r>
        <w:rPr>
          <w:rFonts w:ascii="Times New Roman" w:hAnsi="Times New Roman" w:eastAsia="Times New Roman"/>
          <w:sz w:val="24"/>
        </w:rPr>
        <w:t>• public product catalog search, filtering, sorting, and detail pages</w:t>
      </w:r>
    </w:p>
    <w:p>
      <w:pPr>
        <w:ind w:left="357" w:hanging="170"/>
      </w:pPr>
      <w:r>
        <w:rPr>
          <w:rFonts w:ascii="Times New Roman" w:hAnsi="Times New Roman" w:eastAsia="Times New Roman"/>
          <w:sz w:val="24"/>
        </w:rPr>
        <w:t>• API verification for health and public catalog endpoints</w:t>
      </w:r>
    </w:p>
    <w:p>
      <w:pPr>
        <w:ind w:left="357" w:hanging="170"/>
      </w:pPr>
      <w:r>
        <w:rPr>
          <w:rFonts w:ascii="Times New Roman" w:hAnsi="Times New Roman" w:eastAsia="Times New Roman"/>
          <w:sz w:val="24"/>
        </w:rPr>
        <w:t>• execution evidence collection, defect logging, metrics generation, and traceability mapping</w:t>
      </w:r>
    </w:p>
    <w:p>
      <w:pPr>
        <w:jc w:val="center"/>
      </w:pPr>
      <w:r>
        <w:rPr>
          <w:rFonts w:ascii="Times New Roman" w:hAnsi="Times New Roman" w:eastAsia="Times New Roman"/>
          <w:i/>
          <w:sz w:val="22"/>
        </w:rPr>
        <w:t>Table 2.1. In-scope test areas</w:t>
      </w:r>
    </w:p>
    <w:tbl>
      <w:tblPr>
        <w:tblStyle w:val="TableGrid"/>
        <w:tblW w:type="auto" w:w="0"/>
        <w:jc w:val="center"/>
        <w:tblLook w:firstColumn="1" w:firstRow="1" w:lastColumn="0" w:lastRow="0" w:noHBand="0" w:noVBand="1" w:val="04A0"/>
      </w:tblPr>
      <w:tblGrid>
        <w:gridCol w:w="4680"/>
        <w:gridCol w:w="4680"/>
      </w:tblGrid>
      <w:tr>
        <w:tc>
          <w:tcPr>
            <w:tcW w:type="dxa" w:w="2721"/>
            <w:shd w:fill="D9EAF7"/>
            <w:vAlign w:val="center"/>
          </w:tcPr>
          <w:p>
            <w:pPr>
              <w:spacing w:after="0" w:line="276" w:lineRule="auto"/>
            </w:pPr>
            <w:r>
              <w:rPr>
                <w:rFonts w:ascii="Times New Roman" w:hAnsi="Times New Roman" w:eastAsia="Times New Roman"/>
                <w:sz w:val="22"/>
              </w:rPr>
              <w:t>Scope item</w:t>
            </w:r>
          </w:p>
        </w:tc>
        <w:tc>
          <w:tcPr>
            <w:tcW w:type="dxa" w:w="6350"/>
            <w:shd w:fill="D9EAF7"/>
            <w:vAlign w:val="center"/>
          </w:tcPr>
          <w:p>
            <w:pPr>
              <w:spacing w:after="0" w:line="276" w:lineRule="auto"/>
            </w:pPr>
            <w:r>
              <w:rPr>
                <w:rFonts w:ascii="Times New Roman" w:hAnsi="Times New Roman" w:eastAsia="Times New Roman"/>
                <w:sz w:val="22"/>
              </w:rPr>
              <w:t>Description</w:t>
            </w:r>
          </w:p>
        </w:tc>
      </w:tr>
      <w:tr>
        <w:tc>
          <w:tcPr>
            <w:tcW w:type="dxa" w:w="2721"/>
            <w:vAlign w:val="center"/>
          </w:tcPr>
          <w:p>
            <w:pPr>
              <w:spacing w:after="0" w:line="276" w:lineRule="auto"/>
            </w:pPr>
            <w:r>
              <w:rPr>
                <w:rFonts w:ascii="Times New Roman" w:hAnsi="Times New Roman" w:eastAsia="Times New Roman"/>
                <w:sz w:val="22"/>
              </w:rPr>
              <w:t>Admin UI</w:t>
            </w:r>
          </w:p>
        </w:tc>
        <w:tc>
          <w:tcPr>
            <w:tcW w:type="dxa" w:w="6350"/>
            <w:vAlign w:val="center"/>
          </w:tcPr>
          <w:p>
            <w:pPr>
              <w:spacing w:after="0" w:line="276" w:lineRule="auto"/>
            </w:pPr>
            <w:r>
              <w:rPr>
                <w:rFonts w:ascii="Times New Roman" w:hAnsi="Times New Roman" w:eastAsia="Times New Roman"/>
                <w:sz w:val="22"/>
              </w:rPr>
              <w:t>Authentication, permissions, master data, purchases, invoices, stock, reports</w:t>
            </w:r>
          </w:p>
        </w:tc>
      </w:tr>
      <w:tr>
        <w:tc>
          <w:tcPr>
            <w:tcW w:type="dxa" w:w="2721"/>
            <w:vAlign w:val="center"/>
          </w:tcPr>
          <w:p>
            <w:pPr>
              <w:spacing w:after="0" w:line="276" w:lineRule="auto"/>
            </w:pPr>
            <w:r>
              <w:rPr>
                <w:rFonts w:ascii="Times New Roman" w:hAnsi="Times New Roman" w:eastAsia="Times New Roman"/>
                <w:sz w:val="22"/>
              </w:rPr>
              <w:t>Public UI</w:t>
            </w:r>
          </w:p>
        </w:tc>
        <w:tc>
          <w:tcPr>
            <w:tcW w:type="dxa" w:w="6350"/>
            <w:vAlign w:val="center"/>
          </w:tcPr>
          <w:p>
            <w:pPr>
              <w:spacing w:after="0" w:line="276" w:lineRule="auto"/>
            </w:pPr>
            <w:r>
              <w:rPr>
                <w:rFonts w:ascii="Times New Roman" w:hAnsi="Times New Roman" w:eastAsia="Times New Roman"/>
                <w:sz w:val="22"/>
              </w:rPr>
              <w:t>Product search, filtering, sorting, and detail pages</w:t>
            </w:r>
          </w:p>
        </w:tc>
      </w:tr>
      <w:tr>
        <w:tc>
          <w:tcPr>
            <w:tcW w:type="dxa" w:w="2721"/>
            <w:vAlign w:val="center"/>
          </w:tcPr>
          <w:p>
            <w:pPr>
              <w:spacing w:after="0" w:line="276" w:lineRule="auto"/>
            </w:pPr>
            <w:r>
              <w:rPr>
                <w:rFonts w:ascii="Times New Roman" w:hAnsi="Times New Roman" w:eastAsia="Times New Roman"/>
                <w:sz w:val="22"/>
              </w:rPr>
              <w:t>API surface</w:t>
            </w:r>
          </w:p>
        </w:tc>
        <w:tc>
          <w:tcPr>
            <w:tcW w:type="dxa" w:w="6350"/>
            <w:vAlign w:val="center"/>
          </w:tcPr>
          <w:p>
            <w:pPr>
              <w:spacing w:after="0" w:line="276" w:lineRule="auto"/>
            </w:pPr>
            <w:r>
              <w:rPr>
                <w:rFonts w:ascii="Times New Roman" w:hAnsi="Times New Roman" w:eastAsia="Times New Roman"/>
                <w:sz w:val="22"/>
              </w:rPr>
              <w:t>Health endpoint and public catalog endpoints</w:t>
            </w:r>
          </w:p>
        </w:tc>
      </w:tr>
      <w:tr>
        <w:tc>
          <w:tcPr>
            <w:tcW w:type="dxa" w:w="2721"/>
            <w:vAlign w:val="center"/>
          </w:tcPr>
          <w:p>
            <w:pPr>
              <w:spacing w:after="0" w:line="276" w:lineRule="auto"/>
            </w:pPr>
            <w:r>
              <w:rPr>
                <w:rFonts w:ascii="Times New Roman" w:hAnsi="Times New Roman" w:eastAsia="Times New Roman"/>
                <w:sz w:val="22"/>
              </w:rPr>
              <w:t>Business validation</w:t>
            </w:r>
          </w:p>
        </w:tc>
        <w:tc>
          <w:tcPr>
            <w:tcW w:type="dxa" w:w="6350"/>
            <w:vAlign w:val="center"/>
          </w:tcPr>
          <w:p>
            <w:pPr>
              <w:spacing w:after="0" w:line="276" w:lineRule="auto"/>
            </w:pPr>
            <w:r>
              <w:rPr>
                <w:rFonts w:ascii="Times New Roman" w:hAnsi="Times New Roman" w:eastAsia="Times New Roman"/>
                <w:sz w:val="22"/>
              </w:rPr>
              <w:t>Input validation, duplicate handling, role restrictions, inventory-sensitive rules</w:t>
            </w:r>
          </w:p>
        </w:tc>
      </w:tr>
      <w:tr>
        <w:tc>
          <w:tcPr>
            <w:tcW w:type="dxa" w:w="2721"/>
            <w:vAlign w:val="center"/>
          </w:tcPr>
          <w:p>
            <w:pPr>
              <w:spacing w:after="0" w:line="276" w:lineRule="auto"/>
            </w:pPr>
            <w:r>
              <w:rPr>
                <w:rFonts w:ascii="Times New Roman" w:hAnsi="Times New Roman" w:eastAsia="Times New Roman"/>
                <w:sz w:val="22"/>
              </w:rPr>
              <w:t>Defect workflow</w:t>
            </w:r>
          </w:p>
        </w:tc>
        <w:tc>
          <w:tcPr>
            <w:tcW w:type="dxa" w:w="6350"/>
            <w:vAlign w:val="center"/>
          </w:tcPr>
          <w:p>
            <w:pPr>
              <w:spacing w:after="0" w:line="276" w:lineRule="auto"/>
            </w:pPr>
            <w:r>
              <w:rPr>
                <w:rFonts w:ascii="Times New Roman" w:hAnsi="Times New Roman" w:eastAsia="Times New Roman"/>
                <w:sz w:val="22"/>
              </w:rPr>
              <w:t>Execution evidence, GitHub Issues, defect log, metrics, and result traceability</w:t>
            </w:r>
          </w:p>
        </w:tc>
      </w:tr>
      <w:tr>
        <w:tc>
          <w:tcPr>
            <w:tcW w:type="dxa" w:w="2721"/>
            <w:vAlign w:val="center"/>
          </w:tcPr>
          <w:p>
            <w:pPr>
              <w:spacing w:after="0" w:line="276" w:lineRule="auto"/>
            </w:pPr>
            <w:r>
              <w:rPr>
                <w:rFonts w:ascii="Times New Roman" w:hAnsi="Times New Roman" w:eastAsia="Times New Roman"/>
                <w:sz w:val="22"/>
              </w:rPr>
              <w:t>Automation support</w:t>
            </w:r>
          </w:p>
        </w:tc>
        <w:tc>
          <w:tcPr>
            <w:tcW w:type="dxa" w:w="6350"/>
            <w:vAlign w:val="center"/>
          </w:tcPr>
          <w:p>
            <w:pPr>
              <w:spacing w:after="0" w:line="276" w:lineRule="auto"/>
            </w:pPr>
            <w:r>
              <w:rPr>
                <w:rFonts w:ascii="Times New Roman" w:hAnsi="Times New Roman" w:eastAsia="Times New Roman"/>
                <w:sz w:val="22"/>
              </w:rPr>
              <w:t>UI and API automation for selected high-value flows</w:t>
            </w:r>
          </w:p>
        </w:tc>
      </w:tr>
    </w:tbl>
    <w:p/>
    <w:p>
      <w:pPr>
        <w:pStyle w:val="Heading3"/>
      </w:pPr>
      <w:r>
        <w:rPr>
          <w:b/>
        </w:rPr>
        <w:t>2.1.2. Out-of-Scope</w:t>
      </w:r>
    </w:p>
    <w:p>
      <w:r>
        <w:rPr>
          <w:rFonts w:ascii="Times New Roman" w:hAnsi="Times New Roman" w:eastAsia="Times New Roman"/>
          <w:sz w:val="24"/>
        </w:rPr>
        <w:t>The following items were excluded from the scope of this submission due to time, environment, or project-boundary limitations:</w:t>
      </w:r>
    </w:p>
    <w:p>
      <w:pPr>
        <w:ind w:left="357" w:hanging="170"/>
      </w:pPr>
      <w:r>
        <w:rPr>
          <w:rFonts w:ascii="Times New Roman" w:hAnsi="Times New Roman" w:eastAsia="Times New Roman"/>
          <w:sz w:val="24"/>
        </w:rPr>
        <w:t>• performance and load testing</w:t>
      </w:r>
    </w:p>
    <w:p>
      <w:pPr>
        <w:ind w:left="357" w:hanging="170"/>
      </w:pPr>
      <w:r>
        <w:rPr>
          <w:rFonts w:ascii="Times New Roman" w:hAnsi="Times New Roman" w:eastAsia="Times New Roman"/>
          <w:sz w:val="24"/>
        </w:rPr>
        <w:t>• penetration testing and deep security assessment</w:t>
      </w:r>
    </w:p>
    <w:p>
      <w:pPr>
        <w:ind w:left="357" w:hanging="170"/>
      </w:pPr>
      <w:r>
        <w:rPr>
          <w:rFonts w:ascii="Times New Roman" w:hAnsi="Times New Roman" w:eastAsia="Times New Roman"/>
          <w:sz w:val="24"/>
        </w:rPr>
        <w:t>• mobile application testing</w:t>
      </w:r>
    </w:p>
    <w:p>
      <w:pPr>
        <w:ind w:left="357" w:hanging="170"/>
      </w:pPr>
      <w:r>
        <w:rPr>
          <w:rFonts w:ascii="Times New Roman" w:hAnsi="Times New Roman" w:eastAsia="Times New Roman"/>
          <w:sz w:val="24"/>
        </w:rPr>
        <w:t>• full responsive certification across multiple mobile and tablet devices</w:t>
      </w:r>
    </w:p>
    <w:p>
      <w:pPr>
        <w:ind w:left="357" w:hanging="170"/>
      </w:pPr>
      <w:r>
        <w:rPr>
          <w:rFonts w:ascii="Times New Roman" w:hAnsi="Times New Roman" w:eastAsia="Times New Roman"/>
          <w:sz w:val="24"/>
        </w:rPr>
        <w:t>• accessibility compliance audit</w:t>
      </w:r>
    </w:p>
    <w:p>
      <w:pPr>
        <w:ind w:left="357" w:hanging="170"/>
      </w:pPr>
      <w:r>
        <w:rPr>
          <w:rFonts w:ascii="Times New Roman" w:hAnsi="Times New Roman" w:eastAsia="Times New Roman"/>
          <w:sz w:val="24"/>
        </w:rPr>
        <w:t>• disaster recovery, backup, and failover testing</w:t>
      </w:r>
    </w:p>
    <w:p>
      <w:pPr>
        <w:ind w:left="357" w:hanging="170"/>
      </w:pPr>
      <w:r>
        <w:rPr>
          <w:rFonts w:ascii="Times New Roman" w:hAnsi="Times New Roman" w:eastAsia="Times New Roman"/>
          <w:sz w:val="24"/>
        </w:rPr>
        <w:t>• browser compatibility beyond the verified baseline and basic smoke validation</w:t>
      </w:r>
    </w:p>
    <w:p>
      <w:pPr>
        <w:ind w:left="357" w:hanging="170"/>
      </w:pPr>
      <w:r>
        <w:rPr>
          <w:rFonts w:ascii="Times New Roman" w:hAnsi="Times New Roman" w:eastAsia="Times New Roman"/>
          <w:sz w:val="24"/>
        </w:rPr>
        <w:t>• undocumented write APIs outside the exposed catalog and health endpoints</w:t>
      </w:r>
    </w:p>
    <w:p>
      <w:pPr>
        <w:ind w:left="357" w:hanging="170"/>
      </w:pPr>
      <w:r>
        <w:rPr>
          <w:rFonts w:ascii="Times New Roman" w:hAnsi="Times New Roman" w:eastAsia="Times New Roman"/>
          <w:sz w:val="24"/>
        </w:rPr>
        <w:t>• production deployment validation and cloud-infrastructure testing</w:t>
      </w:r>
    </w:p>
    <w:p>
      <w:r>
        <w:rPr>
          <w:rFonts w:ascii="Times New Roman" w:hAnsi="Times New Roman" w:eastAsia="Times New Roman"/>
          <w:sz w:val="24"/>
        </w:rPr>
        <w:t>These exclusions do not reduce the validity of the current testing scope. Instead, they clarify that the submission is focused on functional correctness, execution evidence, and business-rule verification rather than non-functional certification.</w:t>
      </w:r>
    </w:p>
    <w:p>
      <w:pPr>
        <w:jc w:val="center"/>
      </w:pPr>
      <w:r>
        <w:rPr>
          <w:rFonts w:ascii="Times New Roman" w:hAnsi="Times New Roman" w:eastAsia="Times New Roman"/>
          <w:i/>
          <w:sz w:val="22"/>
        </w:rPr>
        <w:t>Table 2.2. Out-of-scope items</w:t>
      </w:r>
    </w:p>
    <w:tbl>
      <w:tblPr>
        <w:tblStyle w:val="TableGrid"/>
        <w:tblW w:type="auto" w:w="0"/>
        <w:jc w:val="center"/>
        <w:tblLook w:firstColumn="1" w:firstRow="1" w:lastColumn="0" w:lastRow="0" w:noHBand="0" w:noVBand="1" w:val="04A0"/>
      </w:tblPr>
      <w:tblGrid>
        <w:gridCol w:w="4680"/>
        <w:gridCol w:w="4680"/>
      </w:tblGrid>
      <w:tr>
        <w:tc>
          <w:tcPr>
            <w:tcW w:type="dxa" w:w="3061"/>
            <w:shd w:fill="D9EAF7"/>
            <w:vAlign w:val="center"/>
          </w:tcPr>
          <w:p>
            <w:pPr>
              <w:spacing w:after="0" w:line="276" w:lineRule="auto"/>
            </w:pPr>
            <w:r>
              <w:rPr>
                <w:rFonts w:ascii="Times New Roman" w:hAnsi="Times New Roman" w:eastAsia="Times New Roman"/>
                <w:sz w:val="22"/>
              </w:rPr>
              <w:t>Excluded item</w:t>
            </w:r>
          </w:p>
        </w:tc>
        <w:tc>
          <w:tcPr>
            <w:tcW w:type="dxa" w:w="6009"/>
            <w:shd w:fill="D9EAF7"/>
            <w:vAlign w:val="center"/>
          </w:tcPr>
          <w:p>
            <w:pPr>
              <w:spacing w:after="0" w:line="276" w:lineRule="auto"/>
            </w:pPr>
            <w:r>
              <w:rPr>
                <w:rFonts w:ascii="Times New Roman" w:hAnsi="Times New Roman" w:eastAsia="Times New Roman"/>
                <w:sz w:val="22"/>
              </w:rPr>
              <w:t>Reason for exclusion</w:t>
            </w:r>
          </w:p>
        </w:tc>
      </w:tr>
      <w:tr>
        <w:tc>
          <w:tcPr>
            <w:tcW w:type="dxa" w:w="3061"/>
            <w:vAlign w:val="center"/>
          </w:tcPr>
          <w:p>
            <w:pPr>
              <w:spacing w:after="0" w:line="276" w:lineRule="auto"/>
            </w:pPr>
            <w:r>
              <w:rPr>
                <w:rFonts w:ascii="Times New Roman" w:hAnsi="Times New Roman" w:eastAsia="Times New Roman"/>
                <w:sz w:val="22"/>
              </w:rPr>
              <w:t>Performance / load testing</w:t>
            </w:r>
          </w:p>
        </w:tc>
        <w:tc>
          <w:tcPr>
            <w:tcW w:type="dxa" w:w="6009"/>
            <w:vAlign w:val="center"/>
          </w:tcPr>
          <w:p>
            <w:pPr>
              <w:spacing w:after="0" w:line="276" w:lineRule="auto"/>
            </w:pPr>
            <w:r>
              <w:rPr>
                <w:rFonts w:ascii="Times New Roman" w:hAnsi="Times New Roman" w:eastAsia="Times New Roman"/>
                <w:sz w:val="22"/>
              </w:rPr>
              <w:t>Not required by the course scope and no dedicated load environment was provided</w:t>
            </w:r>
          </w:p>
        </w:tc>
      </w:tr>
      <w:tr>
        <w:tc>
          <w:tcPr>
            <w:tcW w:type="dxa" w:w="3061"/>
            <w:vAlign w:val="center"/>
          </w:tcPr>
          <w:p>
            <w:pPr>
              <w:spacing w:after="0" w:line="276" w:lineRule="auto"/>
            </w:pPr>
            <w:r>
              <w:rPr>
                <w:rFonts w:ascii="Times New Roman" w:hAnsi="Times New Roman" w:eastAsia="Times New Roman"/>
                <w:sz w:val="22"/>
              </w:rPr>
              <w:t>Deep security testing</w:t>
            </w:r>
          </w:p>
        </w:tc>
        <w:tc>
          <w:tcPr>
            <w:tcW w:type="dxa" w:w="6009"/>
            <w:vAlign w:val="center"/>
          </w:tcPr>
          <w:p>
            <w:pPr>
              <w:spacing w:after="0" w:line="276" w:lineRule="auto"/>
            </w:pPr>
            <w:r>
              <w:rPr>
                <w:rFonts w:ascii="Times New Roman" w:hAnsi="Times New Roman" w:eastAsia="Times New Roman"/>
                <w:sz w:val="22"/>
              </w:rPr>
              <w:t>Requires specialized tools and a different testing objective</w:t>
            </w:r>
          </w:p>
        </w:tc>
      </w:tr>
      <w:tr>
        <w:tc>
          <w:tcPr>
            <w:tcW w:type="dxa" w:w="3061"/>
            <w:vAlign w:val="center"/>
          </w:tcPr>
          <w:p>
            <w:pPr>
              <w:spacing w:after="0" w:line="276" w:lineRule="auto"/>
            </w:pPr>
            <w:r>
              <w:rPr>
                <w:rFonts w:ascii="Times New Roman" w:hAnsi="Times New Roman" w:eastAsia="Times New Roman"/>
                <w:sz w:val="22"/>
              </w:rPr>
              <w:t>Mobile / device matrix</w:t>
            </w:r>
          </w:p>
        </w:tc>
        <w:tc>
          <w:tcPr>
            <w:tcW w:type="dxa" w:w="6009"/>
            <w:vAlign w:val="center"/>
          </w:tcPr>
          <w:p>
            <w:pPr>
              <w:spacing w:after="0" w:line="276" w:lineRule="auto"/>
            </w:pPr>
            <w:r>
              <w:rPr>
                <w:rFonts w:ascii="Times New Roman" w:hAnsi="Times New Roman" w:eastAsia="Times New Roman"/>
                <w:sz w:val="22"/>
              </w:rPr>
              <w:t>Not part of the required deliverables for this final submission</w:t>
            </w:r>
          </w:p>
        </w:tc>
      </w:tr>
      <w:tr>
        <w:tc>
          <w:tcPr>
            <w:tcW w:type="dxa" w:w="3061"/>
            <w:vAlign w:val="center"/>
          </w:tcPr>
          <w:p>
            <w:pPr>
              <w:spacing w:after="0" w:line="276" w:lineRule="auto"/>
            </w:pPr>
            <w:r>
              <w:rPr>
                <w:rFonts w:ascii="Times New Roman" w:hAnsi="Times New Roman" w:eastAsia="Times New Roman"/>
                <w:sz w:val="22"/>
              </w:rPr>
              <w:t>Full cross-browser certification</w:t>
            </w:r>
          </w:p>
        </w:tc>
        <w:tc>
          <w:tcPr>
            <w:tcW w:type="dxa" w:w="6009"/>
            <w:vAlign w:val="center"/>
          </w:tcPr>
          <w:p>
            <w:pPr>
              <w:spacing w:after="0" w:line="276" w:lineRule="auto"/>
            </w:pPr>
            <w:r>
              <w:rPr>
                <w:rFonts w:ascii="Times New Roman" w:hAnsi="Times New Roman" w:eastAsia="Times New Roman"/>
                <w:sz w:val="22"/>
              </w:rPr>
              <w:t>Only basic browser verification was feasible within the available environment</w:t>
            </w:r>
          </w:p>
        </w:tc>
      </w:tr>
      <w:tr>
        <w:tc>
          <w:tcPr>
            <w:tcW w:type="dxa" w:w="3061"/>
            <w:vAlign w:val="center"/>
          </w:tcPr>
          <w:p>
            <w:pPr>
              <w:spacing w:after="0" w:line="276" w:lineRule="auto"/>
            </w:pPr>
            <w:r>
              <w:rPr>
                <w:rFonts w:ascii="Times New Roman" w:hAnsi="Times New Roman" w:eastAsia="Times New Roman"/>
                <w:sz w:val="22"/>
              </w:rPr>
              <w:t>Infrastructure / deployment testing</w:t>
            </w:r>
          </w:p>
        </w:tc>
        <w:tc>
          <w:tcPr>
            <w:tcW w:type="dxa" w:w="6009"/>
            <w:vAlign w:val="center"/>
          </w:tcPr>
          <w:p>
            <w:pPr>
              <w:spacing w:after="0" w:line="276" w:lineRule="auto"/>
            </w:pPr>
            <w:r>
              <w:rPr>
                <w:rFonts w:ascii="Times New Roman" w:hAnsi="Times New Roman" w:eastAsia="Times New Roman"/>
                <w:sz w:val="22"/>
              </w:rPr>
              <w:t>Project was executed in a local testing environment, not a production-like deployment target</w:t>
            </w:r>
          </w:p>
        </w:tc>
      </w:tr>
    </w:tbl>
    <w:p/>
    <w:p>
      <w:pPr>
        <w:pStyle w:val="Heading2"/>
      </w:pPr>
      <w:r>
        <w:rPr>
          <w:b/>
        </w:rPr>
        <w:t>2.2. Test Strategy &amp; Approach</w:t>
      </w:r>
    </w:p>
    <w:p>
      <w:r>
        <w:rPr>
          <w:rFonts w:ascii="Times New Roman" w:hAnsi="Times New Roman" w:eastAsia="Times New Roman"/>
          <w:sz w:val="24"/>
        </w:rPr>
        <w:t>The testing strategy for this project was designed to balance breadth, realism, and evidence quality. Because the system includes both interactive business workflows and a small API surface, the team applied a mixed strategy consisting of manual execution, API execution, and basic automation. This combination made it possible to cover visible user behavior, backend-accessible responses, and repeatable high-value flows without overstating the maturity of the automation layer.</w:t>
      </w:r>
    </w:p>
    <w:p>
      <w:r>
        <w:rPr>
          <w:rFonts w:ascii="Times New Roman" w:hAnsi="Times New Roman" w:eastAsia="Times New Roman"/>
          <w:sz w:val="24"/>
        </w:rPr>
        <w:t>The strategy was primarily risk-based. Business-critical workflows such as authentication, permission boundaries, purchases, invoices, stock-sensitive operations, and product import were prioritized because defects in these areas could lead to data inconsistency, incorrect transaction behavior, or operational failures. Lower-risk areas such as cosmetic formatting and deep non-functional properties were not prioritized in the same way.</w:t>
      </w:r>
    </w:p>
    <w:p>
      <w:pPr>
        <w:pStyle w:val="Heading3"/>
      </w:pPr>
      <w:r>
        <w:rPr>
          <w:b/>
        </w:rPr>
        <w:t>2.2.1. Manual testing approach</w:t>
      </w:r>
    </w:p>
    <w:p>
      <w:r>
        <w:rPr>
          <w:rFonts w:ascii="Times New Roman" w:hAnsi="Times New Roman" w:eastAsia="Times New Roman"/>
          <w:sz w:val="24"/>
        </w:rPr>
        <w:t>Manual testing was the primary execution method for the submission because it provides the broadest coverage for visible business behavior, validation feedback, access-control behavior, workflow branching, and exception handling. It was especially important for modules where human observation is necessary to verify form behavior, redirects, inline validation, data persistence, and functional correctness across multiple screens.</w:t>
      </w:r>
    </w:p>
    <w:p>
      <w:r>
        <w:rPr>
          <w:rFonts w:ascii="Times New Roman" w:hAnsi="Times New Roman" w:eastAsia="Times New Roman"/>
          <w:sz w:val="24"/>
        </w:rPr>
        <w:t>The manual approach followed a structured sequence:</w:t>
      </w:r>
    </w:p>
    <w:p>
      <w:pPr>
        <w:ind w:left="357" w:hanging="170"/>
      </w:pPr>
      <w:r>
        <w:rPr>
          <w:rFonts w:ascii="Times New Roman" w:hAnsi="Times New Roman" w:eastAsia="Times New Roman"/>
          <w:sz w:val="24"/>
        </w:rPr>
        <w:t>• prepare the environment and seeded test data</w:t>
      </w:r>
    </w:p>
    <w:p>
      <w:pPr>
        <w:ind w:left="357" w:hanging="170"/>
      </w:pPr>
      <w:r>
        <w:rPr>
          <w:rFonts w:ascii="Times New Roman" w:hAnsi="Times New Roman" w:eastAsia="Times New Roman"/>
          <w:sz w:val="24"/>
        </w:rPr>
        <w:t>• identify the target test case and required preconditions</w:t>
      </w:r>
    </w:p>
    <w:p>
      <w:pPr>
        <w:ind w:left="357" w:hanging="170"/>
      </w:pPr>
      <w:r>
        <w:rPr>
          <w:rFonts w:ascii="Times New Roman" w:hAnsi="Times New Roman" w:eastAsia="Times New Roman"/>
          <w:sz w:val="24"/>
        </w:rPr>
        <w:t>• execute the defined steps exactly as documented</w:t>
      </w:r>
    </w:p>
    <w:p>
      <w:pPr>
        <w:ind w:left="357" w:hanging="170"/>
      </w:pPr>
      <w:r>
        <w:rPr>
          <w:rFonts w:ascii="Times New Roman" w:hAnsi="Times New Roman" w:eastAsia="Times New Roman"/>
          <w:sz w:val="24"/>
        </w:rPr>
        <w:t>• compare actual system behavior against the expected result</w:t>
      </w:r>
    </w:p>
    <w:p>
      <w:pPr>
        <w:ind w:left="357" w:hanging="170"/>
      </w:pPr>
      <w:r>
        <w:rPr>
          <w:rFonts w:ascii="Times New Roman" w:hAnsi="Times New Roman" w:eastAsia="Times New Roman"/>
          <w:sz w:val="24"/>
        </w:rPr>
        <w:t>• capture screenshots or output artifacts</w:t>
      </w:r>
    </w:p>
    <w:p>
      <w:pPr>
        <w:ind w:left="357" w:hanging="170"/>
      </w:pPr>
      <w:r>
        <w:rPr>
          <w:rFonts w:ascii="Times New Roman" w:hAnsi="Times New Roman" w:eastAsia="Times New Roman"/>
          <w:sz w:val="24"/>
        </w:rPr>
        <w:t>• record the final result in the workbook</w:t>
      </w:r>
    </w:p>
    <w:p>
      <w:pPr>
        <w:ind w:left="357" w:hanging="170"/>
      </w:pPr>
      <w:r>
        <w:rPr>
          <w:rFonts w:ascii="Times New Roman" w:hAnsi="Times New Roman" w:eastAsia="Times New Roman"/>
          <w:sz w:val="24"/>
        </w:rPr>
        <w:t>• log a defect when the mismatch is reproducible and supported by evidence</w:t>
      </w:r>
    </w:p>
    <w:p>
      <w:pPr>
        <w:pStyle w:val="Heading3"/>
      </w:pPr>
      <w:r>
        <w:rPr>
          <w:b/>
        </w:rPr>
        <w:t>2.2.2. Basic automation approach</w:t>
      </w:r>
    </w:p>
    <w:p>
      <w:r>
        <w:rPr>
          <w:rFonts w:ascii="Times New Roman" w:hAnsi="Times New Roman" w:eastAsia="Times New Roman"/>
          <w:sz w:val="24"/>
        </w:rPr>
        <w:t>Basic automation was implemented to strengthen repeatability and bonus coverage rather than to replace the full manual test effort. Two automation layers were used in this project.</w:t>
      </w:r>
    </w:p>
    <w:p>
      <w:r>
        <w:rPr>
          <w:rFonts w:ascii="Times New Roman" w:hAnsi="Times New Roman" w:eastAsia="Times New Roman"/>
          <w:sz w:val="24"/>
        </w:rPr>
        <w:t>First, UI automation was implemented using Selenium WebDriver with .NET 8 and xUnit. This layer was used for selected high-value workflows such as login verification, permission checks, purchase creation, invoice-related validation, import preview behavior, and focused reruns for regression confirmation.</w:t>
      </w:r>
    </w:p>
    <w:p>
      <w:r>
        <w:rPr>
          <w:rFonts w:ascii="Times New Roman" w:hAnsi="Times New Roman" w:eastAsia="Times New Roman"/>
          <w:sz w:val="24"/>
        </w:rPr>
        <w:t>Second, API automation was implemented using Postman collections executed through Newman. This layer was used to verify health and catalog endpoints in a repeatable way and to produce exportable evidence such as text summaries and XML result files.</w:t>
      </w:r>
    </w:p>
    <w:p>
      <w:r>
        <w:rPr>
          <w:rFonts w:ascii="Times New Roman" w:hAnsi="Times New Roman" w:eastAsia="Times New Roman"/>
          <w:sz w:val="24"/>
        </w:rPr>
        <w:t>The automation scope was intentionally selective. The goal was to show practical, credible automation support with real outputs and evidence files, while avoiding exaggerated claims about full regression automation.</w:t>
      </w:r>
    </w:p>
    <w:p>
      <w:pPr>
        <w:jc w:val="center"/>
      </w:pPr>
      <w:r>
        <w:rPr>
          <w:rFonts w:ascii="Times New Roman" w:hAnsi="Times New Roman" w:eastAsia="Times New Roman"/>
          <w:i/>
          <w:sz w:val="22"/>
        </w:rPr>
        <w:t>Table 2.3. Automation strategy overview</w:t>
      </w:r>
    </w:p>
    <w:tbl>
      <w:tblPr>
        <w:tblStyle w:val="TableGrid"/>
        <w:tblW w:type="auto" w:w="0"/>
        <w:jc w:val="center"/>
        <w:tblLook w:firstColumn="1" w:firstRow="1" w:lastColumn="0" w:lastRow="0" w:noHBand="0" w:noVBand="1" w:val="04A0"/>
      </w:tblPr>
      <w:tblGrid>
        <w:gridCol w:w="3120"/>
        <w:gridCol w:w="3120"/>
        <w:gridCol w:w="3120"/>
      </w:tblGrid>
      <w:tr>
        <w:tc>
          <w:tcPr>
            <w:tcW w:type="dxa" w:w="2381"/>
            <w:shd w:fill="D9EAF7"/>
            <w:vAlign w:val="center"/>
          </w:tcPr>
          <w:p>
            <w:pPr>
              <w:spacing w:after="0" w:line="276" w:lineRule="auto"/>
            </w:pPr>
            <w:r>
              <w:rPr>
                <w:rFonts w:ascii="Times New Roman" w:hAnsi="Times New Roman" w:eastAsia="Times New Roman"/>
                <w:sz w:val="22"/>
              </w:rPr>
              <w:t>Automation type</w:t>
            </w:r>
          </w:p>
        </w:tc>
        <w:tc>
          <w:tcPr>
            <w:tcW w:type="dxa" w:w="3288"/>
            <w:shd w:fill="D9EAF7"/>
            <w:vAlign w:val="center"/>
          </w:tcPr>
          <w:p>
            <w:pPr>
              <w:spacing w:after="0" w:line="276" w:lineRule="auto"/>
            </w:pPr>
            <w:r>
              <w:rPr>
                <w:rFonts w:ascii="Times New Roman" w:hAnsi="Times New Roman" w:eastAsia="Times New Roman"/>
                <w:sz w:val="22"/>
              </w:rPr>
              <w:t>Technology</w:t>
            </w:r>
          </w:p>
        </w:tc>
        <w:tc>
          <w:tcPr>
            <w:tcW w:type="dxa" w:w="3402"/>
            <w:shd w:fill="D9EAF7"/>
            <w:vAlign w:val="center"/>
          </w:tcPr>
          <w:p>
            <w:pPr>
              <w:spacing w:after="0" w:line="276" w:lineRule="auto"/>
            </w:pPr>
            <w:r>
              <w:rPr>
                <w:rFonts w:ascii="Times New Roman" w:hAnsi="Times New Roman" w:eastAsia="Times New Roman"/>
                <w:sz w:val="22"/>
              </w:rPr>
              <w:t>Main purpose</w:t>
            </w:r>
          </w:p>
        </w:tc>
      </w:tr>
      <w:tr>
        <w:tc>
          <w:tcPr>
            <w:tcW w:type="dxa" w:w="2381"/>
            <w:vAlign w:val="center"/>
          </w:tcPr>
          <w:p>
            <w:pPr>
              <w:spacing w:after="0" w:line="276" w:lineRule="auto"/>
            </w:pPr>
            <w:r>
              <w:rPr>
                <w:rFonts w:ascii="Times New Roman" w:hAnsi="Times New Roman" w:eastAsia="Times New Roman"/>
                <w:sz w:val="22"/>
              </w:rPr>
              <w:t>UI automation</w:t>
            </w:r>
          </w:p>
        </w:tc>
        <w:tc>
          <w:tcPr>
            <w:tcW w:type="dxa" w:w="3288"/>
            <w:vAlign w:val="center"/>
          </w:tcPr>
          <w:p>
            <w:pPr>
              <w:spacing w:after="0" w:line="276" w:lineRule="auto"/>
            </w:pPr>
            <w:r>
              <w:rPr>
                <w:rFonts w:ascii="Times New Roman" w:hAnsi="Times New Roman" w:eastAsia="Times New Roman"/>
                <w:sz w:val="22"/>
              </w:rPr>
              <w:t>Selenium WebDriver + .NET 8 + xUnit</w:t>
            </w:r>
          </w:p>
        </w:tc>
        <w:tc>
          <w:tcPr>
            <w:tcW w:type="dxa" w:w="3402"/>
            <w:vAlign w:val="center"/>
          </w:tcPr>
          <w:p>
            <w:pPr>
              <w:spacing w:after="0" w:line="276" w:lineRule="auto"/>
            </w:pPr>
            <w:r>
              <w:rPr>
                <w:rFonts w:ascii="Times New Roman" w:hAnsi="Times New Roman" w:eastAsia="Times New Roman"/>
                <w:sz w:val="22"/>
              </w:rPr>
              <w:t>Repeatable verification of selected high-value UI workflows</w:t>
            </w:r>
          </w:p>
        </w:tc>
      </w:tr>
      <w:tr>
        <w:tc>
          <w:tcPr>
            <w:tcW w:type="dxa" w:w="2381"/>
            <w:vAlign w:val="center"/>
          </w:tcPr>
          <w:p>
            <w:pPr>
              <w:spacing w:after="0" w:line="276" w:lineRule="auto"/>
            </w:pPr>
            <w:r>
              <w:rPr>
                <w:rFonts w:ascii="Times New Roman" w:hAnsi="Times New Roman" w:eastAsia="Times New Roman"/>
                <w:sz w:val="22"/>
              </w:rPr>
              <w:t>API automation</w:t>
            </w:r>
          </w:p>
        </w:tc>
        <w:tc>
          <w:tcPr>
            <w:tcW w:type="dxa" w:w="3288"/>
            <w:vAlign w:val="center"/>
          </w:tcPr>
          <w:p>
            <w:pPr>
              <w:spacing w:after="0" w:line="276" w:lineRule="auto"/>
            </w:pPr>
            <w:r>
              <w:rPr>
                <w:rFonts w:ascii="Times New Roman" w:hAnsi="Times New Roman" w:eastAsia="Times New Roman"/>
                <w:sz w:val="22"/>
              </w:rPr>
              <w:t>Postman + Newman</w:t>
            </w:r>
          </w:p>
        </w:tc>
        <w:tc>
          <w:tcPr>
            <w:tcW w:type="dxa" w:w="3402"/>
            <w:vAlign w:val="center"/>
          </w:tcPr>
          <w:p>
            <w:pPr>
              <w:spacing w:after="0" w:line="276" w:lineRule="auto"/>
            </w:pPr>
            <w:r>
              <w:rPr>
                <w:rFonts w:ascii="Times New Roman" w:hAnsi="Times New Roman" w:eastAsia="Times New Roman"/>
                <w:sz w:val="22"/>
              </w:rPr>
              <w:t>Repeatable verification of exposed API endpoints and exportable runner evidence</w:t>
            </w:r>
          </w:p>
        </w:tc>
      </w:tr>
      <w:tr>
        <w:tc>
          <w:tcPr>
            <w:tcW w:type="dxa" w:w="2381"/>
            <w:vAlign w:val="center"/>
          </w:tcPr>
          <w:p>
            <w:pPr>
              <w:spacing w:after="0" w:line="276" w:lineRule="auto"/>
            </w:pPr>
            <w:r>
              <w:rPr>
                <w:rFonts w:ascii="Times New Roman" w:hAnsi="Times New Roman" w:eastAsia="Times New Roman"/>
                <w:sz w:val="22"/>
              </w:rPr>
              <w:t>Evidence output</w:t>
            </w:r>
          </w:p>
        </w:tc>
        <w:tc>
          <w:tcPr>
            <w:tcW w:type="dxa" w:w="3288"/>
            <w:vAlign w:val="center"/>
          </w:tcPr>
          <w:p>
            <w:pPr>
              <w:spacing w:after="0" w:line="276" w:lineRule="auto"/>
            </w:pPr>
            <w:r>
              <w:rPr>
                <w:rFonts w:ascii="Times New Roman" w:hAnsi="Times New Roman" w:eastAsia="Times New Roman"/>
                <w:sz w:val="22"/>
              </w:rPr>
              <w:t>Screenshots, TRX, TXT, XML</w:t>
            </w:r>
          </w:p>
        </w:tc>
        <w:tc>
          <w:tcPr>
            <w:tcW w:type="dxa" w:w="3402"/>
            <w:vAlign w:val="center"/>
          </w:tcPr>
          <w:p>
            <w:pPr>
              <w:spacing w:after="0" w:line="276" w:lineRule="auto"/>
            </w:pPr>
            <w:r>
              <w:rPr>
                <w:rFonts w:ascii="Times New Roman" w:hAnsi="Times New Roman" w:eastAsia="Times New Roman"/>
                <w:sz w:val="22"/>
              </w:rPr>
              <w:t>Support result comparison, execution traceability, and bonus coverage</w:t>
            </w:r>
          </w:p>
        </w:tc>
      </w:tr>
    </w:tbl>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OSMS-Newman-Full-Run-Snippet.png"/>
                    <pic:cNvPicPr/>
                  </pic:nvPicPr>
                  <pic:blipFill>
                    <a:blip r:embed="rId9"/>
                    <a:stretch>
                      <a:fillRect/>
                    </a:stretch>
                  </pic:blipFill>
                  <pic:spPr>
                    <a:xfrm>
                      <a:off x="0" y="0"/>
                      <a:ext cx="5303520" cy="3182112"/>
                    </a:xfrm>
                    <a:prstGeom prst="rect"/>
                  </pic:spPr>
                </pic:pic>
              </a:graphicData>
            </a:graphic>
          </wp:inline>
        </w:drawing>
      </w:r>
    </w:p>
    <w:p>
      <w:pPr>
        <w:jc w:val="center"/>
      </w:pPr>
      <w:r>
        <w:rPr>
          <w:rFonts w:ascii="Times New Roman" w:hAnsi="Times New Roman" w:eastAsia="Times New Roman"/>
          <w:i/>
          <w:sz w:val="22"/>
        </w:rPr>
        <w:t>Figure 2.1. Representative API automation execution output using Newman.</w:t>
      </w:r>
    </w:p>
    <w:p/>
    <w:p>
      <w:pPr>
        <w:pStyle w:val="Heading3"/>
      </w:pPr>
      <w:r>
        <w:rPr>
          <w:b/>
        </w:rPr>
        <w:t>2.2.3. Black-box testing</w:t>
      </w:r>
    </w:p>
    <w:p>
      <w:r>
        <w:rPr>
          <w:rFonts w:ascii="Times New Roman" w:hAnsi="Times New Roman" w:eastAsia="Times New Roman"/>
          <w:sz w:val="24"/>
        </w:rPr>
        <w:t>Black-box testing was the dominant testing strategy used in this project. Test execution focused on system inputs, user actions, visible outputs, and business outcomes without depending on internal implementation details during runtime verification.</w:t>
      </w:r>
    </w:p>
    <w:p>
      <w:r>
        <w:rPr>
          <w:rFonts w:ascii="Times New Roman" w:hAnsi="Times New Roman" w:eastAsia="Times New Roman"/>
          <w:sz w:val="24"/>
        </w:rPr>
        <w:t>This strategy was applied to:</w:t>
      </w:r>
    </w:p>
    <w:p>
      <w:pPr>
        <w:ind w:left="357" w:hanging="170"/>
      </w:pPr>
      <w:r>
        <w:rPr>
          <w:rFonts w:ascii="Times New Roman" w:hAnsi="Times New Roman" w:eastAsia="Times New Roman"/>
          <w:sz w:val="24"/>
        </w:rPr>
        <w:t>• login success and login rejection</w:t>
      </w:r>
    </w:p>
    <w:p>
      <w:pPr>
        <w:ind w:left="357" w:hanging="170"/>
      </w:pPr>
      <w:r>
        <w:rPr>
          <w:rFonts w:ascii="Times New Roman" w:hAnsi="Times New Roman" w:eastAsia="Times New Roman"/>
          <w:sz w:val="24"/>
        </w:rPr>
        <w:t>• role-based access restriction</w:t>
      </w:r>
    </w:p>
    <w:p>
      <w:pPr>
        <w:ind w:left="357" w:hanging="170"/>
      </w:pPr>
      <w:r>
        <w:rPr>
          <w:rFonts w:ascii="Times New Roman" w:hAnsi="Times New Roman" w:eastAsia="Times New Roman"/>
          <w:sz w:val="24"/>
        </w:rPr>
        <w:t>• CRUD validation for products, suppliers, and customers</w:t>
      </w:r>
    </w:p>
    <w:p>
      <w:pPr>
        <w:ind w:left="357" w:hanging="170"/>
      </w:pPr>
      <w:r>
        <w:rPr>
          <w:rFonts w:ascii="Times New Roman" w:hAnsi="Times New Roman" w:eastAsia="Times New Roman"/>
          <w:sz w:val="24"/>
        </w:rPr>
        <w:t>• purchase and invoice workflow outcomes</w:t>
      </w:r>
    </w:p>
    <w:p>
      <w:pPr>
        <w:ind w:left="357" w:hanging="170"/>
      </w:pPr>
      <w:r>
        <w:rPr>
          <w:rFonts w:ascii="Times New Roman" w:hAnsi="Times New Roman" w:eastAsia="Times New Roman"/>
          <w:sz w:val="24"/>
        </w:rPr>
        <w:t>• product import validation and confirmation behavior</w:t>
      </w:r>
    </w:p>
    <w:p>
      <w:pPr>
        <w:ind w:left="357" w:hanging="170"/>
      </w:pPr>
      <w:r>
        <w:rPr>
          <w:rFonts w:ascii="Times New Roman" w:hAnsi="Times New Roman" w:eastAsia="Times New Roman"/>
          <w:sz w:val="24"/>
        </w:rPr>
        <w:t>• public catalog search, sorting, and filtering behavior</w:t>
      </w:r>
    </w:p>
    <w:p>
      <w:pPr>
        <w:ind w:left="357" w:hanging="170"/>
      </w:pPr>
      <w:r>
        <w:rPr>
          <w:rFonts w:ascii="Times New Roman" w:hAnsi="Times New Roman" w:eastAsia="Times New Roman"/>
          <w:sz w:val="24"/>
        </w:rPr>
        <w:t>• API status codes and payload validation</w:t>
      </w:r>
    </w:p>
    <w:p>
      <w:r>
        <w:rPr>
          <w:rFonts w:ascii="Times New Roman" w:hAnsi="Times New Roman" w:eastAsia="Times New Roman"/>
          <w:sz w:val="24"/>
        </w:rPr>
        <w:t>Black-box testing was suitable for the final submission because the course emphasizes practical test design, execution evidence, defect identification, and professional reporting. It also aligns well with user-visible functionality and real business requirements.</w:t>
      </w:r>
    </w:p>
    <w:p>
      <w:pPr>
        <w:pStyle w:val="Heading3"/>
      </w:pPr>
      <w:r>
        <w:rPr>
          <w:b/>
        </w:rPr>
        <w:t>2.2.4. White-box testing</w:t>
      </w:r>
    </w:p>
    <w:p>
      <w:r>
        <w:rPr>
          <w:rFonts w:ascii="Times New Roman" w:hAnsi="Times New Roman" w:eastAsia="Times New Roman"/>
          <w:sz w:val="24"/>
        </w:rPr>
        <w:t>White-box testing was not used as a standalone implementation-heavy testing stream such as unit-test-driven structural coverage. However, white-box-informed analysis was used to support test design. The team inspected the source code, routes, controllers, validation logic, and seeded data in order to identify hidden edge cases, role conditions, unsupported inputs, and risky business-rule paths before executing the test cases.</w:t>
      </w:r>
    </w:p>
    <w:p>
      <w:r>
        <w:rPr>
          <w:rFonts w:ascii="Times New Roman" w:hAnsi="Times New Roman" w:eastAsia="Times New Roman"/>
          <w:sz w:val="24"/>
        </w:rPr>
        <w:t>This code-informed analysis helped the team design stronger scenarios for:</w:t>
      </w:r>
    </w:p>
    <w:p>
      <w:pPr>
        <w:ind w:left="357" w:hanging="170"/>
      </w:pPr>
      <w:r>
        <w:rPr>
          <w:rFonts w:ascii="Times New Roman" w:hAnsi="Times New Roman" w:eastAsia="Times New Roman"/>
          <w:sz w:val="24"/>
        </w:rPr>
        <w:t>• permission boundaries across admin, sales, and warehouse roles</w:t>
      </w:r>
    </w:p>
    <w:p>
      <w:pPr>
        <w:ind w:left="357" w:hanging="170"/>
      </w:pPr>
      <w:r>
        <w:rPr>
          <w:rFonts w:ascii="Times New Roman" w:hAnsi="Times New Roman" w:eastAsia="Times New Roman"/>
          <w:sz w:val="24"/>
        </w:rPr>
        <w:t>• invoice creation and cancellation behavior</w:t>
      </w:r>
    </w:p>
    <w:p>
      <w:pPr>
        <w:ind w:left="357" w:hanging="170"/>
      </w:pPr>
      <w:r>
        <w:rPr>
          <w:rFonts w:ascii="Times New Roman" w:hAnsi="Times New Roman" w:eastAsia="Times New Roman"/>
          <w:sz w:val="24"/>
        </w:rPr>
        <w:t>• import validation rules and preview-confirm flow</w:t>
      </w:r>
    </w:p>
    <w:p>
      <w:pPr>
        <w:ind w:left="357" w:hanging="170"/>
      </w:pPr>
      <w:r>
        <w:rPr>
          <w:rFonts w:ascii="Times New Roman" w:hAnsi="Times New Roman" w:eastAsia="Times New Roman"/>
          <w:sz w:val="24"/>
        </w:rPr>
        <w:t>• unsupported API query values</w:t>
      </w:r>
    </w:p>
    <w:p>
      <w:pPr>
        <w:ind w:left="357" w:hanging="170"/>
      </w:pPr>
      <w:r>
        <w:rPr>
          <w:rFonts w:ascii="Times New Roman" w:hAnsi="Times New Roman" w:eastAsia="Times New Roman"/>
          <w:sz w:val="24"/>
        </w:rPr>
        <w:t>• route access and redirection logic</w:t>
      </w:r>
    </w:p>
    <w:p>
      <w:pPr>
        <w:ind w:left="357" w:hanging="170"/>
      </w:pPr>
      <w:r>
        <w:rPr>
          <w:rFonts w:ascii="Times New Roman" w:hAnsi="Times New Roman" w:eastAsia="Times New Roman"/>
          <w:sz w:val="24"/>
        </w:rPr>
        <w:t>• stock-sensitive workflows and business-state transitions</w:t>
      </w:r>
    </w:p>
    <w:p>
      <w:r>
        <w:rPr>
          <w:rFonts w:ascii="Times New Roman" w:hAnsi="Times New Roman" w:eastAsia="Times New Roman"/>
          <w:sz w:val="24"/>
        </w:rPr>
        <w:t>Therefore, the project used a black-box execution model supported by limited white-box-informed test design. This is a practical and academically defensible use of both approaches for the available project scope.</w:t>
      </w:r>
    </w:p>
    <w:p>
      <w:pPr>
        <w:jc w:val="center"/>
      </w:pPr>
      <w:r>
        <w:rPr>
          <w:rFonts w:ascii="Times New Roman" w:hAnsi="Times New Roman" w:eastAsia="Times New Roman"/>
          <w:i/>
          <w:sz w:val="22"/>
        </w:rPr>
        <w:t>Table 2.4. Black-box and white-box usage</w:t>
      </w:r>
    </w:p>
    <w:tbl>
      <w:tblPr>
        <w:tblStyle w:val="TableGrid"/>
        <w:tblW w:type="auto" w:w="0"/>
        <w:jc w:val="center"/>
        <w:tblLook w:firstColumn="1" w:firstRow="1" w:lastColumn="0" w:lastRow="0" w:noHBand="0" w:noVBand="1" w:val="04A0"/>
      </w:tblPr>
      <w:tblGrid>
        <w:gridCol w:w="4680"/>
        <w:gridCol w:w="4680"/>
      </w:tblGrid>
      <w:tr>
        <w:tc>
          <w:tcPr>
            <w:tcW w:type="dxa" w:w="2381"/>
            <w:shd w:fill="D9EAF7"/>
            <w:vAlign w:val="center"/>
          </w:tcPr>
          <w:p>
            <w:pPr>
              <w:spacing w:after="0" w:line="276" w:lineRule="auto"/>
            </w:pPr>
            <w:r>
              <w:rPr>
                <w:rFonts w:ascii="Times New Roman" w:hAnsi="Times New Roman" w:eastAsia="Times New Roman"/>
                <w:sz w:val="22"/>
              </w:rPr>
              <w:t>Approach</w:t>
            </w:r>
          </w:p>
        </w:tc>
        <w:tc>
          <w:tcPr>
            <w:tcW w:type="dxa" w:w="6690"/>
            <w:shd w:fill="D9EAF7"/>
            <w:vAlign w:val="center"/>
          </w:tcPr>
          <w:p>
            <w:pPr>
              <w:spacing w:after="0" w:line="276" w:lineRule="auto"/>
            </w:pPr>
            <w:r>
              <w:rPr>
                <w:rFonts w:ascii="Times New Roman" w:hAnsi="Times New Roman" w:eastAsia="Times New Roman"/>
                <w:sz w:val="22"/>
              </w:rPr>
              <w:t>How it was used in this project</w:t>
            </w:r>
          </w:p>
        </w:tc>
      </w:tr>
      <w:tr>
        <w:tc>
          <w:tcPr>
            <w:tcW w:type="dxa" w:w="2381"/>
            <w:vAlign w:val="center"/>
          </w:tcPr>
          <w:p>
            <w:pPr>
              <w:spacing w:after="0" w:line="276" w:lineRule="auto"/>
            </w:pPr>
            <w:r>
              <w:rPr>
                <w:rFonts w:ascii="Times New Roman" w:hAnsi="Times New Roman" w:eastAsia="Times New Roman"/>
                <w:sz w:val="22"/>
              </w:rPr>
              <w:t>Black-box</w:t>
            </w:r>
          </w:p>
        </w:tc>
        <w:tc>
          <w:tcPr>
            <w:tcW w:type="dxa" w:w="6690"/>
            <w:vAlign w:val="center"/>
          </w:tcPr>
          <w:p>
            <w:pPr>
              <w:spacing w:after="0" w:line="276" w:lineRule="auto"/>
            </w:pPr>
            <w:r>
              <w:rPr>
                <w:rFonts w:ascii="Times New Roman" w:hAnsi="Times New Roman" w:eastAsia="Times New Roman"/>
                <w:sz w:val="22"/>
              </w:rPr>
              <w:t>Main execution strategy for UI and API verification based on inputs, actions, and visible outputs</w:t>
            </w:r>
          </w:p>
        </w:tc>
      </w:tr>
      <w:tr>
        <w:tc>
          <w:tcPr>
            <w:tcW w:type="dxa" w:w="2381"/>
            <w:vAlign w:val="center"/>
          </w:tcPr>
          <w:p>
            <w:pPr>
              <w:spacing w:after="0" w:line="276" w:lineRule="auto"/>
            </w:pPr>
            <w:r>
              <w:rPr>
                <w:rFonts w:ascii="Times New Roman" w:hAnsi="Times New Roman" w:eastAsia="Times New Roman"/>
                <w:sz w:val="22"/>
              </w:rPr>
              <w:t>White-box-informed</w:t>
            </w:r>
          </w:p>
        </w:tc>
        <w:tc>
          <w:tcPr>
            <w:tcW w:type="dxa" w:w="6690"/>
            <w:vAlign w:val="center"/>
          </w:tcPr>
          <w:p>
            <w:pPr>
              <w:spacing w:after="0" w:line="276" w:lineRule="auto"/>
            </w:pPr>
            <w:r>
              <w:rPr>
                <w:rFonts w:ascii="Times New Roman" w:hAnsi="Times New Roman" w:eastAsia="Times New Roman"/>
                <w:sz w:val="22"/>
              </w:rPr>
              <w:t>Used during test design through source inspection to identify edge cases, hidden branches, and risky logic</w:t>
            </w:r>
          </w:p>
        </w:tc>
      </w:tr>
      <w:tr>
        <w:tc>
          <w:tcPr>
            <w:tcW w:type="dxa" w:w="2381"/>
            <w:vAlign w:val="center"/>
          </w:tcPr>
          <w:p>
            <w:pPr>
              <w:spacing w:after="0" w:line="276" w:lineRule="auto"/>
            </w:pPr>
            <w:r>
              <w:rPr>
                <w:rFonts w:ascii="Times New Roman" w:hAnsi="Times New Roman" w:eastAsia="Times New Roman"/>
                <w:sz w:val="22"/>
              </w:rPr>
              <w:t>Reason for combination</w:t>
            </w:r>
          </w:p>
        </w:tc>
        <w:tc>
          <w:tcPr>
            <w:tcW w:type="dxa" w:w="6690"/>
            <w:vAlign w:val="center"/>
          </w:tcPr>
          <w:p>
            <w:pPr>
              <w:spacing w:after="0" w:line="276" w:lineRule="auto"/>
            </w:pPr>
            <w:r>
              <w:rPr>
                <w:rFonts w:ascii="Times New Roman" w:hAnsi="Times New Roman" w:eastAsia="Times New Roman"/>
                <w:sz w:val="22"/>
              </w:rPr>
              <w:t>Improves design quality without overstating the presence of deep structural automation or unit-level coverage</w:t>
            </w:r>
          </w:p>
        </w:tc>
      </w:tr>
    </w:tbl>
    <w:p/>
    <w:p>
      <w:pPr>
        <w:pStyle w:val="Heading3"/>
      </w:pPr>
      <w:r>
        <w:rPr>
          <w:b/>
        </w:rPr>
        <w:t>2.2.5. Entry and exit criteria</w:t>
      </w:r>
    </w:p>
    <w:p>
      <w:r>
        <w:rPr>
          <w:rFonts w:ascii="Times New Roman" w:hAnsi="Times New Roman" w:eastAsia="Times New Roman"/>
          <w:sz w:val="24"/>
        </w:rPr>
        <w:t>Entry and exit criteria were defined to keep execution disciplined and to ensure that reported results were supported by reproducible evidence.</w:t>
      </w:r>
    </w:p>
    <w:p>
      <w:r>
        <w:rPr>
          <w:rFonts w:ascii="Times New Roman" w:hAnsi="Times New Roman" w:eastAsia="Times New Roman"/>
          <w:sz w:val="24"/>
        </w:rPr>
        <w:t>Entry criteria for execution:</w:t>
      </w:r>
    </w:p>
    <w:p>
      <w:pPr>
        <w:ind w:left="357" w:hanging="170"/>
      </w:pPr>
      <w:r>
        <w:rPr>
          <w:rFonts w:ascii="Times New Roman" w:hAnsi="Times New Roman" w:eastAsia="Times New Roman"/>
          <w:sz w:val="24"/>
        </w:rPr>
        <w:t>• the application builds and runs successfully in the local environment</w:t>
      </w:r>
    </w:p>
    <w:p>
      <w:pPr>
        <w:ind w:left="357" w:hanging="170"/>
      </w:pPr>
      <w:r>
        <w:rPr>
          <w:rFonts w:ascii="Times New Roman" w:hAnsi="Times New Roman" w:eastAsia="Times New Roman"/>
          <w:sz w:val="24"/>
        </w:rPr>
        <w:t>• the target base URL is reachable</w:t>
      </w:r>
    </w:p>
    <w:p>
      <w:pPr>
        <w:ind w:left="357" w:hanging="170"/>
      </w:pPr>
      <w:r>
        <w:rPr>
          <w:rFonts w:ascii="Times New Roman" w:hAnsi="Times New Roman" w:eastAsia="Times New Roman"/>
          <w:sz w:val="24"/>
        </w:rPr>
        <w:t>• seeded accounts and required test data are available</w:t>
      </w:r>
    </w:p>
    <w:p>
      <w:pPr>
        <w:ind w:left="357" w:hanging="170"/>
      </w:pPr>
      <w:r>
        <w:rPr>
          <w:rFonts w:ascii="Times New Roman" w:hAnsi="Times New Roman" w:eastAsia="Times New Roman"/>
          <w:sz w:val="24"/>
        </w:rPr>
        <w:t>• the required test case, preconditions, and test data are prepared</w:t>
      </w:r>
    </w:p>
    <w:p>
      <w:pPr>
        <w:ind w:left="357" w:hanging="170"/>
      </w:pPr>
      <w:r>
        <w:rPr>
          <w:rFonts w:ascii="Times New Roman" w:hAnsi="Times New Roman" w:eastAsia="Times New Roman"/>
          <w:sz w:val="24"/>
        </w:rPr>
        <w:t>• the evidence folders and result workbooks are ready for recording outputs</w:t>
      </w:r>
    </w:p>
    <w:p>
      <w:pPr>
        <w:ind w:left="357" w:hanging="170"/>
      </w:pPr>
      <w:r>
        <w:rPr>
          <w:rFonts w:ascii="Times New Roman" w:hAnsi="Times New Roman" w:eastAsia="Times New Roman"/>
          <w:sz w:val="24"/>
        </w:rPr>
        <w:t>• the target module can be opened in the environment being used</w:t>
      </w:r>
    </w:p>
    <w:p>
      <w:r>
        <w:rPr>
          <w:rFonts w:ascii="Times New Roman" w:hAnsi="Times New Roman" w:eastAsia="Times New Roman"/>
          <w:sz w:val="24"/>
        </w:rPr>
        <w:t>Exit criteria for the testing cycle:</w:t>
      </w:r>
    </w:p>
    <w:p>
      <w:pPr>
        <w:ind w:left="357" w:hanging="170"/>
      </w:pPr>
      <w:r>
        <w:rPr>
          <w:rFonts w:ascii="Times New Roman" w:hAnsi="Times New Roman" w:eastAsia="Times New Roman"/>
          <w:sz w:val="24"/>
        </w:rPr>
        <w:t>• all designed UI and API test cases in the current baseline have been executed</w:t>
      </w:r>
    </w:p>
    <w:p>
      <w:pPr>
        <w:ind w:left="357" w:hanging="170"/>
      </w:pPr>
      <w:r>
        <w:rPr>
          <w:rFonts w:ascii="Times New Roman" w:hAnsi="Times New Roman" w:eastAsia="Times New Roman"/>
          <w:sz w:val="24"/>
        </w:rPr>
        <w:t>• actual results and final statuses have been recorded</w:t>
      </w:r>
    </w:p>
    <w:p>
      <w:pPr>
        <w:ind w:left="357" w:hanging="170"/>
      </w:pPr>
      <w:r>
        <w:rPr>
          <w:rFonts w:ascii="Times New Roman" w:hAnsi="Times New Roman" w:eastAsia="Times New Roman"/>
          <w:sz w:val="24"/>
        </w:rPr>
        <w:t>• screenshots, runner outputs, and evidence files have been stored</w:t>
      </w:r>
    </w:p>
    <w:p>
      <w:pPr>
        <w:ind w:left="357" w:hanging="170"/>
      </w:pPr>
      <w:r>
        <w:rPr>
          <w:rFonts w:ascii="Times New Roman" w:hAnsi="Times New Roman" w:eastAsia="Times New Roman"/>
          <w:sz w:val="24"/>
        </w:rPr>
        <w:t>• confirmed mismatches have been logged into the defect register and GitHub Issues</w:t>
      </w:r>
    </w:p>
    <w:p>
      <w:pPr>
        <w:ind w:left="357" w:hanging="170"/>
      </w:pPr>
      <w:r>
        <w:rPr>
          <w:rFonts w:ascii="Times New Roman" w:hAnsi="Times New Roman" w:eastAsia="Times New Roman"/>
          <w:sz w:val="24"/>
        </w:rPr>
        <w:t>• final results, metrics, and traceability files have been synchronized</w:t>
      </w:r>
    </w:p>
    <w:p>
      <w:pPr>
        <w:ind w:left="357" w:hanging="170"/>
      </w:pPr>
      <w:r>
        <w:rPr>
          <w:rFonts w:ascii="Times New Roman" w:hAnsi="Times New Roman" w:eastAsia="Times New Roman"/>
          <w:sz w:val="24"/>
        </w:rPr>
        <w:t>• the report and presentation reflect the latest execution baseline</w:t>
      </w:r>
    </w:p>
    <w:p>
      <w:r>
        <w:rPr>
          <w:rFonts w:ascii="Times New Roman" w:hAnsi="Times New Roman" w:eastAsia="Times New Roman"/>
          <w:sz w:val="24"/>
        </w:rPr>
        <w:t>The execution cycle satisfied the defined exit criteria for coverage and documentation. However, product-quality closure was not fully achieved because four confirmed defects remained open at the final reporting point.</w:t>
      </w:r>
    </w:p>
    <w:p>
      <w:pPr>
        <w:jc w:val="center"/>
      </w:pPr>
      <w:r>
        <w:rPr>
          <w:rFonts w:ascii="Times New Roman" w:hAnsi="Times New Roman" w:eastAsia="Times New Roman"/>
          <w:i/>
          <w:sz w:val="22"/>
        </w:rPr>
        <w:t>Table 2.5. Entry and exit criteria</w:t>
      </w:r>
    </w:p>
    <w:tbl>
      <w:tblPr>
        <w:tblStyle w:val="TableGrid"/>
        <w:tblW w:type="auto" w:w="0"/>
        <w:jc w:val="center"/>
        <w:tblLook w:firstColumn="1" w:firstRow="1" w:lastColumn="0" w:lastRow="0" w:noHBand="0" w:noVBand="1" w:val="04A0"/>
      </w:tblPr>
      <w:tblGrid>
        <w:gridCol w:w="4680"/>
        <w:gridCol w:w="4680"/>
      </w:tblGrid>
      <w:tr>
        <w:tc>
          <w:tcPr>
            <w:tcW w:type="dxa" w:w="2551"/>
            <w:shd w:fill="D9EAF7"/>
            <w:vAlign w:val="center"/>
          </w:tcPr>
          <w:p>
            <w:pPr>
              <w:spacing w:after="0" w:line="276" w:lineRule="auto"/>
            </w:pPr>
            <w:r>
              <w:rPr>
                <w:rFonts w:ascii="Times New Roman" w:hAnsi="Times New Roman" w:eastAsia="Times New Roman"/>
                <w:sz w:val="22"/>
              </w:rPr>
              <w:t>Criteria type</w:t>
            </w:r>
          </w:p>
        </w:tc>
        <w:tc>
          <w:tcPr>
            <w:tcW w:type="dxa" w:w="6520"/>
            <w:shd w:fill="D9EAF7"/>
            <w:vAlign w:val="center"/>
          </w:tcPr>
          <w:p>
            <w:pPr>
              <w:spacing w:after="0" w:line="276" w:lineRule="auto"/>
            </w:pPr>
            <w:r>
              <w:rPr>
                <w:rFonts w:ascii="Times New Roman" w:hAnsi="Times New Roman" w:eastAsia="Times New Roman"/>
                <w:sz w:val="22"/>
              </w:rPr>
              <w:t>Definition</w:t>
            </w:r>
          </w:p>
        </w:tc>
      </w:tr>
      <w:tr>
        <w:tc>
          <w:tcPr>
            <w:tcW w:type="dxa" w:w="2551"/>
            <w:vAlign w:val="center"/>
          </w:tcPr>
          <w:p>
            <w:pPr>
              <w:spacing w:after="0" w:line="276" w:lineRule="auto"/>
            </w:pPr>
            <w:r>
              <w:rPr>
                <w:rFonts w:ascii="Times New Roman" w:hAnsi="Times New Roman" w:eastAsia="Times New Roman"/>
                <w:sz w:val="22"/>
              </w:rPr>
              <w:t>Entry criteria</w:t>
            </w:r>
          </w:p>
        </w:tc>
        <w:tc>
          <w:tcPr>
            <w:tcW w:type="dxa" w:w="6520"/>
            <w:vAlign w:val="center"/>
          </w:tcPr>
          <w:p>
            <w:pPr>
              <w:spacing w:after="0" w:line="276" w:lineRule="auto"/>
            </w:pPr>
            <w:r>
              <w:rPr>
                <w:rFonts w:ascii="Times New Roman" w:hAnsi="Times New Roman" w:eastAsia="Times New Roman"/>
                <w:sz w:val="22"/>
              </w:rPr>
              <w:t>Application is runnable, test data is available, target module is reachable, and evidence recording is ready</w:t>
            </w:r>
          </w:p>
        </w:tc>
      </w:tr>
      <w:tr>
        <w:tc>
          <w:tcPr>
            <w:tcW w:type="dxa" w:w="2551"/>
            <w:vAlign w:val="center"/>
          </w:tcPr>
          <w:p>
            <w:pPr>
              <w:spacing w:after="0" w:line="276" w:lineRule="auto"/>
            </w:pPr>
            <w:r>
              <w:rPr>
                <w:rFonts w:ascii="Times New Roman" w:hAnsi="Times New Roman" w:eastAsia="Times New Roman"/>
                <w:sz w:val="22"/>
              </w:rPr>
              <w:t>Exit criteria</w:t>
            </w:r>
          </w:p>
        </w:tc>
        <w:tc>
          <w:tcPr>
            <w:tcW w:type="dxa" w:w="6520"/>
            <w:vAlign w:val="center"/>
          </w:tcPr>
          <w:p>
            <w:pPr>
              <w:spacing w:after="0" w:line="276" w:lineRule="auto"/>
            </w:pPr>
            <w:r>
              <w:rPr>
                <w:rFonts w:ascii="Times New Roman" w:hAnsi="Times New Roman" w:eastAsia="Times New Roman"/>
                <w:sz w:val="22"/>
              </w:rPr>
              <w:t>All test cases are executed, results are recorded, defects are logged, and artifacts are synchronized</w:t>
            </w:r>
          </w:p>
        </w:tc>
      </w:tr>
      <w:tr>
        <w:tc>
          <w:tcPr>
            <w:tcW w:type="dxa" w:w="2551"/>
            <w:vAlign w:val="center"/>
          </w:tcPr>
          <w:p>
            <w:pPr>
              <w:spacing w:after="0" w:line="276" w:lineRule="auto"/>
            </w:pPr>
            <w:r>
              <w:rPr>
                <w:rFonts w:ascii="Times New Roman" w:hAnsi="Times New Roman" w:eastAsia="Times New Roman"/>
                <w:sz w:val="22"/>
              </w:rPr>
              <w:t>Current status</w:t>
            </w:r>
          </w:p>
        </w:tc>
        <w:tc>
          <w:tcPr>
            <w:tcW w:type="dxa" w:w="6520"/>
            <w:vAlign w:val="center"/>
          </w:tcPr>
          <w:p>
            <w:pPr>
              <w:spacing w:after="0" w:line="276" w:lineRule="auto"/>
            </w:pPr>
            <w:r>
              <w:rPr>
                <w:rFonts w:ascii="Times New Roman" w:hAnsi="Times New Roman" w:eastAsia="Times New Roman"/>
                <w:sz w:val="22"/>
              </w:rPr>
              <w:t>Execution exit criteria satisfied; product quality still limited by unresolved confirmed defects</w:t>
            </w:r>
          </w:p>
        </w:tc>
      </w:tr>
    </w:tbl>
    <w:p/>
    <w:p>
      <w:pPr>
        <w:pStyle w:val="Heading2"/>
      </w:pPr>
      <w:r>
        <w:rPr>
          <w:b/>
        </w:rPr>
        <w:t>2.3. Test Environment</w:t>
      </w:r>
    </w:p>
    <w:p>
      <w:r>
        <w:rPr>
          <w:rFonts w:ascii="Times New Roman" w:hAnsi="Times New Roman" w:eastAsia="Times New Roman"/>
          <w:sz w:val="24"/>
        </w:rPr>
        <w:t>A controlled local test environment was used for all verified execution in this submission. The environment was configured to support both manual and automated testing, with the same application instance serving as the source for UI and API verification. Using a single consistent environment reduced result inconsistency and strengthened traceability across screenshots, runner outputs, workbooks, and defect records.</w:t>
      </w:r>
    </w:p>
    <w:p>
      <w:r>
        <w:rPr>
          <w:rFonts w:ascii="Times New Roman" w:hAnsi="Times New Roman" w:eastAsia="Times New Roman"/>
          <w:sz w:val="24"/>
        </w:rPr>
        <w:t>The environment section is important because it defines the reproducibility conditions of the submission. All reported outcomes in the final workbooks and screenshots were produced from this testing baseline unless explicitly stated otherwise.</w:t>
      </w:r>
    </w:p>
    <w:p>
      <w:pPr>
        <w:pStyle w:val="Heading3"/>
      </w:pPr>
      <w:r>
        <w:rPr>
          <w:b/>
        </w:rPr>
        <w:t>2.3.1. Hardware and software environment</w:t>
      </w:r>
    </w:p>
    <w:p>
      <w:r>
        <w:rPr>
          <w:rFonts w:ascii="Times New Roman" w:hAnsi="Times New Roman" w:eastAsia="Times New Roman"/>
          <w:sz w:val="24"/>
        </w:rPr>
        <w:t>The execution environment used for the project was a Windows-based local workstation capable of running the ASP.NET Core MVC application, browser-based UI testing, Newman API execution, and supporting evidence tools. The application was executed locally using the .NET 8 runtime and connected to the database environment identified in the system as TiDB / test.</w:t>
      </w:r>
    </w:p>
    <w:p>
      <w:r>
        <w:rPr>
          <w:rFonts w:ascii="Times New Roman" w:hAnsi="Times New Roman" w:eastAsia="Times New Roman"/>
          <w:sz w:val="24"/>
        </w:rPr>
        <w:t>This environment was sufficient for the scope of the final submission because it supported functional execution, screenshot capture, UI automation, API execution, and evidence export. No distributed infrastructure or staging server was required for the tested endpoints and business flows included in the report.</w:t>
      </w:r>
    </w:p>
    <w:p>
      <w:pPr>
        <w:jc w:val="center"/>
      </w:pPr>
      <w:r>
        <w:rPr>
          <w:rFonts w:ascii="Times New Roman" w:hAnsi="Times New Roman" w:eastAsia="Times New Roman"/>
          <w:i/>
          <w:sz w:val="22"/>
        </w:rPr>
        <w:t>Table 2.6. Hardware and software environment</w:t>
      </w:r>
    </w:p>
    <w:tbl>
      <w:tblPr>
        <w:tblStyle w:val="TableGrid"/>
        <w:tblW w:type="auto" w:w="0"/>
        <w:jc w:val="center"/>
        <w:tblLook w:firstColumn="1" w:firstRow="1" w:lastColumn="0" w:lastRow="0" w:noHBand="0" w:noVBand="1" w:val="04A0"/>
      </w:tblPr>
      <w:tblGrid>
        <w:gridCol w:w="4680"/>
        <w:gridCol w:w="4680"/>
      </w:tblGrid>
      <w:tr>
        <w:tc>
          <w:tcPr>
            <w:tcW w:type="dxa" w:w="3402"/>
            <w:shd w:fill="D9EAF7"/>
            <w:vAlign w:val="center"/>
          </w:tcPr>
          <w:p>
            <w:pPr>
              <w:spacing w:after="0" w:line="276" w:lineRule="auto"/>
            </w:pPr>
            <w:r>
              <w:rPr>
                <w:rFonts w:ascii="Times New Roman" w:hAnsi="Times New Roman" w:eastAsia="Times New Roman"/>
                <w:sz w:val="22"/>
              </w:rPr>
              <w:t>Environment item</w:t>
            </w:r>
          </w:p>
        </w:tc>
        <w:tc>
          <w:tcPr>
            <w:tcW w:type="dxa" w:w="5669"/>
            <w:shd w:fill="D9EAF7"/>
            <w:vAlign w:val="center"/>
          </w:tcPr>
          <w:p>
            <w:pPr>
              <w:spacing w:after="0" w:line="276" w:lineRule="auto"/>
            </w:pPr>
            <w:r>
              <w:rPr>
                <w:rFonts w:ascii="Times New Roman" w:hAnsi="Times New Roman" w:eastAsia="Times New Roman"/>
                <w:sz w:val="22"/>
              </w:rPr>
              <w:t>Value</w:t>
            </w:r>
          </w:p>
        </w:tc>
      </w:tr>
      <w:tr>
        <w:tc>
          <w:tcPr>
            <w:tcW w:type="dxa" w:w="3402"/>
            <w:vAlign w:val="center"/>
          </w:tcPr>
          <w:p>
            <w:pPr>
              <w:spacing w:after="0" w:line="276" w:lineRule="auto"/>
            </w:pPr>
            <w:r>
              <w:rPr>
                <w:rFonts w:ascii="Times New Roman" w:hAnsi="Times New Roman" w:eastAsia="Times New Roman"/>
                <w:sz w:val="22"/>
              </w:rPr>
              <w:t>Operating system</w:t>
            </w:r>
          </w:p>
        </w:tc>
        <w:tc>
          <w:tcPr>
            <w:tcW w:type="dxa" w:w="5669"/>
            <w:vAlign w:val="center"/>
          </w:tcPr>
          <w:p>
            <w:pPr>
              <w:spacing w:after="0" w:line="276" w:lineRule="auto"/>
            </w:pPr>
            <w:r>
              <w:rPr>
                <w:rFonts w:ascii="Times New Roman" w:hAnsi="Times New Roman" w:eastAsia="Times New Roman"/>
                <w:sz w:val="22"/>
              </w:rPr>
              <w:t>Windows 11</w:t>
            </w:r>
          </w:p>
        </w:tc>
      </w:tr>
      <w:tr>
        <w:tc>
          <w:tcPr>
            <w:tcW w:type="dxa" w:w="3402"/>
            <w:vAlign w:val="center"/>
          </w:tcPr>
          <w:p>
            <w:pPr>
              <w:spacing w:after="0" w:line="276" w:lineRule="auto"/>
            </w:pPr>
            <w:r>
              <w:rPr>
                <w:rFonts w:ascii="Times New Roman" w:hAnsi="Times New Roman" w:eastAsia="Times New Roman"/>
                <w:sz w:val="22"/>
              </w:rPr>
              <w:t>Application framework</w:t>
            </w:r>
          </w:p>
        </w:tc>
        <w:tc>
          <w:tcPr>
            <w:tcW w:type="dxa" w:w="5669"/>
            <w:vAlign w:val="center"/>
          </w:tcPr>
          <w:p>
            <w:pPr>
              <w:spacing w:after="0" w:line="276" w:lineRule="auto"/>
            </w:pPr>
            <w:r>
              <w:rPr>
                <w:rFonts w:ascii="Times New Roman" w:hAnsi="Times New Roman" w:eastAsia="Times New Roman"/>
                <w:sz w:val="22"/>
              </w:rPr>
              <w:t>ASP.NET Core MVC (.NET 8)</w:t>
            </w:r>
          </w:p>
        </w:tc>
      </w:tr>
      <w:tr>
        <w:tc>
          <w:tcPr>
            <w:tcW w:type="dxa" w:w="3402"/>
            <w:vAlign w:val="center"/>
          </w:tcPr>
          <w:p>
            <w:pPr>
              <w:spacing w:after="0" w:line="276" w:lineRule="auto"/>
            </w:pPr>
            <w:r>
              <w:rPr>
                <w:rFonts w:ascii="Times New Roman" w:hAnsi="Times New Roman" w:eastAsia="Times New Roman"/>
                <w:sz w:val="22"/>
              </w:rPr>
              <w:t>ORM / data access</w:t>
            </w:r>
          </w:p>
        </w:tc>
        <w:tc>
          <w:tcPr>
            <w:tcW w:type="dxa" w:w="5669"/>
            <w:vAlign w:val="center"/>
          </w:tcPr>
          <w:p>
            <w:pPr>
              <w:spacing w:after="0" w:line="276" w:lineRule="auto"/>
            </w:pPr>
            <w:r>
              <w:rPr>
                <w:rFonts w:ascii="Times New Roman" w:hAnsi="Times New Roman" w:eastAsia="Times New Roman"/>
                <w:sz w:val="22"/>
              </w:rPr>
              <w:t>EF Core</w:t>
            </w:r>
          </w:p>
        </w:tc>
      </w:tr>
      <w:tr>
        <w:tc>
          <w:tcPr>
            <w:tcW w:type="dxa" w:w="3402"/>
            <w:vAlign w:val="center"/>
          </w:tcPr>
          <w:p>
            <w:pPr>
              <w:spacing w:after="0" w:line="276" w:lineRule="auto"/>
            </w:pPr>
            <w:r>
              <w:rPr>
                <w:rFonts w:ascii="Times New Roman" w:hAnsi="Times New Roman" w:eastAsia="Times New Roman"/>
                <w:sz w:val="22"/>
              </w:rPr>
              <w:t>Authentication framework</w:t>
            </w:r>
          </w:p>
        </w:tc>
        <w:tc>
          <w:tcPr>
            <w:tcW w:type="dxa" w:w="5669"/>
            <w:vAlign w:val="center"/>
          </w:tcPr>
          <w:p>
            <w:pPr>
              <w:spacing w:after="0" w:line="276" w:lineRule="auto"/>
            </w:pPr>
            <w:r>
              <w:rPr>
                <w:rFonts w:ascii="Times New Roman" w:hAnsi="Times New Roman" w:eastAsia="Times New Roman"/>
                <w:sz w:val="22"/>
              </w:rPr>
              <w:t>ASP.NET Identity</w:t>
            </w:r>
          </w:p>
        </w:tc>
      </w:tr>
      <w:tr>
        <w:tc>
          <w:tcPr>
            <w:tcW w:type="dxa" w:w="3402"/>
            <w:vAlign w:val="center"/>
          </w:tcPr>
          <w:p>
            <w:pPr>
              <w:spacing w:after="0" w:line="276" w:lineRule="auto"/>
            </w:pPr>
            <w:r>
              <w:rPr>
                <w:rFonts w:ascii="Times New Roman" w:hAnsi="Times New Roman" w:eastAsia="Times New Roman"/>
                <w:sz w:val="22"/>
              </w:rPr>
              <w:t>Database tag observed in execution</w:t>
            </w:r>
          </w:p>
        </w:tc>
        <w:tc>
          <w:tcPr>
            <w:tcW w:type="dxa" w:w="5669"/>
            <w:vAlign w:val="center"/>
          </w:tcPr>
          <w:p>
            <w:pPr>
              <w:spacing w:after="0" w:line="276" w:lineRule="auto"/>
            </w:pPr>
            <w:r>
              <w:rPr>
                <w:rFonts w:ascii="Times New Roman" w:hAnsi="Times New Roman" w:eastAsia="Times New Roman"/>
                <w:sz w:val="22"/>
              </w:rPr>
              <w:t>TiDB / test</w:t>
            </w:r>
          </w:p>
        </w:tc>
      </w:tr>
      <w:tr>
        <w:tc>
          <w:tcPr>
            <w:tcW w:type="dxa" w:w="3402"/>
            <w:vAlign w:val="center"/>
          </w:tcPr>
          <w:p>
            <w:pPr>
              <w:spacing w:after="0" w:line="276" w:lineRule="auto"/>
            </w:pPr>
            <w:r>
              <w:rPr>
                <w:rFonts w:ascii="Times New Roman" w:hAnsi="Times New Roman" w:eastAsia="Times New Roman"/>
                <w:sz w:val="22"/>
              </w:rPr>
              <w:t>Execution type</w:t>
            </w:r>
          </w:p>
        </w:tc>
        <w:tc>
          <w:tcPr>
            <w:tcW w:type="dxa" w:w="5669"/>
            <w:vAlign w:val="center"/>
          </w:tcPr>
          <w:p>
            <w:pPr>
              <w:spacing w:after="0" w:line="276" w:lineRule="auto"/>
            </w:pPr>
            <w:r>
              <w:rPr>
                <w:rFonts w:ascii="Times New Roman" w:hAnsi="Times New Roman" w:eastAsia="Times New Roman"/>
                <w:sz w:val="22"/>
              </w:rPr>
              <w:t>Local environment</w:t>
            </w:r>
          </w:p>
        </w:tc>
      </w:tr>
      <w:tr>
        <w:tc>
          <w:tcPr>
            <w:tcW w:type="dxa" w:w="3402"/>
            <w:vAlign w:val="center"/>
          </w:tcPr>
          <w:p>
            <w:pPr>
              <w:spacing w:after="0" w:line="276" w:lineRule="auto"/>
            </w:pPr>
            <w:r>
              <w:rPr>
                <w:rFonts w:ascii="Times New Roman" w:hAnsi="Times New Roman" w:eastAsia="Times New Roman"/>
                <w:sz w:val="22"/>
              </w:rPr>
              <w:t>Base URL</w:t>
            </w:r>
          </w:p>
        </w:tc>
        <w:tc>
          <w:tcPr>
            <w:tcW w:type="dxa" w:w="5669"/>
            <w:vAlign w:val="center"/>
          </w:tcPr>
          <w:p>
            <w:pPr>
              <w:spacing w:after="0" w:line="276" w:lineRule="auto"/>
            </w:pPr>
            <w:r>
              <w:rPr>
                <w:rFonts w:ascii="Times New Roman" w:hAnsi="Times New Roman" w:eastAsia="Times New Roman"/>
                <w:sz w:val="22"/>
              </w:rPr>
              <w:t>http://localhost:5068</w:t>
            </w:r>
          </w:p>
        </w:tc>
      </w:tr>
      <w:tr>
        <w:tc>
          <w:tcPr>
            <w:tcW w:type="dxa" w:w="3402"/>
            <w:vAlign w:val="center"/>
          </w:tcPr>
          <w:p>
            <w:pPr>
              <w:spacing w:after="0" w:line="276" w:lineRule="auto"/>
            </w:pPr>
            <w:r>
              <w:rPr>
                <w:rFonts w:ascii="Times New Roman" w:hAnsi="Times New Roman" w:eastAsia="Times New Roman"/>
                <w:sz w:val="22"/>
              </w:rPr>
              <w:t>Repository path</w:t>
            </w:r>
          </w:p>
        </w:tc>
        <w:tc>
          <w:tcPr>
            <w:tcW w:type="dxa" w:w="5669"/>
            <w:vAlign w:val="center"/>
          </w:tcPr>
          <w:p>
            <w:pPr>
              <w:spacing w:after="0" w:line="276" w:lineRule="auto"/>
            </w:pPr>
            <w:r>
              <w:rPr>
                <w:rFonts w:ascii="Times New Roman" w:hAnsi="Times New Roman" w:eastAsia="Times New Roman"/>
                <w:sz w:val="22"/>
              </w:rPr>
              <w:t>E:\Project\Online-Sales-Management-System</w:t>
            </w:r>
          </w:p>
        </w:tc>
      </w:tr>
    </w:tbl>
    <w:p/>
    <w:p>
      <w:pPr>
        <w:pStyle w:val="Heading3"/>
      </w:pPr>
      <w:r>
        <w:rPr>
          <w:b/>
        </w:rPr>
        <w:t>2.3.2. Browsers, OS, devices</w:t>
      </w:r>
    </w:p>
    <w:p>
      <w:r>
        <w:rPr>
          <w:rFonts w:ascii="Times New Roman" w:hAnsi="Times New Roman" w:eastAsia="Times New Roman"/>
          <w:sz w:val="24"/>
        </w:rPr>
        <w:t>The primary browser used for UI execution was Google Chrome. Chrome was used for the main body of manual execution and for the majority of Selenium-based automated runs. In addition, a basic smoke rerun was executed on Microsoft Edge to provide minimal cross-browser evidence for the final submission.</w:t>
      </w:r>
    </w:p>
    <w:p>
      <w:r>
        <w:rPr>
          <w:rFonts w:ascii="Times New Roman" w:hAnsi="Times New Roman" w:eastAsia="Times New Roman"/>
          <w:sz w:val="24"/>
        </w:rPr>
        <w:t>Because the project is a web system and the course does not require a full mobile compatibility matrix, testing was performed on desktop conditions only. No mobile-device certification or tablet matrix was included. The browser strategy was therefore fit for purpose: one primary browser for complete functional verification and one secondary browser for basic compatibility evidence.</w:t>
      </w:r>
    </w:p>
    <w:p>
      <w:pPr>
        <w:jc w:val="center"/>
      </w:pPr>
      <w:r>
        <w:rPr>
          <w:rFonts w:ascii="Times New Roman" w:hAnsi="Times New Roman" w:eastAsia="Times New Roman"/>
          <w:i/>
          <w:sz w:val="22"/>
        </w:rPr>
        <w:t>Table 2.7. Browsers, OS, and devices</w:t>
      </w:r>
    </w:p>
    <w:tbl>
      <w:tblPr>
        <w:tblStyle w:val="TableGrid"/>
        <w:tblW w:type="auto" w:w="0"/>
        <w:jc w:val="center"/>
        <w:tblLook w:firstColumn="1" w:firstRow="1" w:lastColumn="0" w:lastRow="0" w:noHBand="0" w:noVBand="1" w:val="04A0"/>
      </w:tblPr>
      <w:tblGrid>
        <w:gridCol w:w="4680"/>
        <w:gridCol w:w="4680"/>
      </w:tblGrid>
      <w:tr>
        <w:tc>
          <w:tcPr>
            <w:tcW w:type="dxa" w:w="2948"/>
            <w:shd w:fill="D9EAF7"/>
            <w:vAlign w:val="center"/>
          </w:tcPr>
          <w:p>
            <w:pPr>
              <w:spacing w:after="0" w:line="276" w:lineRule="auto"/>
            </w:pPr>
            <w:r>
              <w:rPr>
                <w:rFonts w:ascii="Times New Roman" w:hAnsi="Times New Roman" w:eastAsia="Times New Roman"/>
                <w:sz w:val="22"/>
              </w:rPr>
              <w:t>Item</w:t>
            </w:r>
          </w:p>
        </w:tc>
        <w:tc>
          <w:tcPr>
            <w:tcW w:type="dxa" w:w="6123"/>
            <w:shd w:fill="D9EAF7"/>
            <w:vAlign w:val="center"/>
          </w:tcPr>
          <w:p>
            <w:pPr>
              <w:spacing w:after="0" w:line="276" w:lineRule="auto"/>
            </w:pPr>
            <w:r>
              <w:rPr>
                <w:rFonts w:ascii="Times New Roman" w:hAnsi="Times New Roman" w:eastAsia="Times New Roman"/>
                <w:sz w:val="22"/>
              </w:rPr>
              <w:t>Usage in testing</w:t>
            </w:r>
          </w:p>
        </w:tc>
      </w:tr>
      <w:tr>
        <w:tc>
          <w:tcPr>
            <w:tcW w:type="dxa" w:w="2948"/>
            <w:vAlign w:val="center"/>
          </w:tcPr>
          <w:p>
            <w:pPr>
              <w:spacing w:after="0" w:line="276" w:lineRule="auto"/>
            </w:pPr>
            <w:r>
              <w:rPr>
                <w:rFonts w:ascii="Times New Roman" w:hAnsi="Times New Roman" w:eastAsia="Times New Roman"/>
                <w:sz w:val="22"/>
              </w:rPr>
              <w:t>Windows 11</w:t>
            </w:r>
          </w:p>
        </w:tc>
        <w:tc>
          <w:tcPr>
            <w:tcW w:type="dxa" w:w="6123"/>
            <w:vAlign w:val="center"/>
          </w:tcPr>
          <w:p>
            <w:pPr>
              <w:spacing w:after="0" w:line="276" w:lineRule="auto"/>
            </w:pPr>
            <w:r>
              <w:rPr>
                <w:rFonts w:ascii="Times New Roman" w:hAnsi="Times New Roman" w:eastAsia="Times New Roman"/>
                <w:sz w:val="22"/>
              </w:rPr>
              <w:t>Main execution operating system</w:t>
            </w:r>
          </w:p>
        </w:tc>
      </w:tr>
      <w:tr>
        <w:tc>
          <w:tcPr>
            <w:tcW w:type="dxa" w:w="2948"/>
            <w:vAlign w:val="center"/>
          </w:tcPr>
          <w:p>
            <w:pPr>
              <w:spacing w:after="0" w:line="276" w:lineRule="auto"/>
            </w:pPr>
            <w:r>
              <w:rPr>
                <w:rFonts w:ascii="Times New Roman" w:hAnsi="Times New Roman" w:eastAsia="Times New Roman"/>
                <w:sz w:val="22"/>
              </w:rPr>
              <w:t>Google Chrome</w:t>
            </w:r>
          </w:p>
        </w:tc>
        <w:tc>
          <w:tcPr>
            <w:tcW w:type="dxa" w:w="6123"/>
            <w:vAlign w:val="center"/>
          </w:tcPr>
          <w:p>
            <w:pPr>
              <w:spacing w:after="0" w:line="276" w:lineRule="auto"/>
            </w:pPr>
            <w:r>
              <w:rPr>
                <w:rFonts w:ascii="Times New Roman" w:hAnsi="Times New Roman" w:eastAsia="Times New Roman"/>
                <w:sz w:val="22"/>
              </w:rPr>
              <w:t>Primary browser for manual UI and Selenium-based execution</w:t>
            </w:r>
          </w:p>
        </w:tc>
      </w:tr>
      <w:tr>
        <w:tc>
          <w:tcPr>
            <w:tcW w:type="dxa" w:w="2948"/>
            <w:vAlign w:val="center"/>
          </w:tcPr>
          <w:p>
            <w:pPr>
              <w:spacing w:after="0" w:line="276" w:lineRule="auto"/>
            </w:pPr>
            <w:r>
              <w:rPr>
                <w:rFonts w:ascii="Times New Roman" w:hAnsi="Times New Roman" w:eastAsia="Times New Roman"/>
                <w:sz w:val="22"/>
              </w:rPr>
              <w:t>Microsoft Edge</w:t>
            </w:r>
          </w:p>
        </w:tc>
        <w:tc>
          <w:tcPr>
            <w:tcW w:type="dxa" w:w="6123"/>
            <w:vAlign w:val="center"/>
          </w:tcPr>
          <w:p>
            <w:pPr>
              <w:spacing w:after="0" w:line="276" w:lineRule="auto"/>
            </w:pPr>
            <w:r>
              <w:rPr>
                <w:rFonts w:ascii="Times New Roman" w:hAnsi="Times New Roman" w:eastAsia="Times New Roman"/>
                <w:sz w:val="22"/>
              </w:rPr>
              <w:t>Basic smoke verification for limited cross-browser evidence</w:t>
            </w:r>
          </w:p>
        </w:tc>
      </w:tr>
      <w:tr>
        <w:tc>
          <w:tcPr>
            <w:tcW w:type="dxa" w:w="2948"/>
            <w:vAlign w:val="center"/>
          </w:tcPr>
          <w:p>
            <w:pPr>
              <w:spacing w:after="0" w:line="276" w:lineRule="auto"/>
            </w:pPr>
            <w:r>
              <w:rPr>
                <w:rFonts w:ascii="Times New Roman" w:hAnsi="Times New Roman" w:eastAsia="Times New Roman"/>
                <w:sz w:val="22"/>
              </w:rPr>
              <w:t>Desktop / laptop environment</w:t>
            </w:r>
          </w:p>
        </w:tc>
        <w:tc>
          <w:tcPr>
            <w:tcW w:type="dxa" w:w="6123"/>
            <w:vAlign w:val="center"/>
          </w:tcPr>
          <w:p>
            <w:pPr>
              <w:spacing w:after="0" w:line="276" w:lineRule="auto"/>
            </w:pPr>
            <w:r>
              <w:rPr>
                <w:rFonts w:ascii="Times New Roman" w:hAnsi="Times New Roman" w:eastAsia="Times New Roman"/>
                <w:sz w:val="22"/>
              </w:rPr>
              <w:t>Primary device class used for the final submission</w:t>
            </w:r>
          </w:p>
        </w:tc>
      </w:tr>
      <w:tr>
        <w:tc>
          <w:tcPr>
            <w:tcW w:type="dxa" w:w="2948"/>
            <w:vAlign w:val="center"/>
          </w:tcPr>
          <w:p>
            <w:pPr>
              <w:spacing w:after="0" w:line="276" w:lineRule="auto"/>
            </w:pPr>
            <w:r>
              <w:rPr>
                <w:rFonts w:ascii="Times New Roman" w:hAnsi="Times New Roman" w:eastAsia="Times New Roman"/>
                <w:sz w:val="22"/>
              </w:rPr>
              <w:t>Mobile devices</w:t>
            </w:r>
          </w:p>
        </w:tc>
        <w:tc>
          <w:tcPr>
            <w:tcW w:type="dxa" w:w="6123"/>
            <w:vAlign w:val="center"/>
          </w:tcPr>
          <w:p>
            <w:pPr>
              <w:spacing w:after="0" w:line="276" w:lineRule="auto"/>
            </w:pPr>
            <w:r>
              <w:rPr>
                <w:rFonts w:ascii="Times New Roman" w:hAnsi="Times New Roman" w:eastAsia="Times New Roman"/>
                <w:sz w:val="22"/>
              </w:rPr>
              <w:t>Not included in the official scope</w:t>
            </w:r>
          </w:p>
        </w:tc>
      </w:tr>
      <w:tr>
        <w:tc>
          <w:tcPr>
            <w:tcW w:type="dxa" w:w="2948"/>
            <w:vAlign w:val="center"/>
          </w:tcPr>
          <w:p>
            <w:pPr>
              <w:spacing w:after="0" w:line="276" w:lineRule="auto"/>
            </w:pPr>
            <w:r>
              <w:rPr>
                <w:rFonts w:ascii="Times New Roman" w:hAnsi="Times New Roman" w:eastAsia="Times New Roman"/>
                <w:sz w:val="22"/>
              </w:rPr>
              <w:t>Tablet devices</w:t>
            </w:r>
          </w:p>
        </w:tc>
        <w:tc>
          <w:tcPr>
            <w:tcW w:type="dxa" w:w="6123"/>
            <w:vAlign w:val="center"/>
          </w:tcPr>
          <w:p>
            <w:pPr>
              <w:spacing w:after="0" w:line="276" w:lineRule="auto"/>
            </w:pPr>
            <w:r>
              <w:rPr>
                <w:rFonts w:ascii="Times New Roman" w:hAnsi="Times New Roman" w:eastAsia="Times New Roman"/>
                <w:sz w:val="22"/>
              </w:rPr>
              <w:t>Not included in the official scope</w:t>
            </w:r>
          </w:p>
        </w:tc>
      </w:tr>
    </w:tbl>
    <w:p/>
    <w:p>
      <w:pPr>
        <w:jc w:val="center"/>
      </w:pPr>
      <w:r>
        <w:drawing>
          <wp:inline xmlns:a="http://schemas.openxmlformats.org/drawingml/2006/main" xmlns:pic="http://schemas.openxmlformats.org/drawingml/2006/picture">
            <wp:extent cx="5303520" cy="3362053"/>
            <wp:docPr id="2" name="Picture 2"/>
            <wp:cNvGraphicFramePr>
              <a:graphicFrameLocks noChangeAspect="1"/>
            </wp:cNvGraphicFramePr>
            <a:graphic>
              <a:graphicData uri="http://schemas.openxmlformats.org/drawingml/2006/picture">
                <pic:pic>
                  <pic:nvPicPr>
                    <pic:cNvPr id="0" name="20260410_102535_TC-UI-AUTH-006-core-modules.png"/>
                    <pic:cNvPicPr/>
                  </pic:nvPicPr>
                  <pic:blipFill>
                    <a:blip r:embed="rId10"/>
                    <a:stretch>
                      <a:fillRect/>
                    </a:stretch>
                  </pic:blipFill>
                  <pic:spPr>
                    <a:xfrm>
                      <a:off x="0" y="0"/>
                      <a:ext cx="5303520" cy="3362053"/>
                    </a:xfrm>
                    <a:prstGeom prst="rect"/>
                  </pic:spPr>
                </pic:pic>
              </a:graphicData>
            </a:graphic>
          </wp:inline>
        </w:drawing>
      </w:r>
    </w:p>
    <w:p>
      <w:pPr>
        <w:jc w:val="center"/>
      </w:pPr>
      <w:r>
        <w:rPr>
          <w:rFonts w:ascii="Times New Roman" w:hAnsi="Times New Roman" w:eastAsia="Times New Roman"/>
          <w:i/>
          <w:sz w:val="22"/>
        </w:rPr>
        <w:t>Figure 2.2. Representative secured administrative environment and module access used during UI testing.</w:t>
      </w:r>
    </w:p>
    <w:p/>
    <w:p>
      <w:pPr>
        <w:pStyle w:val="Heading3"/>
      </w:pPr>
      <w:r>
        <w:rPr>
          <w:b/>
        </w:rPr>
        <w:t>2.3.3. Test accounts and test data</w:t>
      </w:r>
    </w:p>
    <w:p>
      <w:r>
        <w:rPr>
          <w:rFonts w:ascii="Times New Roman" w:hAnsi="Times New Roman" w:eastAsia="Times New Roman"/>
          <w:sz w:val="24"/>
        </w:rPr>
        <w:t>The submission relied on seeded demo accounts and controlled test data rather than live production accounts. This approach reduced risk and made execution reproducible. The seeded accounts supported role-based verification across administrative, sales, and warehouse perspectives.</w:t>
      </w:r>
    </w:p>
    <w:p>
      <w:r>
        <w:rPr>
          <w:rFonts w:ascii="Times New Roman" w:hAnsi="Times New Roman" w:eastAsia="Times New Roman"/>
          <w:sz w:val="24"/>
        </w:rPr>
        <w:t>The test data set also included prepared values for product creation, purchase and invoice scenarios, API query combinations, and product import validation files. These datasets allowed the team to verify both happy-path and negative-path behavior in a controlled way.</w:t>
      </w:r>
    </w:p>
    <w:p>
      <w:r>
        <w:rPr>
          <w:rFonts w:ascii="Times New Roman" w:hAnsi="Times New Roman" w:eastAsia="Times New Roman"/>
          <w:sz w:val="24"/>
        </w:rPr>
        <w:t>Sensitive real-world credentials were not stored in the report. Only test-safe and seeded execution data was used for the final submission.</w:t>
      </w:r>
    </w:p>
    <w:p>
      <w:pPr>
        <w:jc w:val="center"/>
      </w:pPr>
      <w:r>
        <w:rPr>
          <w:rFonts w:ascii="Times New Roman" w:hAnsi="Times New Roman" w:eastAsia="Times New Roman"/>
          <w:i/>
          <w:sz w:val="22"/>
        </w:rPr>
        <w:t>Table 2.8. Test accounts and test data</w:t>
      </w:r>
    </w:p>
    <w:tbl>
      <w:tblPr>
        <w:tblStyle w:val="TableGrid"/>
        <w:tblW w:type="auto" w:w="0"/>
        <w:jc w:val="center"/>
        <w:tblLook w:firstColumn="1" w:firstRow="1" w:lastColumn="0" w:lastRow="0" w:noHBand="0" w:noVBand="1" w:val="04A0"/>
      </w:tblPr>
      <w:tblGrid>
        <w:gridCol w:w="3120"/>
        <w:gridCol w:w="3120"/>
        <w:gridCol w:w="3120"/>
      </w:tblGrid>
      <w:tr>
        <w:tc>
          <w:tcPr>
            <w:tcW w:type="dxa" w:w="2381"/>
            <w:shd w:fill="D9EAF7"/>
            <w:vAlign w:val="center"/>
          </w:tcPr>
          <w:p>
            <w:pPr>
              <w:spacing w:after="0" w:line="276" w:lineRule="auto"/>
            </w:pPr>
            <w:r>
              <w:rPr>
                <w:rFonts w:ascii="Times New Roman" w:hAnsi="Times New Roman" w:eastAsia="Times New Roman"/>
                <w:sz w:val="22"/>
              </w:rPr>
              <w:t>Data category</w:t>
            </w:r>
          </w:p>
        </w:tc>
        <w:tc>
          <w:tcPr>
            <w:tcW w:type="dxa" w:w="3175"/>
            <w:shd w:fill="D9EAF7"/>
            <w:vAlign w:val="center"/>
          </w:tcPr>
          <w:p>
            <w:pPr>
              <w:spacing w:after="0" w:line="276" w:lineRule="auto"/>
            </w:pPr>
            <w:r>
              <w:rPr>
                <w:rFonts w:ascii="Times New Roman" w:hAnsi="Times New Roman" w:eastAsia="Times New Roman"/>
                <w:sz w:val="22"/>
              </w:rPr>
              <w:t>Example / source</w:t>
            </w:r>
          </w:p>
        </w:tc>
        <w:tc>
          <w:tcPr>
            <w:tcW w:type="dxa" w:w="3515"/>
            <w:shd w:fill="D9EAF7"/>
            <w:vAlign w:val="center"/>
          </w:tcPr>
          <w:p>
            <w:pPr>
              <w:spacing w:after="0" w:line="276" w:lineRule="auto"/>
            </w:pPr>
            <w:r>
              <w:rPr>
                <w:rFonts w:ascii="Times New Roman" w:hAnsi="Times New Roman" w:eastAsia="Times New Roman"/>
                <w:sz w:val="22"/>
              </w:rPr>
              <w:t>Purpose</w:t>
            </w:r>
          </w:p>
        </w:tc>
      </w:tr>
      <w:tr>
        <w:tc>
          <w:tcPr>
            <w:tcW w:type="dxa" w:w="2381"/>
            <w:vAlign w:val="center"/>
          </w:tcPr>
          <w:p>
            <w:pPr>
              <w:spacing w:after="0" w:line="276" w:lineRule="auto"/>
            </w:pPr>
            <w:r>
              <w:rPr>
                <w:rFonts w:ascii="Times New Roman" w:hAnsi="Times New Roman" w:eastAsia="Times New Roman"/>
                <w:sz w:val="22"/>
              </w:rPr>
              <w:t>Admin account</w:t>
            </w:r>
          </w:p>
        </w:tc>
        <w:tc>
          <w:tcPr>
            <w:tcW w:type="dxa" w:w="3175"/>
            <w:vAlign w:val="center"/>
          </w:tcPr>
          <w:p>
            <w:pPr>
              <w:spacing w:after="0" w:line="276" w:lineRule="auto"/>
            </w:pPr>
            <w:r>
              <w:rPr>
                <w:rFonts w:ascii="Times New Roman" w:hAnsi="Times New Roman" w:eastAsia="Times New Roman"/>
                <w:sz w:val="22"/>
              </w:rPr>
              <w:t>admin@osms.local</w:t>
            </w:r>
          </w:p>
        </w:tc>
        <w:tc>
          <w:tcPr>
            <w:tcW w:type="dxa" w:w="3515"/>
            <w:vAlign w:val="center"/>
          </w:tcPr>
          <w:p>
            <w:pPr>
              <w:spacing w:after="0" w:line="276" w:lineRule="auto"/>
            </w:pPr>
            <w:r>
              <w:rPr>
                <w:rFonts w:ascii="Times New Roman" w:hAnsi="Times New Roman" w:eastAsia="Times New Roman"/>
                <w:sz w:val="22"/>
              </w:rPr>
              <w:t>Authentication, admin access, invoice, report, and configuration-related workflows</w:t>
            </w:r>
          </w:p>
        </w:tc>
      </w:tr>
      <w:tr>
        <w:tc>
          <w:tcPr>
            <w:tcW w:type="dxa" w:w="2381"/>
            <w:vAlign w:val="center"/>
          </w:tcPr>
          <w:p>
            <w:pPr>
              <w:spacing w:after="0" w:line="276" w:lineRule="auto"/>
            </w:pPr>
            <w:r>
              <w:rPr>
                <w:rFonts w:ascii="Times New Roman" w:hAnsi="Times New Roman" w:eastAsia="Times New Roman"/>
                <w:sz w:val="22"/>
              </w:rPr>
              <w:t>Sales account</w:t>
            </w:r>
          </w:p>
        </w:tc>
        <w:tc>
          <w:tcPr>
            <w:tcW w:type="dxa" w:w="3175"/>
            <w:vAlign w:val="center"/>
          </w:tcPr>
          <w:p>
            <w:pPr>
              <w:spacing w:after="0" w:line="276" w:lineRule="auto"/>
            </w:pPr>
            <w:r>
              <w:rPr>
                <w:rFonts w:ascii="Times New Roman" w:hAnsi="Times New Roman" w:eastAsia="Times New Roman"/>
                <w:sz w:val="22"/>
              </w:rPr>
              <w:t>sales@osms.local</w:t>
            </w:r>
          </w:p>
        </w:tc>
        <w:tc>
          <w:tcPr>
            <w:tcW w:type="dxa" w:w="3515"/>
            <w:vAlign w:val="center"/>
          </w:tcPr>
          <w:p>
            <w:pPr>
              <w:spacing w:after="0" w:line="276" w:lineRule="auto"/>
            </w:pPr>
            <w:r>
              <w:rPr>
                <w:rFonts w:ascii="Times New Roman" w:hAnsi="Times New Roman" w:eastAsia="Times New Roman"/>
                <w:sz w:val="22"/>
              </w:rPr>
              <w:t>Permission verification and sales-side behavior</w:t>
            </w:r>
          </w:p>
        </w:tc>
      </w:tr>
      <w:tr>
        <w:tc>
          <w:tcPr>
            <w:tcW w:type="dxa" w:w="2381"/>
            <w:vAlign w:val="center"/>
          </w:tcPr>
          <w:p>
            <w:pPr>
              <w:spacing w:after="0" w:line="276" w:lineRule="auto"/>
            </w:pPr>
            <w:r>
              <w:rPr>
                <w:rFonts w:ascii="Times New Roman" w:hAnsi="Times New Roman" w:eastAsia="Times New Roman"/>
                <w:sz w:val="22"/>
              </w:rPr>
              <w:t>Warehouse account</w:t>
            </w:r>
          </w:p>
        </w:tc>
        <w:tc>
          <w:tcPr>
            <w:tcW w:type="dxa" w:w="3175"/>
            <w:vAlign w:val="center"/>
          </w:tcPr>
          <w:p>
            <w:pPr>
              <w:spacing w:after="0" w:line="276" w:lineRule="auto"/>
            </w:pPr>
            <w:r>
              <w:rPr>
                <w:rFonts w:ascii="Times New Roman" w:hAnsi="Times New Roman" w:eastAsia="Times New Roman"/>
                <w:sz w:val="22"/>
              </w:rPr>
              <w:t>warehouse@osms.local</w:t>
            </w:r>
          </w:p>
        </w:tc>
        <w:tc>
          <w:tcPr>
            <w:tcW w:type="dxa" w:w="3515"/>
            <w:vAlign w:val="center"/>
          </w:tcPr>
          <w:p>
            <w:pPr>
              <w:spacing w:after="0" w:line="276" w:lineRule="auto"/>
            </w:pPr>
            <w:r>
              <w:rPr>
                <w:rFonts w:ascii="Times New Roman" w:hAnsi="Times New Roman" w:eastAsia="Times New Roman"/>
                <w:sz w:val="22"/>
              </w:rPr>
              <w:t>Purchase and stock-related verification</w:t>
            </w:r>
          </w:p>
        </w:tc>
      </w:tr>
      <w:tr>
        <w:tc>
          <w:tcPr>
            <w:tcW w:type="dxa" w:w="2381"/>
            <w:vAlign w:val="center"/>
          </w:tcPr>
          <w:p>
            <w:pPr>
              <w:spacing w:after="0" w:line="276" w:lineRule="auto"/>
            </w:pPr>
            <w:r>
              <w:rPr>
                <w:rFonts w:ascii="Times New Roman" w:hAnsi="Times New Roman" w:eastAsia="Times New Roman"/>
                <w:sz w:val="22"/>
              </w:rPr>
              <w:t>Negative login data</w:t>
            </w:r>
          </w:p>
        </w:tc>
        <w:tc>
          <w:tcPr>
            <w:tcW w:type="dxa" w:w="3175"/>
            <w:vAlign w:val="center"/>
          </w:tcPr>
          <w:p>
            <w:pPr>
              <w:spacing w:after="0" w:line="276" w:lineRule="auto"/>
            </w:pPr>
            <w:r>
              <w:rPr>
                <w:rFonts w:ascii="Times New Roman" w:hAnsi="Times New Roman" w:eastAsia="Times New Roman"/>
                <w:sz w:val="22"/>
              </w:rPr>
              <w:t>Invalid password, unknown email, inactive-account scenarios</w:t>
            </w:r>
          </w:p>
        </w:tc>
        <w:tc>
          <w:tcPr>
            <w:tcW w:type="dxa" w:w="3515"/>
            <w:vAlign w:val="center"/>
          </w:tcPr>
          <w:p>
            <w:pPr>
              <w:spacing w:after="0" w:line="276" w:lineRule="auto"/>
            </w:pPr>
            <w:r>
              <w:rPr>
                <w:rFonts w:ascii="Times New Roman" w:hAnsi="Times New Roman" w:eastAsia="Times New Roman"/>
                <w:sz w:val="22"/>
              </w:rPr>
              <w:t>Authentication validation</w:t>
            </w:r>
          </w:p>
        </w:tc>
      </w:tr>
      <w:tr>
        <w:tc>
          <w:tcPr>
            <w:tcW w:type="dxa" w:w="2381"/>
            <w:vAlign w:val="center"/>
          </w:tcPr>
          <w:p>
            <w:pPr>
              <w:spacing w:after="0" w:line="276" w:lineRule="auto"/>
            </w:pPr>
            <w:r>
              <w:rPr>
                <w:rFonts w:ascii="Times New Roman" w:hAnsi="Times New Roman" w:eastAsia="Times New Roman"/>
                <w:sz w:val="22"/>
              </w:rPr>
              <w:t>Import dataset</w:t>
            </w:r>
          </w:p>
        </w:tc>
        <w:tc>
          <w:tcPr>
            <w:tcW w:type="dxa" w:w="3175"/>
            <w:vAlign w:val="center"/>
          </w:tcPr>
          <w:p>
            <w:pPr>
              <w:spacing w:after="0" w:line="276" w:lineRule="auto"/>
            </w:pPr>
            <w:r>
              <w:rPr>
                <w:rFonts w:ascii="Times New Roman" w:hAnsi="Times New Roman" w:eastAsia="Times New Roman"/>
                <w:sz w:val="22"/>
              </w:rPr>
              <w:t>Mixed-validation workbook and invalid-format sample</w:t>
            </w:r>
          </w:p>
        </w:tc>
        <w:tc>
          <w:tcPr>
            <w:tcW w:type="dxa" w:w="3515"/>
            <w:vAlign w:val="center"/>
          </w:tcPr>
          <w:p>
            <w:pPr>
              <w:spacing w:after="0" w:line="276" w:lineRule="auto"/>
            </w:pPr>
            <w:r>
              <w:rPr>
                <w:rFonts w:ascii="Times New Roman" w:hAnsi="Times New Roman" w:eastAsia="Times New Roman"/>
                <w:sz w:val="22"/>
              </w:rPr>
              <w:t>Product import preview and confirmation testing</w:t>
            </w:r>
          </w:p>
        </w:tc>
      </w:tr>
      <w:tr>
        <w:tc>
          <w:tcPr>
            <w:tcW w:type="dxa" w:w="2381"/>
            <w:vAlign w:val="center"/>
          </w:tcPr>
          <w:p>
            <w:pPr>
              <w:spacing w:after="0" w:line="276" w:lineRule="auto"/>
            </w:pPr>
            <w:r>
              <w:rPr>
                <w:rFonts w:ascii="Times New Roman" w:hAnsi="Times New Roman" w:eastAsia="Times New Roman"/>
                <w:sz w:val="22"/>
              </w:rPr>
              <w:t>API query data</w:t>
            </w:r>
          </w:p>
        </w:tc>
        <w:tc>
          <w:tcPr>
            <w:tcW w:type="dxa" w:w="3175"/>
            <w:vAlign w:val="center"/>
          </w:tcPr>
          <w:p>
            <w:pPr>
              <w:spacing w:after="0" w:line="276" w:lineRule="auto"/>
            </w:pPr>
            <w:r>
              <w:rPr>
                <w:rFonts w:ascii="Times New Roman" w:hAnsi="Times New Roman" w:eastAsia="Times New Roman"/>
                <w:sz w:val="22"/>
              </w:rPr>
              <w:t>Real category IDs, brand IDs, product IDs, and invalid parameters</w:t>
            </w:r>
          </w:p>
        </w:tc>
        <w:tc>
          <w:tcPr>
            <w:tcW w:type="dxa" w:w="3515"/>
            <w:vAlign w:val="center"/>
          </w:tcPr>
          <w:p>
            <w:pPr>
              <w:spacing w:after="0" w:line="276" w:lineRule="auto"/>
            </w:pPr>
            <w:r>
              <w:rPr>
                <w:rFonts w:ascii="Times New Roman" w:hAnsi="Times New Roman" w:eastAsia="Times New Roman"/>
                <w:sz w:val="22"/>
              </w:rPr>
              <w:t>Catalog and health API verification</w:t>
            </w:r>
          </w:p>
        </w:tc>
      </w:tr>
      <w:tr>
        <w:tc>
          <w:tcPr>
            <w:tcW w:type="dxa" w:w="2381"/>
            <w:vAlign w:val="center"/>
          </w:tcPr>
          <w:p>
            <w:pPr>
              <w:spacing w:after="0" w:line="276" w:lineRule="auto"/>
            </w:pPr>
            <w:r>
              <w:rPr>
                <w:rFonts w:ascii="Times New Roman" w:hAnsi="Times New Roman" w:eastAsia="Times New Roman"/>
                <w:sz w:val="22"/>
              </w:rPr>
              <w:t>Seeded business data</w:t>
            </w:r>
          </w:p>
        </w:tc>
        <w:tc>
          <w:tcPr>
            <w:tcW w:type="dxa" w:w="3175"/>
            <w:vAlign w:val="center"/>
          </w:tcPr>
          <w:p>
            <w:pPr>
              <w:spacing w:after="0" w:line="276" w:lineRule="auto"/>
            </w:pPr>
            <w:r>
              <w:rPr>
                <w:rFonts w:ascii="Times New Roman" w:hAnsi="Times New Roman" w:eastAsia="Times New Roman"/>
                <w:sz w:val="22"/>
              </w:rPr>
              <w:t>Products, suppliers, customers, purchases, invoices, stock movement</w:t>
            </w:r>
          </w:p>
        </w:tc>
        <w:tc>
          <w:tcPr>
            <w:tcW w:type="dxa" w:w="3515"/>
            <w:vAlign w:val="center"/>
          </w:tcPr>
          <w:p>
            <w:pPr>
              <w:spacing w:after="0" w:line="276" w:lineRule="auto"/>
            </w:pPr>
            <w:r>
              <w:rPr>
                <w:rFonts w:ascii="Times New Roman" w:hAnsi="Times New Roman" w:eastAsia="Times New Roman"/>
                <w:sz w:val="22"/>
              </w:rPr>
              <w:t>Business-flow execution support</w:t>
            </w:r>
          </w:p>
        </w:tc>
      </w:tr>
    </w:tbl>
    <w:p/>
    <w:p>
      <w:pPr>
        <w:jc w:val="center"/>
      </w:pPr>
      <w:r>
        <w:drawing>
          <wp:inline xmlns:a="http://schemas.openxmlformats.org/drawingml/2006/main" xmlns:pic="http://schemas.openxmlformats.org/drawingml/2006/picture">
            <wp:extent cx="5303520" cy="2855999"/>
            <wp:docPr id="3" name="Picture 3"/>
            <wp:cNvGraphicFramePr>
              <a:graphicFrameLocks noChangeAspect="1"/>
            </wp:cNvGraphicFramePr>
            <a:graphic>
              <a:graphicData uri="http://schemas.openxmlformats.org/drawingml/2006/picture">
                <pic:pic>
                  <pic:nvPicPr>
                    <pic:cNvPr id="0" name="20260406_054115_TC-UI-IMP-002-preview.png"/>
                    <pic:cNvPicPr/>
                  </pic:nvPicPr>
                  <pic:blipFill>
                    <a:blip r:embed="rId11"/>
                    <a:stretch>
                      <a:fillRect/>
                    </a:stretch>
                  </pic:blipFill>
                  <pic:spPr>
                    <a:xfrm>
                      <a:off x="0" y="0"/>
                      <a:ext cx="5303520" cy="2855999"/>
                    </a:xfrm>
                    <a:prstGeom prst="rect"/>
                  </pic:spPr>
                </pic:pic>
              </a:graphicData>
            </a:graphic>
          </wp:inline>
        </w:drawing>
      </w:r>
    </w:p>
    <w:p>
      <w:pPr>
        <w:jc w:val="center"/>
      </w:pPr>
      <w:r>
        <w:rPr>
          <w:rFonts w:ascii="Times New Roman" w:hAnsi="Times New Roman" w:eastAsia="Times New Roman"/>
          <w:i/>
          <w:sz w:val="22"/>
        </w:rPr>
        <w:t>Figure 2.3. Representative controlled validation dataset behavior during product import testing.</w:t>
      </w:r>
    </w:p>
    <w:p/>
    <w:p>
      <w:pPr>
        <w:pStyle w:val="Heading3"/>
      </w:pPr>
      <w:r>
        <w:rPr>
          <w:b/>
        </w:rPr>
        <w:t>2.3.4. Tools used</w:t>
      </w:r>
    </w:p>
    <w:p>
      <w:r>
        <w:rPr>
          <w:rFonts w:ascii="Times New Roman" w:hAnsi="Times New Roman" w:eastAsia="Times New Roman"/>
          <w:sz w:val="24"/>
        </w:rPr>
        <w:t>The project used a practical set of tools chosen to match the requirements of the course and the structure of the system under test. No unnecessary tooling was introduced. Each tool supported a specific stage of the workflow, including planning, execution, automation, evidence collection, defect logging, and final reporting.</w:t>
      </w:r>
    </w:p>
    <w:p>
      <w:r>
        <w:rPr>
          <w:rFonts w:ascii="Times New Roman" w:hAnsi="Times New Roman" w:eastAsia="Times New Roman"/>
          <w:sz w:val="24"/>
        </w:rPr>
        <w:t>Excel-compatible files were used for traceable test case, result, and metrics management. Selenium WebDriver with xUnit was used for basic UI automation. Postman and Newman were used for API execution and exportable runner outputs. GitHub Issues was used as the real bug-management tool required by the course. Screenshots, TRX files, XML outputs, TXT logs, and the recorded automation video were used to support evidence completeness.</w:t>
      </w:r>
    </w:p>
    <w:p>
      <w:pPr>
        <w:jc w:val="center"/>
      </w:pPr>
      <w:r>
        <w:rPr>
          <w:rFonts w:ascii="Times New Roman" w:hAnsi="Times New Roman" w:eastAsia="Times New Roman"/>
          <w:i/>
          <w:sz w:val="22"/>
        </w:rPr>
        <w:t>Table 2.9. Tools used</w:t>
      </w:r>
    </w:p>
    <w:tbl>
      <w:tblPr>
        <w:tblStyle w:val="TableGrid"/>
        <w:tblW w:type="auto" w:w="0"/>
        <w:jc w:val="center"/>
        <w:tblLook w:firstColumn="1" w:firstRow="1" w:lastColumn="0" w:lastRow="0" w:noHBand="0" w:noVBand="1" w:val="04A0"/>
      </w:tblPr>
      <w:tblGrid>
        <w:gridCol w:w="4680"/>
        <w:gridCol w:w="4680"/>
      </w:tblGrid>
      <w:tr>
        <w:tc>
          <w:tcPr>
            <w:tcW w:type="dxa" w:w="3402"/>
            <w:shd w:fill="D9EAF7"/>
            <w:vAlign w:val="center"/>
          </w:tcPr>
          <w:p>
            <w:pPr>
              <w:spacing w:after="0" w:line="276" w:lineRule="auto"/>
            </w:pPr>
            <w:r>
              <w:rPr>
                <w:rFonts w:ascii="Times New Roman" w:hAnsi="Times New Roman" w:eastAsia="Times New Roman"/>
                <w:sz w:val="22"/>
              </w:rPr>
              <w:t>Tool / technology</w:t>
            </w:r>
          </w:p>
        </w:tc>
        <w:tc>
          <w:tcPr>
            <w:tcW w:type="dxa" w:w="5669"/>
            <w:shd w:fill="D9EAF7"/>
            <w:vAlign w:val="center"/>
          </w:tcPr>
          <w:p>
            <w:pPr>
              <w:spacing w:after="0" w:line="276" w:lineRule="auto"/>
            </w:pPr>
            <w:r>
              <w:rPr>
                <w:rFonts w:ascii="Times New Roman" w:hAnsi="Times New Roman" w:eastAsia="Times New Roman"/>
                <w:sz w:val="22"/>
              </w:rPr>
              <w:t>Purpose</w:t>
            </w:r>
          </w:p>
        </w:tc>
      </w:tr>
      <w:tr>
        <w:tc>
          <w:tcPr>
            <w:tcW w:type="dxa" w:w="3402"/>
            <w:vAlign w:val="center"/>
          </w:tcPr>
          <w:p>
            <w:pPr>
              <w:spacing w:after="0" w:line="276" w:lineRule="auto"/>
            </w:pPr>
            <w:r>
              <w:rPr>
                <w:rFonts w:ascii="Times New Roman" w:hAnsi="Times New Roman" w:eastAsia="Times New Roman"/>
                <w:sz w:val="22"/>
              </w:rPr>
              <w:t>Microsoft Word</w:t>
            </w:r>
          </w:p>
        </w:tc>
        <w:tc>
          <w:tcPr>
            <w:tcW w:type="dxa" w:w="5669"/>
            <w:vAlign w:val="center"/>
          </w:tcPr>
          <w:p>
            <w:pPr>
              <w:spacing w:after="0" w:line="276" w:lineRule="auto"/>
            </w:pPr>
            <w:r>
              <w:rPr>
                <w:rFonts w:ascii="Times New Roman" w:hAnsi="Times New Roman" w:eastAsia="Times New Roman"/>
                <w:sz w:val="22"/>
              </w:rPr>
              <w:t>Final report authoring and formatting</w:t>
            </w:r>
          </w:p>
        </w:tc>
      </w:tr>
      <w:tr>
        <w:tc>
          <w:tcPr>
            <w:tcW w:type="dxa" w:w="3402"/>
            <w:vAlign w:val="center"/>
          </w:tcPr>
          <w:p>
            <w:pPr>
              <w:spacing w:after="0" w:line="276" w:lineRule="auto"/>
            </w:pPr>
            <w:r>
              <w:rPr>
                <w:rFonts w:ascii="Times New Roman" w:hAnsi="Times New Roman" w:eastAsia="Times New Roman"/>
                <w:sz w:val="22"/>
              </w:rPr>
              <w:t>Microsoft PowerPoint</w:t>
            </w:r>
          </w:p>
        </w:tc>
        <w:tc>
          <w:tcPr>
            <w:tcW w:type="dxa" w:w="5669"/>
            <w:vAlign w:val="center"/>
          </w:tcPr>
          <w:p>
            <w:pPr>
              <w:spacing w:after="0" w:line="276" w:lineRule="auto"/>
            </w:pPr>
            <w:r>
              <w:rPr>
                <w:rFonts w:ascii="Times New Roman" w:hAnsi="Times New Roman" w:eastAsia="Times New Roman"/>
                <w:sz w:val="22"/>
              </w:rPr>
              <w:t>Final presentation preparation</w:t>
            </w:r>
          </w:p>
        </w:tc>
      </w:tr>
      <w:tr>
        <w:tc>
          <w:tcPr>
            <w:tcW w:type="dxa" w:w="3402"/>
            <w:vAlign w:val="center"/>
          </w:tcPr>
          <w:p>
            <w:pPr>
              <w:spacing w:after="0" w:line="276" w:lineRule="auto"/>
            </w:pPr>
            <w:r>
              <w:rPr>
                <w:rFonts w:ascii="Times New Roman" w:hAnsi="Times New Roman" w:eastAsia="Times New Roman"/>
                <w:sz w:val="22"/>
              </w:rPr>
              <w:t>Excel-compatible XLSX / CSV</w:t>
            </w:r>
          </w:p>
        </w:tc>
        <w:tc>
          <w:tcPr>
            <w:tcW w:type="dxa" w:w="5669"/>
            <w:vAlign w:val="center"/>
          </w:tcPr>
          <w:p>
            <w:pPr>
              <w:spacing w:after="0" w:line="276" w:lineRule="auto"/>
            </w:pPr>
            <w:r>
              <w:rPr>
                <w:rFonts w:ascii="Times New Roman" w:hAnsi="Times New Roman" w:eastAsia="Times New Roman"/>
                <w:sz w:val="22"/>
              </w:rPr>
              <w:t>Test cases, final results, metrics, and traceability</w:t>
            </w:r>
          </w:p>
        </w:tc>
      </w:tr>
      <w:tr>
        <w:tc>
          <w:tcPr>
            <w:tcW w:type="dxa" w:w="3402"/>
            <w:vAlign w:val="center"/>
          </w:tcPr>
          <w:p>
            <w:pPr>
              <w:spacing w:after="0" w:line="276" w:lineRule="auto"/>
            </w:pPr>
            <w:r>
              <w:rPr>
                <w:rFonts w:ascii="Times New Roman" w:hAnsi="Times New Roman" w:eastAsia="Times New Roman"/>
                <w:sz w:val="22"/>
              </w:rPr>
              <w:t>Google Chrome</w:t>
            </w:r>
          </w:p>
        </w:tc>
        <w:tc>
          <w:tcPr>
            <w:tcW w:type="dxa" w:w="5669"/>
            <w:vAlign w:val="center"/>
          </w:tcPr>
          <w:p>
            <w:pPr>
              <w:spacing w:after="0" w:line="276" w:lineRule="auto"/>
            </w:pPr>
            <w:r>
              <w:rPr>
                <w:rFonts w:ascii="Times New Roman" w:hAnsi="Times New Roman" w:eastAsia="Times New Roman"/>
                <w:sz w:val="22"/>
              </w:rPr>
              <w:t>Primary browser for UI execution</w:t>
            </w:r>
          </w:p>
        </w:tc>
      </w:tr>
      <w:tr>
        <w:tc>
          <w:tcPr>
            <w:tcW w:type="dxa" w:w="3402"/>
            <w:vAlign w:val="center"/>
          </w:tcPr>
          <w:p>
            <w:pPr>
              <w:spacing w:after="0" w:line="276" w:lineRule="auto"/>
            </w:pPr>
            <w:r>
              <w:rPr>
                <w:rFonts w:ascii="Times New Roman" w:hAnsi="Times New Roman" w:eastAsia="Times New Roman"/>
                <w:sz w:val="22"/>
              </w:rPr>
              <w:t>Microsoft Edge</w:t>
            </w:r>
          </w:p>
        </w:tc>
        <w:tc>
          <w:tcPr>
            <w:tcW w:type="dxa" w:w="5669"/>
            <w:vAlign w:val="center"/>
          </w:tcPr>
          <w:p>
            <w:pPr>
              <w:spacing w:after="0" w:line="276" w:lineRule="auto"/>
            </w:pPr>
            <w:r>
              <w:rPr>
                <w:rFonts w:ascii="Times New Roman" w:hAnsi="Times New Roman" w:eastAsia="Times New Roman"/>
                <w:sz w:val="22"/>
              </w:rPr>
              <w:t>Basic cross-browser smoke evidence</w:t>
            </w:r>
          </w:p>
        </w:tc>
      </w:tr>
      <w:tr>
        <w:tc>
          <w:tcPr>
            <w:tcW w:type="dxa" w:w="3402"/>
            <w:vAlign w:val="center"/>
          </w:tcPr>
          <w:p>
            <w:pPr>
              <w:spacing w:after="0" w:line="276" w:lineRule="auto"/>
            </w:pPr>
            <w:r>
              <w:rPr>
                <w:rFonts w:ascii="Times New Roman" w:hAnsi="Times New Roman" w:eastAsia="Times New Roman"/>
                <w:sz w:val="22"/>
              </w:rPr>
              <w:t>Selenium WebDriver + .NET 8 + xUnit</w:t>
            </w:r>
          </w:p>
        </w:tc>
        <w:tc>
          <w:tcPr>
            <w:tcW w:type="dxa" w:w="5669"/>
            <w:vAlign w:val="center"/>
          </w:tcPr>
          <w:p>
            <w:pPr>
              <w:spacing w:after="0" w:line="276" w:lineRule="auto"/>
            </w:pPr>
            <w:r>
              <w:rPr>
                <w:rFonts w:ascii="Times New Roman" w:hAnsi="Times New Roman" w:eastAsia="Times New Roman"/>
                <w:sz w:val="22"/>
              </w:rPr>
              <w:t>Basic UI automation</w:t>
            </w:r>
          </w:p>
        </w:tc>
      </w:tr>
      <w:tr>
        <w:tc>
          <w:tcPr>
            <w:tcW w:type="dxa" w:w="3402"/>
            <w:vAlign w:val="center"/>
          </w:tcPr>
          <w:p>
            <w:pPr>
              <w:spacing w:after="0" w:line="276" w:lineRule="auto"/>
            </w:pPr>
            <w:r>
              <w:rPr>
                <w:rFonts w:ascii="Times New Roman" w:hAnsi="Times New Roman" w:eastAsia="Times New Roman"/>
                <w:sz w:val="22"/>
              </w:rPr>
              <w:t>Postman</w:t>
            </w:r>
          </w:p>
        </w:tc>
        <w:tc>
          <w:tcPr>
            <w:tcW w:type="dxa" w:w="5669"/>
            <w:vAlign w:val="center"/>
          </w:tcPr>
          <w:p>
            <w:pPr>
              <w:spacing w:after="0" w:line="276" w:lineRule="auto"/>
            </w:pPr>
            <w:r>
              <w:rPr>
                <w:rFonts w:ascii="Times New Roman" w:hAnsi="Times New Roman" w:eastAsia="Times New Roman"/>
                <w:sz w:val="22"/>
              </w:rPr>
              <w:t>API request design and execution support</w:t>
            </w:r>
          </w:p>
        </w:tc>
      </w:tr>
      <w:tr>
        <w:tc>
          <w:tcPr>
            <w:tcW w:type="dxa" w:w="3402"/>
            <w:vAlign w:val="center"/>
          </w:tcPr>
          <w:p>
            <w:pPr>
              <w:spacing w:after="0" w:line="276" w:lineRule="auto"/>
            </w:pPr>
            <w:r>
              <w:rPr>
                <w:rFonts w:ascii="Times New Roman" w:hAnsi="Times New Roman" w:eastAsia="Times New Roman"/>
                <w:sz w:val="22"/>
              </w:rPr>
              <w:t>Newman</w:t>
            </w:r>
          </w:p>
        </w:tc>
        <w:tc>
          <w:tcPr>
            <w:tcW w:type="dxa" w:w="5669"/>
            <w:vAlign w:val="center"/>
          </w:tcPr>
          <w:p>
            <w:pPr>
              <w:spacing w:after="0" w:line="276" w:lineRule="auto"/>
            </w:pPr>
            <w:r>
              <w:rPr>
                <w:rFonts w:ascii="Times New Roman" w:hAnsi="Times New Roman" w:eastAsia="Times New Roman"/>
                <w:sz w:val="22"/>
              </w:rPr>
              <w:t>Automated API collection execution and exportable outputs</w:t>
            </w:r>
          </w:p>
        </w:tc>
      </w:tr>
      <w:tr>
        <w:tc>
          <w:tcPr>
            <w:tcW w:type="dxa" w:w="3402"/>
            <w:vAlign w:val="center"/>
          </w:tcPr>
          <w:p>
            <w:pPr>
              <w:spacing w:after="0" w:line="276" w:lineRule="auto"/>
            </w:pPr>
            <w:r>
              <w:rPr>
                <w:rFonts w:ascii="Times New Roman" w:hAnsi="Times New Roman" w:eastAsia="Times New Roman"/>
                <w:sz w:val="22"/>
              </w:rPr>
              <w:t>GitHub Issues</w:t>
            </w:r>
          </w:p>
        </w:tc>
        <w:tc>
          <w:tcPr>
            <w:tcW w:type="dxa" w:w="5669"/>
            <w:vAlign w:val="center"/>
          </w:tcPr>
          <w:p>
            <w:pPr>
              <w:spacing w:after="0" w:line="276" w:lineRule="auto"/>
            </w:pPr>
            <w:r>
              <w:rPr>
                <w:rFonts w:ascii="Times New Roman" w:hAnsi="Times New Roman" w:eastAsia="Times New Roman"/>
                <w:sz w:val="22"/>
              </w:rPr>
              <w:t>Defect tracking with severity, priority, and labels</w:t>
            </w:r>
          </w:p>
        </w:tc>
      </w:tr>
      <w:tr>
        <w:tc>
          <w:tcPr>
            <w:tcW w:type="dxa" w:w="3402"/>
            <w:vAlign w:val="center"/>
          </w:tcPr>
          <w:p>
            <w:pPr>
              <w:spacing w:after="0" w:line="276" w:lineRule="auto"/>
            </w:pPr>
            <w:r>
              <w:rPr>
                <w:rFonts w:ascii="Times New Roman" w:hAnsi="Times New Roman" w:eastAsia="Times New Roman"/>
                <w:sz w:val="22"/>
              </w:rPr>
              <w:t>Screenshots / TRX / TXT / XML / MP4</w:t>
            </w:r>
          </w:p>
        </w:tc>
        <w:tc>
          <w:tcPr>
            <w:tcW w:type="dxa" w:w="5669"/>
            <w:vAlign w:val="center"/>
          </w:tcPr>
          <w:p>
            <w:pPr>
              <w:spacing w:after="0" w:line="276" w:lineRule="auto"/>
            </w:pPr>
            <w:r>
              <w:rPr>
                <w:rFonts w:ascii="Times New Roman" w:hAnsi="Times New Roman" w:eastAsia="Times New Roman"/>
                <w:sz w:val="22"/>
              </w:rPr>
              <w:t>Execution evidence and automation proof</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