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CHAPTER 3. TEST DESIGN &amp; EXECUTION</w:t>
      </w:r>
    </w:p>
    <w:p>
      <w:pPr>
        <w:pStyle w:val="Heading2"/>
      </w:pPr>
      <w:r>
        <w:rPr>
          <w:b/>
        </w:rPr>
        <w:t>3.1. Test Scenarios</w:t>
      </w:r>
    </w:p>
    <w:p>
      <w:r>
        <w:rPr>
          <w:rFonts w:ascii="Times New Roman" w:hAnsi="Times New Roman" w:eastAsia="Times New Roman"/>
          <w:sz w:val="24"/>
        </w:rPr>
        <w:t>This chapter presents how the test scenarios and test cases were designed for the Online Sales Management System and how the resulting execution evidence supports the final submission. The design phase was based on real system modules, route behavior, role boundaries, validation rules, and business-risk areas identified through source inspection and local execution.</w:t>
      </w:r>
    </w:p>
    <w:p>
      <w:r>
        <w:rPr>
          <w:rFonts w:ascii="Times New Roman" w:hAnsi="Times New Roman" w:eastAsia="Times New Roman"/>
          <w:sz w:val="24"/>
        </w:rPr>
        <w:t>The scenario set was intentionally broader than the minimum number of test cases required by the course. This allowed the team to split ownership cleanly across members, cover both positive and negative flows, and preserve enough business-rule depth to support defect discovery and traceability.</w:t>
      </w:r>
    </w:p>
    <w:p>
      <w:pPr>
        <w:pStyle w:val="Heading3"/>
      </w:pPr>
      <w:r>
        <w:rPr>
          <w:b/>
        </w:rPr>
        <w:t>3.1.1. UI test scenarios</w:t>
      </w:r>
    </w:p>
    <w:p>
      <w:r>
        <w:rPr>
          <w:rFonts w:ascii="Times New Roman" w:hAnsi="Times New Roman" w:eastAsia="Times New Roman"/>
          <w:sz w:val="24"/>
        </w:rPr>
        <w:t>The UI scenario design covers the administrative interface and the public product catalog. Administrative scenarios dominate the scope because the highest-risk workflows of the system exist in secured modules such as authentication, permissions, purchases, invoices, stock, reports, and product import. Public UI scenarios were included to verify search, sorting, filtering, and product-detail behavior.</w:t>
      </w:r>
    </w:p>
    <w:p>
      <w:r>
        <w:rPr>
          <w:rFonts w:ascii="Times New Roman" w:hAnsi="Times New Roman" w:eastAsia="Times New Roman"/>
          <w:sz w:val="24"/>
        </w:rPr>
        <w:t>Based on the current scenario matrix, the project contains 33 Admin UI scenarios and 3 Public UI scenarios. These scenarios were then split into detailed executable UI test cases with non-overlapping ownership.</w:t>
      </w:r>
    </w:p>
    <w:p>
      <w:pPr>
        <w:jc w:val="center"/>
      </w:pPr>
      <w:r>
        <w:rPr>
          <w:rFonts w:ascii="Times New Roman" w:hAnsi="Times New Roman" w:eastAsia="Times New Roman"/>
          <w:i/>
          <w:sz w:val="22"/>
        </w:rPr>
        <w:t>Table 3.1. UI scenario distribution by interface</w:t>
      </w:r>
    </w:p>
    <w:tbl>
      <w:tblPr>
        <w:tblStyle w:val="TableGrid"/>
        <w:tblW w:type="auto" w:w="0"/>
        <w:jc w:val="center"/>
        <w:tblLook w:firstColumn="1" w:firstRow="1" w:lastColumn="0" w:lastRow="0" w:noHBand="0" w:noVBand="1" w:val="04A0"/>
      </w:tblPr>
      <w:tblGrid>
        <w:gridCol w:w="3120"/>
        <w:gridCol w:w="3120"/>
        <w:gridCol w:w="3120"/>
      </w:tblGrid>
      <w:tr>
        <w:tc>
          <w:tcPr>
            <w:tcW w:type="dxa" w:w="1814"/>
            <w:shd w:fill="D9EAF7"/>
            <w:vAlign w:val="center"/>
          </w:tcPr>
          <w:p>
            <w:pPr>
              <w:spacing w:after="0" w:line="276" w:lineRule="auto"/>
            </w:pPr>
            <w:r>
              <w:rPr>
                <w:rFonts w:ascii="Times New Roman" w:hAnsi="Times New Roman" w:eastAsia="Times New Roman"/>
                <w:sz w:val="22"/>
              </w:rPr>
              <w:t>Interface</w:t>
            </w:r>
          </w:p>
        </w:tc>
        <w:tc>
          <w:tcPr>
            <w:tcW w:type="dxa" w:w="1814"/>
            <w:shd w:fill="D9EAF7"/>
            <w:vAlign w:val="center"/>
          </w:tcPr>
          <w:p>
            <w:pPr>
              <w:spacing w:after="0" w:line="276" w:lineRule="auto"/>
            </w:pPr>
            <w:r>
              <w:rPr>
                <w:rFonts w:ascii="Times New Roman" w:hAnsi="Times New Roman" w:eastAsia="Times New Roman"/>
                <w:sz w:val="22"/>
              </w:rPr>
              <w:t>Scenario count</w:t>
            </w:r>
          </w:p>
        </w:tc>
        <w:tc>
          <w:tcPr>
            <w:tcW w:type="dxa" w:w="6009"/>
            <w:shd w:fill="D9EAF7"/>
            <w:vAlign w:val="center"/>
          </w:tcPr>
          <w:p>
            <w:pPr>
              <w:spacing w:after="0" w:line="276" w:lineRule="auto"/>
            </w:pPr>
            <w:r>
              <w:rPr>
                <w:rFonts w:ascii="Times New Roman" w:hAnsi="Times New Roman" w:eastAsia="Times New Roman"/>
                <w:sz w:val="22"/>
              </w:rPr>
              <w:t>Main focus</w:t>
            </w:r>
          </w:p>
        </w:tc>
      </w:tr>
      <w:tr>
        <w:tc>
          <w:tcPr>
            <w:tcW w:type="dxa" w:w="1814"/>
            <w:vAlign w:val="center"/>
          </w:tcPr>
          <w:p>
            <w:pPr>
              <w:spacing w:after="0" w:line="276" w:lineRule="auto"/>
            </w:pPr>
            <w:r>
              <w:rPr>
                <w:rFonts w:ascii="Times New Roman" w:hAnsi="Times New Roman" w:eastAsia="Times New Roman"/>
                <w:sz w:val="22"/>
              </w:rPr>
              <w:t>Admin UI</w:t>
            </w:r>
          </w:p>
        </w:tc>
        <w:tc>
          <w:tcPr>
            <w:tcW w:type="dxa" w:w="1814"/>
            <w:vAlign w:val="center"/>
          </w:tcPr>
          <w:p>
            <w:pPr>
              <w:spacing w:after="0" w:line="276" w:lineRule="auto"/>
            </w:pPr>
            <w:r>
              <w:rPr>
                <w:rFonts w:ascii="Times New Roman" w:hAnsi="Times New Roman" w:eastAsia="Times New Roman"/>
                <w:sz w:val="22"/>
              </w:rPr>
              <w:t>33</w:t>
            </w:r>
          </w:p>
        </w:tc>
        <w:tc>
          <w:tcPr>
            <w:tcW w:type="dxa" w:w="6009"/>
            <w:vAlign w:val="center"/>
          </w:tcPr>
          <w:p>
            <w:pPr>
              <w:spacing w:after="0" w:line="276" w:lineRule="auto"/>
            </w:pPr>
            <w:r>
              <w:rPr>
                <w:rFonts w:ascii="Times New Roman" w:hAnsi="Times New Roman" w:eastAsia="Times New Roman"/>
                <w:sz w:val="22"/>
              </w:rPr>
              <w:t>Authentication, permissions, CRUD, purchases, invoices, stock, reports, import</w:t>
            </w:r>
          </w:p>
        </w:tc>
      </w:tr>
      <w:tr>
        <w:tc>
          <w:tcPr>
            <w:tcW w:type="dxa" w:w="1814"/>
            <w:vAlign w:val="center"/>
          </w:tcPr>
          <w:p>
            <w:pPr>
              <w:spacing w:after="0" w:line="276" w:lineRule="auto"/>
            </w:pPr>
            <w:r>
              <w:rPr>
                <w:rFonts w:ascii="Times New Roman" w:hAnsi="Times New Roman" w:eastAsia="Times New Roman"/>
                <w:sz w:val="22"/>
              </w:rPr>
              <w:t>Public UI</w:t>
            </w:r>
          </w:p>
        </w:tc>
        <w:tc>
          <w:tcPr>
            <w:tcW w:type="dxa" w:w="1814"/>
            <w:vAlign w:val="center"/>
          </w:tcPr>
          <w:p>
            <w:pPr>
              <w:spacing w:after="0" w:line="276" w:lineRule="auto"/>
            </w:pPr>
            <w:r>
              <w:rPr>
                <w:rFonts w:ascii="Times New Roman" w:hAnsi="Times New Roman" w:eastAsia="Times New Roman"/>
                <w:sz w:val="22"/>
              </w:rPr>
              <w:t>3</w:t>
            </w:r>
          </w:p>
        </w:tc>
        <w:tc>
          <w:tcPr>
            <w:tcW w:type="dxa" w:w="6009"/>
            <w:vAlign w:val="center"/>
          </w:tcPr>
          <w:p>
            <w:pPr>
              <w:spacing w:after="0" w:line="276" w:lineRule="auto"/>
            </w:pPr>
            <w:r>
              <w:rPr>
                <w:rFonts w:ascii="Times New Roman" w:hAnsi="Times New Roman" w:eastAsia="Times New Roman"/>
                <w:sz w:val="22"/>
              </w:rPr>
              <w:t>Search, filtering, sorting, and product details</w:t>
            </w:r>
          </w:p>
        </w:tc>
      </w:tr>
      <w:tr>
        <w:tc>
          <w:tcPr>
            <w:tcW w:type="dxa" w:w="1814"/>
            <w:vAlign w:val="center"/>
          </w:tcPr>
          <w:p>
            <w:pPr>
              <w:spacing w:after="0" w:line="276" w:lineRule="auto"/>
            </w:pPr>
            <w:r>
              <w:rPr>
                <w:rFonts w:ascii="Times New Roman" w:hAnsi="Times New Roman" w:eastAsia="Times New Roman"/>
                <w:sz w:val="22"/>
              </w:rPr>
              <w:t>Total UI scenarios</w:t>
            </w:r>
          </w:p>
        </w:tc>
        <w:tc>
          <w:tcPr>
            <w:tcW w:type="dxa" w:w="1814"/>
            <w:vAlign w:val="center"/>
          </w:tcPr>
          <w:p>
            <w:pPr>
              <w:spacing w:after="0" w:line="276" w:lineRule="auto"/>
            </w:pPr>
            <w:r>
              <w:rPr>
                <w:rFonts w:ascii="Times New Roman" w:hAnsi="Times New Roman" w:eastAsia="Times New Roman"/>
                <w:sz w:val="22"/>
              </w:rPr>
              <w:t>36</w:t>
            </w:r>
          </w:p>
        </w:tc>
        <w:tc>
          <w:tcPr>
            <w:tcW w:type="dxa" w:w="6009"/>
            <w:vAlign w:val="center"/>
          </w:tcPr>
          <w:p>
            <w:pPr>
              <w:spacing w:after="0" w:line="276" w:lineRule="auto"/>
            </w:pPr>
            <w:r>
              <w:rPr>
                <w:rFonts w:ascii="Times New Roman" w:hAnsi="Times New Roman" w:eastAsia="Times New Roman"/>
                <w:sz w:val="22"/>
              </w:rPr>
              <w:t>Complete UI scenario coverage</w:t>
            </w:r>
          </w:p>
        </w:tc>
      </w:tr>
    </w:tbl>
    <w:p/>
    <w:p>
      <w:pPr>
        <w:jc w:val="center"/>
      </w:pPr>
      <w:r>
        <w:rPr>
          <w:rFonts w:ascii="Times New Roman" w:hAnsi="Times New Roman" w:eastAsia="Times New Roman"/>
          <w:i/>
          <w:sz w:val="22"/>
        </w:rPr>
        <w:t>Table 3.2. Representative UI scenario groups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AF7"/>
            <w:vAlign w:val="center"/>
          </w:tcPr>
          <w:p>
            <w:pPr>
              <w:spacing w:after="0" w:line="276" w:lineRule="auto"/>
            </w:pPr>
            <w:r>
              <w:rPr>
                <w:rFonts w:ascii="Times New Roman" w:hAnsi="Times New Roman" w:eastAsia="Times New Roman"/>
                <w:sz w:val="22"/>
              </w:rPr>
              <w:t>Module</w:t>
            </w:r>
          </w:p>
        </w:tc>
        <w:tc>
          <w:tcPr>
            <w:tcW w:type="dxa" w:w="5783"/>
            <w:shd w:fill="D9EAF7"/>
            <w:vAlign w:val="center"/>
          </w:tcPr>
          <w:p>
            <w:pPr>
              <w:spacing w:after="0" w:line="276" w:lineRule="auto"/>
            </w:pPr>
            <w:r>
              <w:rPr>
                <w:rFonts w:ascii="Times New Roman" w:hAnsi="Times New Roman" w:eastAsia="Times New Roman"/>
                <w:sz w:val="22"/>
              </w:rPr>
              <w:t>Representative scenario focus</w:t>
            </w:r>
          </w:p>
        </w:tc>
        <w:tc>
          <w:tcPr>
            <w:tcW w:type="dxa" w:w="1587"/>
            <w:shd w:fill="D9EAF7"/>
            <w:vAlign w:val="center"/>
          </w:tcPr>
          <w:p>
            <w:pPr>
              <w:spacing w:after="0" w:line="276" w:lineRule="auto"/>
            </w:pPr>
            <w:r>
              <w:rPr>
                <w:rFonts w:ascii="Times New Roman" w:hAnsi="Times New Roman" w:eastAsia="Times New Roman"/>
                <w:sz w:val="22"/>
              </w:rPr>
              <w:t>Risk level</w:t>
            </w:r>
          </w:p>
        </w:tc>
      </w:tr>
      <w:tr>
        <w:tc>
          <w:tcPr>
            <w:tcW w:type="dxa" w:w="2268"/>
            <w:vAlign w:val="center"/>
          </w:tcPr>
          <w:p>
            <w:pPr>
              <w:spacing w:after="0" w:line="276" w:lineRule="auto"/>
            </w:pPr>
            <w:r>
              <w:rPr>
                <w:rFonts w:ascii="Times New Roman" w:hAnsi="Times New Roman" w:eastAsia="Times New Roman"/>
                <w:sz w:val="22"/>
              </w:rPr>
              <w:t>Authentication</w:t>
            </w:r>
          </w:p>
        </w:tc>
        <w:tc>
          <w:tcPr>
            <w:tcW w:type="dxa" w:w="5783"/>
            <w:vAlign w:val="center"/>
          </w:tcPr>
          <w:p>
            <w:pPr>
              <w:spacing w:after="0" w:line="276" w:lineRule="auto"/>
            </w:pPr>
            <w:r>
              <w:rPr>
                <w:rFonts w:ascii="Times New Roman" w:hAnsi="Times New Roman" w:eastAsia="Times New Roman"/>
                <w:sz w:val="22"/>
              </w:rPr>
              <w:t>Valid login, invalid login, inactive-account blocking</w:t>
            </w:r>
          </w:p>
        </w:tc>
        <w:tc>
          <w:tcPr>
            <w:tcW w:type="dxa" w:w="1587"/>
            <w:vAlign w:val="center"/>
          </w:tcPr>
          <w:p>
            <w:pPr>
              <w:spacing w:after="0" w:line="276" w:lineRule="auto"/>
            </w:pPr>
            <w:r>
              <w:rPr>
                <w:rFonts w:ascii="Times New Roman" w:hAnsi="Times New Roman" w:eastAsia="Times New Roman"/>
                <w:sz w:val="22"/>
              </w:rPr>
              <w:t>Critical</w:t>
            </w:r>
          </w:p>
        </w:tc>
      </w:tr>
      <w:tr>
        <w:tc>
          <w:tcPr>
            <w:tcW w:type="dxa" w:w="2268"/>
            <w:vAlign w:val="center"/>
          </w:tcPr>
          <w:p>
            <w:pPr>
              <w:spacing w:after="0" w:line="276" w:lineRule="auto"/>
            </w:pPr>
            <w:r>
              <w:rPr>
                <w:rFonts w:ascii="Times New Roman" w:hAnsi="Times New Roman" w:eastAsia="Times New Roman"/>
                <w:sz w:val="22"/>
              </w:rPr>
              <w:t>Permissions</w:t>
            </w:r>
          </w:p>
        </w:tc>
        <w:tc>
          <w:tcPr>
            <w:tcW w:type="dxa" w:w="5783"/>
            <w:vAlign w:val="center"/>
          </w:tcPr>
          <w:p>
            <w:pPr>
              <w:spacing w:after="0" w:line="276" w:lineRule="auto"/>
            </w:pPr>
            <w:r>
              <w:rPr>
                <w:rFonts w:ascii="Times New Roman" w:hAnsi="Times New Roman" w:eastAsia="Times New Roman"/>
                <w:sz w:val="22"/>
              </w:rPr>
              <w:t>Role-based denial and module visibility</w:t>
            </w:r>
          </w:p>
        </w:tc>
        <w:tc>
          <w:tcPr>
            <w:tcW w:type="dxa" w:w="1587"/>
            <w:vAlign w:val="center"/>
          </w:tcPr>
          <w:p>
            <w:pPr>
              <w:spacing w:after="0" w:line="276" w:lineRule="auto"/>
            </w:pPr>
            <w:r>
              <w:rPr>
                <w:rFonts w:ascii="Times New Roman" w:hAnsi="Times New Roman" w:eastAsia="Times New Roman"/>
                <w:sz w:val="22"/>
              </w:rPr>
              <w:t>Critical</w:t>
            </w:r>
          </w:p>
        </w:tc>
      </w:tr>
      <w:tr>
        <w:tc>
          <w:tcPr>
            <w:tcW w:type="dxa" w:w="2268"/>
            <w:vAlign w:val="center"/>
          </w:tcPr>
          <w:p>
            <w:pPr>
              <w:spacing w:after="0" w:line="276" w:lineRule="auto"/>
            </w:pPr>
            <w:r>
              <w:rPr>
                <w:rFonts w:ascii="Times New Roman" w:hAnsi="Times New Roman" w:eastAsia="Times New Roman"/>
                <w:sz w:val="22"/>
              </w:rPr>
              <w:t>Products / Import</w:t>
            </w:r>
          </w:p>
        </w:tc>
        <w:tc>
          <w:tcPr>
            <w:tcW w:type="dxa" w:w="5783"/>
            <w:vAlign w:val="center"/>
          </w:tcPr>
          <w:p>
            <w:pPr>
              <w:spacing w:after="0" w:line="276" w:lineRule="auto"/>
            </w:pPr>
            <w:r>
              <w:rPr>
                <w:rFonts w:ascii="Times New Roman" w:hAnsi="Times New Roman" w:eastAsia="Times New Roman"/>
                <w:sz w:val="22"/>
              </w:rPr>
              <w:t>Validation, duplicate handling, preview and confirm behavior</w:t>
            </w:r>
          </w:p>
        </w:tc>
        <w:tc>
          <w:tcPr>
            <w:tcW w:type="dxa" w:w="1587"/>
            <w:vAlign w:val="center"/>
          </w:tcPr>
          <w:p>
            <w:pPr>
              <w:spacing w:after="0" w:line="276" w:lineRule="auto"/>
            </w:pPr>
            <w:r>
              <w:rPr>
                <w:rFonts w:ascii="Times New Roman" w:hAnsi="Times New Roman" w:eastAsia="Times New Roman"/>
                <w:sz w:val="22"/>
              </w:rPr>
              <w:t>Critical</w:t>
            </w:r>
          </w:p>
        </w:tc>
      </w:tr>
      <w:tr>
        <w:tc>
          <w:tcPr>
            <w:tcW w:type="dxa" w:w="2268"/>
            <w:vAlign w:val="center"/>
          </w:tcPr>
          <w:p>
            <w:pPr>
              <w:spacing w:after="0" w:line="276" w:lineRule="auto"/>
            </w:pPr>
            <w:r>
              <w:rPr>
                <w:rFonts w:ascii="Times New Roman" w:hAnsi="Times New Roman" w:eastAsia="Times New Roman"/>
                <w:sz w:val="22"/>
              </w:rPr>
              <w:t>Purchases</w:t>
            </w:r>
          </w:p>
        </w:tc>
        <w:tc>
          <w:tcPr>
            <w:tcW w:type="dxa" w:w="5783"/>
            <w:vAlign w:val="center"/>
          </w:tcPr>
          <w:p>
            <w:pPr>
              <w:spacing w:after="0" w:line="276" w:lineRule="auto"/>
            </w:pPr>
            <w:r>
              <w:rPr>
                <w:rFonts w:ascii="Times New Roman" w:hAnsi="Times New Roman" w:eastAsia="Times New Roman"/>
                <w:sz w:val="22"/>
              </w:rPr>
              <w:t>Draft creation, validation, receiving, cancellation rules</w:t>
            </w:r>
          </w:p>
        </w:tc>
        <w:tc>
          <w:tcPr>
            <w:tcW w:type="dxa" w:w="1587"/>
            <w:vAlign w:val="center"/>
          </w:tcPr>
          <w:p>
            <w:pPr>
              <w:spacing w:after="0" w:line="276" w:lineRule="auto"/>
            </w:pPr>
            <w:r>
              <w:rPr>
                <w:rFonts w:ascii="Times New Roman" w:hAnsi="Times New Roman" w:eastAsia="Times New Roman"/>
                <w:sz w:val="22"/>
              </w:rPr>
              <w:t>Critical</w:t>
            </w:r>
          </w:p>
        </w:tc>
      </w:tr>
      <w:tr>
        <w:tc>
          <w:tcPr>
            <w:tcW w:type="dxa" w:w="2268"/>
            <w:vAlign w:val="center"/>
          </w:tcPr>
          <w:p>
            <w:pPr>
              <w:spacing w:after="0" w:line="276" w:lineRule="auto"/>
            </w:pPr>
            <w:r>
              <w:rPr>
                <w:rFonts w:ascii="Times New Roman" w:hAnsi="Times New Roman" w:eastAsia="Times New Roman"/>
                <w:sz w:val="22"/>
              </w:rPr>
              <w:t>Invoices</w:t>
            </w:r>
          </w:p>
        </w:tc>
        <w:tc>
          <w:tcPr>
            <w:tcW w:type="dxa" w:w="5783"/>
            <w:vAlign w:val="center"/>
          </w:tcPr>
          <w:p>
            <w:pPr>
              <w:spacing w:after="0" w:line="276" w:lineRule="auto"/>
            </w:pPr>
            <w:r>
              <w:rPr>
                <w:rFonts w:ascii="Times New Roman" w:hAnsi="Times New Roman" w:eastAsia="Times New Roman"/>
                <w:sz w:val="22"/>
              </w:rPr>
              <w:t>Creation, payment transition, cancellation, stock-sensitive logic</w:t>
            </w:r>
          </w:p>
        </w:tc>
        <w:tc>
          <w:tcPr>
            <w:tcW w:type="dxa" w:w="1587"/>
            <w:vAlign w:val="center"/>
          </w:tcPr>
          <w:p>
            <w:pPr>
              <w:spacing w:after="0" w:line="276" w:lineRule="auto"/>
            </w:pPr>
            <w:r>
              <w:rPr>
                <w:rFonts w:ascii="Times New Roman" w:hAnsi="Times New Roman" w:eastAsia="Times New Roman"/>
                <w:sz w:val="22"/>
              </w:rPr>
              <w:t>Critical</w:t>
            </w:r>
          </w:p>
        </w:tc>
      </w:tr>
      <w:tr>
        <w:tc>
          <w:tcPr>
            <w:tcW w:type="dxa" w:w="2268"/>
            <w:vAlign w:val="center"/>
          </w:tcPr>
          <w:p>
            <w:pPr>
              <w:spacing w:after="0" w:line="276" w:lineRule="auto"/>
            </w:pPr>
            <w:r>
              <w:rPr>
                <w:rFonts w:ascii="Times New Roman" w:hAnsi="Times New Roman" w:eastAsia="Times New Roman"/>
                <w:sz w:val="22"/>
              </w:rPr>
              <w:t>Stock / Reports</w:t>
            </w:r>
          </w:p>
        </w:tc>
        <w:tc>
          <w:tcPr>
            <w:tcW w:type="dxa" w:w="5783"/>
            <w:vAlign w:val="center"/>
          </w:tcPr>
          <w:p>
            <w:pPr>
              <w:spacing w:after="0" w:line="276" w:lineRule="auto"/>
            </w:pPr>
            <w:r>
              <w:rPr>
                <w:rFonts w:ascii="Times New Roman" w:hAnsi="Times New Roman" w:eastAsia="Times New Roman"/>
                <w:sz w:val="22"/>
              </w:rPr>
              <w:t>Visibility, filtering, export-source verification</w:t>
            </w:r>
          </w:p>
        </w:tc>
        <w:tc>
          <w:tcPr>
            <w:tcW w:type="dxa" w:w="1587"/>
            <w:vAlign w:val="center"/>
          </w:tcPr>
          <w:p>
            <w:pPr>
              <w:spacing w:after="0" w:line="276" w:lineRule="auto"/>
            </w:pPr>
            <w:r>
              <w:rPr>
                <w:rFonts w:ascii="Times New Roman" w:hAnsi="Times New Roman" w:eastAsia="Times New Roman"/>
                <w:sz w:val="22"/>
              </w:rPr>
              <w:t>High</w:t>
            </w:r>
          </w:p>
        </w:tc>
      </w:tr>
      <w:tr>
        <w:tc>
          <w:tcPr>
            <w:tcW w:type="dxa" w:w="2268"/>
            <w:vAlign w:val="center"/>
          </w:tcPr>
          <w:p>
            <w:pPr>
              <w:spacing w:after="0" w:line="276" w:lineRule="auto"/>
            </w:pPr>
            <w:r>
              <w:rPr>
                <w:rFonts w:ascii="Times New Roman" w:hAnsi="Times New Roman" w:eastAsia="Times New Roman"/>
                <w:sz w:val="22"/>
              </w:rPr>
              <w:t>Public Catalog</w:t>
            </w:r>
          </w:p>
        </w:tc>
        <w:tc>
          <w:tcPr>
            <w:tcW w:type="dxa" w:w="5783"/>
            <w:vAlign w:val="center"/>
          </w:tcPr>
          <w:p>
            <w:pPr>
              <w:spacing w:after="0" w:line="276" w:lineRule="auto"/>
            </w:pPr>
            <w:r>
              <w:rPr>
                <w:rFonts w:ascii="Times New Roman" w:hAnsi="Times New Roman" w:eastAsia="Times New Roman"/>
                <w:sz w:val="22"/>
              </w:rPr>
              <w:t>Search, filter, sort, and product details</w:t>
            </w:r>
          </w:p>
        </w:tc>
        <w:tc>
          <w:tcPr>
            <w:tcW w:type="dxa" w:w="1587"/>
            <w:vAlign w:val="center"/>
          </w:tcPr>
          <w:p>
            <w:pPr>
              <w:spacing w:after="0" w:line="276" w:lineRule="auto"/>
            </w:pPr>
            <w:r>
              <w:rPr>
                <w:rFonts w:ascii="Times New Roman" w:hAnsi="Times New Roman" w:eastAsia="Times New Roman"/>
                <w:sz w:val="22"/>
              </w:rPr>
              <w:t>Medium</w:t>
            </w:r>
          </w:p>
        </w:tc>
      </w:tr>
    </w:tbl>
    <w:p/>
    <w:p>
      <w:pPr>
        <w:jc w:val="center"/>
      </w:pPr>
      <w:r>
        <w:drawing>
          <wp:inline xmlns:a="http://schemas.openxmlformats.org/drawingml/2006/main" xmlns:pic="http://schemas.openxmlformats.org/drawingml/2006/picture">
            <wp:extent cx="5303520" cy="2855999"/>
            <wp:docPr id="1" name="Picture 1"/>
            <wp:cNvGraphicFramePr>
              <a:graphicFrameLocks noChangeAspect="1"/>
            </wp:cNvGraphicFramePr>
            <a:graphic>
              <a:graphicData uri="http://schemas.openxmlformats.org/drawingml/2006/picture">
                <pic:pic>
                  <pic:nvPicPr>
                    <pic:cNvPr id="0" name="20260406_053930_TC-UI-AUTH-001-success.png"/>
                    <pic:cNvPicPr/>
                  </pic:nvPicPr>
                  <pic:blipFill>
                    <a:blip r:embed="rId9"/>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3.1. Example UI execution evidence for a successful authentication scenario.</w:t>
      </w:r>
    </w:p>
    <w:p/>
    <w:p>
      <w:pPr>
        <w:pStyle w:val="Heading3"/>
      </w:pPr>
      <w:r>
        <w:rPr>
          <w:b/>
        </w:rPr>
        <w:t>3.1.2. API test scenarios</w:t>
      </w:r>
    </w:p>
    <w:p>
      <w:r>
        <w:rPr>
          <w:rFonts w:ascii="Times New Roman" w:hAnsi="Times New Roman" w:eastAsia="Times New Roman"/>
          <w:sz w:val="24"/>
        </w:rPr>
        <w:t>API scenario design focused on the real endpoints exposed by the project rather than hypothetical or undocumented services. The scenario set covers the Health API and the public Catalog API. API scenarios were selected to verify service availability, response structure, query handling, detail retrieval, and invalid-parameter behavior.</w:t>
      </w:r>
    </w:p>
    <w:p>
      <w:r>
        <w:rPr>
          <w:rFonts w:ascii="Times New Roman" w:hAnsi="Times New Roman" w:eastAsia="Times New Roman"/>
          <w:sz w:val="24"/>
        </w:rPr>
        <w:t>The current scenario baseline contains 6 API scenarios, which were expanded into 19 detailed API test cases in the dedicated workbook. This split allowed the team to test more than one parameter combination under a single high-level scenario when needed.</w:t>
      </w:r>
    </w:p>
    <w:p>
      <w:pPr>
        <w:jc w:val="center"/>
      </w:pPr>
      <w:r>
        <w:rPr>
          <w:rFonts w:ascii="Times New Roman" w:hAnsi="Times New Roman" w:eastAsia="Times New Roman"/>
          <w:i/>
          <w:sz w:val="22"/>
        </w:rPr>
        <w:t>Table 3.3. API scenario coverage</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AF7"/>
            <w:vAlign w:val="center"/>
          </w:tcPr>
          <w:p>
            <w:pPr>
              <w:spacing w:after="0" w:line="276" w:lineRule="auto"/>
            </w:pPr>
            <w:r>
              <w:rPr>
                <w:rFonts w:ascii="Times New Roman" w:hAnsi="Times New Roman" w:eastAsia="Times New Roman"/>
                <w:sz w:val="22"/>
              </w:rPr>
              <w:t>API scenario area</w:t>
            </w:r>
          </w:p>
        </w:tc>
        <w:tc>
          <w:tcPr>
            <w:tcW w:type="dxa" w:w="5102"/>
            <w:shd w:fill="D9EAF7"/>
            <w:vAlign w:val="center"/>
          </w:tcPr>
          <w:p>
            <w:pPr>
              <w:spacing w:after="0" w:line="276" w:lineRule="auto"/>
            </w:pPr>
            <w:r>
              <w:rPr>
                <w:rFonts w:ascii="Times New Roman" w:hAnsi="Times New Roman" w:eastAsia="Times New Roman"/>
                <w:sz w:val="22"/>
              </w:rPr>
              <w:t>Scenario focus</w:t>
            </w:r>
          </w:p>
        </w:tc>
        <w:tc>
          <w:tcPr>
            <w:tcW w:type="dxa" w:w="2268"/>
            <w:shd w:fill="D9EAF7"/>
            <w:vAlign w:val="center"/>
          </w:tcPr>
          <w:p>
            <w:pPr>
              <w:spacing w:after="0" w:line="276" w:lineRule="auto"/>
            </w:pPr>
            <w:r>
              <w:rPr>
                <w:rFonts w:ascii="Times New Roman" w:hAnsi="Times New Roman" w:eastAsia="Times New Roman"/>
                <w:sz w:val="22"/>
              </w:rPr>
              <w:t>Representative endpoint</w:t>
            </w:r>
          </w:p>
        </w:tc>
      </w:tr>
      <w:tr>
        <w:tc>
          <w:tcPr>
            <w:tcW w:type="dxa" w:w="2268"/>
            <w:vAlign w:val="center"/>
          </w:tcPr>
          <w:p>
            <w:pPr>
              <w:spacing w:after="0" w:line="276" w:lineRule="auto"/>
            </w:pPr>
            <w:r>
              <w:rPr>
                <w:rFonts w:ascii="Times New Roman" w:hAnsi="Times New Roman" w:eastAsia="Times New Roman"/>
                <w:sz w:val="22"/>
              </w:rPr>
              <w:t>Health API</w:t>
            </w:r>
          </w:p>
        </w:tc>
        <w:tc>
          <w:tcPr>
            <w:tcW w:type="dxa" w:w="5102"/>
            <w:vAlign w:val="center"/>
          </w:tcPr>
          <w:p>
            <w:pPr>
              <w:spacing w:after="0" w:line="276" w:lineRule="auto"/>
            </w:pPr>
            <w:r>
              <w:rPr>
                <w:rFonts w:ascii="Times New Roman" w:hAnsi="Times New Roman" w:eastAsia="Times New Roman"/>
                <w:sz w:val="22"/>
              </w:rPr>
              <w:t>Service availability and payload structure</w:t>
            </w:r>
          </w:p>
        </w:tc>
        <w:tc>
          <w:tcPr>
            <w:tcW w:type="dxa" w:w="2268"/>
            <w:vAlign w:val="center"/>
          </w:tcPr>
          <w:p>
            <w:pPr>
              <w:spacing w:after="0" w:line="276" w:lineRule="auto"/>
            </w:pPr>
            <w:r>
              <w:rPr>
                <w:rFonts w:ascii="Times New Roman" w:hAnsi="Times New Roman" w:eastAsia="Times New Roman"/>
                <w:sz w:val="22"/>
              </w:rPr>
              <w:t>GET /api/v1/health</w:t>
            </w:r>
          </w:p>
        </w:tc>
      </w:tr>
      <w:tr>
        <w:tc>
          <w:tcPr>
            <w:tcW w:type="dxa" w:w="2268"/>
            <w:vAlign w:val="center"/>
          </w:tcPr>
          <w:p>
            <w:pPr>
              <w:spacing w:after="0" w:line="276" w:lineRule="auto"/>
            </w:pPr>
            <w:r>
              <w:rPr>
                <w:rFonts w:ascii="Times New Roman" w:hAnsi="Times New Roman" w:eastAsia="Times New Roman"/>
                <w:sz w:val="22"/>
              </w:rPr>
              <w:t>Catalog list</w:t>
            </w:r>
          </w:p>
        </w:tc>
        <w:tc>
          <w:tcPr>
            <w:tcW w:type="dxa" w:w="5102"/>
            <w:vAlign w:val="center"/>
          </w:tcPr>
          <w:p>
            <w:pPr>
              <w:spacing w:after="0" w:line="276" w:lineRule="auto"/>
            </w:pPr>
            <w:r>
              <w:rPr>
                <w:rFonts w:ascii="Times New Roman" w:hAnsi="Times New Roman" w:eastAsia="Times New Roman"/>
                <w:sz w:val="22"/>
              </w:rPr>
              <w:t>Pagination, search, filter, and sort behavior</w:t>
            </w:r>
          </w:p>
        </w:tc>
        <w:tc>
          <w:tcPr>
            <w:tcW w:type="dxa" w:w="2268"/>
            <w:vAlign w:val="center"/>
          </w:tcPr>
          <w:p>
            <w:pPr>
              <w:spacing w:after="0" w:line="276" w:lineRule="auto"/>
            </w:pPr>
            <w:r>
              <w:rPr>
                <w:rFonts w:ascii="Times New Roman" w:hAnsi="Times New Roman" w:eastAsia="Times New Roman"/>
                <w:sz w:val="22"/>
              </w:rPr>
              <w:t>GET /api/v1/catalog/products</w:t>
            </w:r>
          </w:p>
        </w:tc>
      </w:tr>
      <w:tr>
        <w:tc>
          <w:tcPr>
            <w:tcW w:type="dxa" w:w="2268"/>
            <w:vAlign w:val="center"/>
          </w:tcPr>
          <w:p>
            <w:pPr>
              <w:spacing w:after="0" w:line="276" w:lineRule="auto"/>
            </w:pPr>
            <w:r>
              <w:rPr>
                <w:rFonts w:ascii="Times New Roman" w:hAnsi="Times New Roman" w:eastAsia="Times New Roman"/>
                <w:sz w:val="22"/>
              </w:rPr>
              <w:t>Catalog detail</w:t>
            </w:r>
          </w:p>
        </w:tc>
        <w:tc>
          <w:tcPr>
            <w:tcW w:type="dxa" w:w="5102"/>
            <w:vAlign w:val="center"/>
          </w:tcPr>
          <w:p>
            <w:pPr>
              <w:spacing w:after="0" w:line="276" w:lineRule="auto"/>
            </w:pPr>
            <w:r>
              <w:rPr>
                <w:rFonts w:ascii="Times New Roman" w:hAnsi="Times New Roman" w:eastAsia="Times New Roman"/>
                <w:sz w:val="22"/>
              </w:rPr>
              <w:t>Valid ID and not-found behavior</w:t>
            </w:r>
          </w:p>
        </w:tc>
        <w:tc>
          <w:tcPr>
            <w:tcW w:type="dxa" w:w="2268"/>
            <w:vAlign w:val="center"/>
          </w:tcPr>
          <w:p>
            <w:pPr>
              <w:spacing w:after="0" w:line="276" w:lineRule="auto"/>
            </w:pPr>
            <w:r>
              <w:rPr>
                <w:rFonts w:ascii="Times New Roman" w:hAnsi="Times New Roman" w:eastAsia="Times New Roman"/>
                <w:sz w:val="22"/>
              </w:rPr>
              <w:t>GET /api/v1/catalog/products/{id}</w:t>
            </w:r>
          </w:p>
        </w:tc>
      </w:tr>
      <w:tr>
        <w:tc>
          <w:tcPr>
            <w:tcW w:type="dxa" w:w="2268"/>
            <w:vAlign w:val="center"/>
          </w:tcPr>
          <w:p>
            <w:pPr>
              <w:spacing w:after="0" w:line="276" w:lineRule="auto"/>
            </w:pPr>
            <w:r>
              <w:rPr>
                <w:rFonts w:ascii="Times New Roman" w:hAnsi="Times New Roman" w:eastAsia="Times New Roman"/>
                <w:sz w:val="22"/>
              </w:rPr>
              <w:t>Catalog metadata</w:t>
            </w:r>
          </w:p>
        </w:tc>
        <w:tc>
          <w:tcPr>
            <w:tcW w:type="dxa" w:w="5102"/>
            <w:vAlign w:val="center"/>
          </w:tcPr>
          <w:p>
            <w:pPr>
              <w:spacing w:after="0" w:line="276" w:lineRule="auto"/>
            </w:pPr>
            <w:r>
              <w:rPr>
                <w:rFonts w:ascii="Times New Roman" w:hAnsi="Times New Roman" w:eastAsia="Times New Roman"/>
                <w:sz w:val="22"/>
              </w:rPr>
              <w:t>Trending and filter-data retrieval</w:t>
            </w:r>
          </w:p>
        </w:tc>
        <w:tc>
          <w:tcPr>
            <w:tcW w:type="dxa" w:w="2268"/>
            <w:vAlign w:val="center"/>
          </w:tcPr>
          <w:p>
            <w:pPr>
              <w:spacing w:after="0" w:line="276" w:lineRule="auto"/>
            </w:pPr>
            <w:r>
              <w:rPr>
                <w:rFonts w:ascii="Times New Roman" w:hAnsi="Times New Roman" w:eastAsia="Times New Roman"/>
                <w:sz w:val="22"/>
              </w:rPr>
              <w:t>GET /api/v1/catalog/trending and /filters</w:t>
            </w:r>
          </w:p>
        </w:tc>
      </w:tr>
      <w:tr>
        <w:tc>
          <w:tcPr>
            <w:tcW w:type="dxa" w:w="2268"/>
            <w:vAlign w:val="center"/>
          </w:tcPr>
          <w:p>
            <w:pPr>
              <w:spacing w:after="0" w:line="276" w:lineRule="auto"/>
            </w:pPr>
            <w:r>
              <w:rPr>
                <w:rFonts w:ascii="Times New Roman" w:hAnsi="Times New Roman" w:eastAsia="Times New Roman"/>
                <w:sz w:val="22"/>
              </w:rPr>
              <w:t>Validation handling</w:t>
            </w:r>
          </w:p>
        </w:tc>
        <w:tc>
          <w:tcPr>
            <w:tcW w:type="dxa" w:w="5102"/>
            <w:vAlign w:val="center"/>
          </w:tcPr>
          <w:p>
            <w:pPr>
              <w:spacing w:after="0" w:line="276" w:lineRule="auto"/>
            </w:pPr>
            <w:r>
              <w:rPr>
                <w:rFonts w:ascii="Times New Roman" w:hAnsi="Times New Roman" w:eastAsia="Times New Roman"/>
                <w:sz w:val="22"/>
              </w:rPr>
              <w:t>Unsupported or invalid query combinations</w:t>
            </w:r>
          </w:p>
        </w:tc>
        <w:tc>
          <w:tcPr>
            <w:tcW w:type="dxa" w:w="2268"/>
            <w:vAlign w:val="center"/>
          </w:tcPr>
          <w:p>
            <w:pPr>
              <w:spacing w:after="0" w:line="276" w:lineRule="auto"/>
            </w:pPr>
            <w:r>
              <w:rPr>
                <w:rFonts w:ascii="Times New Roman" w:hAnsi="Times New Roman" w:eastAsia="Times New Roman"/>
                <w:sz w:val="22"/>
              </w:rPr>
              <w:t>Catalog endpoints with invalid parameters</w:t>
            </w:r>
          </w:p>
        </w:tc>
      </w:tr>
    </w:tbl>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OSMS-Newman-Full-Run-Snippet.png"/>
                    <pic:cNvPicPr/>
                  </pic:nvPicPr>
                  <pic:blipFill>
                    <a:blip r:embed="rId10"/>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2"/>
        </w:rPr>
        <w:t>Figure 3.2. API scenario execution evidence produced by the Newman full-run output.</w:t>
      </w:r>
    </w:p>
    <w:p/>
    <w:p>
      <w:pPr>
        <w:pStyle w:val="Heading3"/>
      </w:pPr>
      <w:r>
        <w:rPr>
          <w:b/>
        </w:rPr>
        <w:t>3.1.3. Edge cases and exception scenarios</w:t>
      </w:r>
    </w:p>
    <w:p>
      <w:r>
        <w:rPr>
          <w:rFonts w:ascii="Times New Roman" w:hAnsi="Times New Roman" w:eastAsia="Times New Roman"/>
          <w:sz w:val="24"/>
        </w:rPr>
        <w:t>Edge cases and exception scenarios were intentionally included to prevent the design from being limited to happy-path verification. These scenarios are important because the rubric rewards logical depth, error handling, and the ability to identify hidden business-rule defects.</w:t>
      </w:r>
    </w:p>
    <w:p>
      <w:pPr>
        <w:ind w:left="357" w:hanging="170"/>
      </w:pPr>
      <w:r>
        <w:rPr>
          <w:rFonts w:ascii="Times New Roman" w:hAnsi="Times New Roman" w:eastAsia="Times New Roman"/>
          <w:sz w:val="24"/>
        </w:rPr>
        <w:t>• inactive-account login despite otherwise valid credentials</w:t>
      </w:r>
    </w:p>
    <w:p>
      <w:pPr>
        <w:ind w:left="357" w:hanging="170"/>
      </w:pPr>
      <w:r>
        <w:rPr>
          <w:rFonts w:ascii="Times New Roman" w:hAnsi="Times New Roman" w:eastAsia="Times New Roman"/>
          <w:sz w:val="24"/>
        </w:rPr>
        <w:t>• role-based access attempts to secured modules</w:t>
      </w:r>
    </w:p>
    <w:p>
      <w:pPr>
        <w:ind w:left="357" w:hanging="170"/>
      </w:pPr>
      <w:r>
        <w:rPr>
          <w:rFonts w:ascii="Times New Roman" w:hAnsi="Times New Roman" w:eastAsia="Times New Roman"/>
          <w:sz w:val="24"/>
        </w:rPr>
        <w:t>• duplicate SKU and invalid numeric values in product management</w:t>
      </w:r>
    </w:p>
    <w:p>
      <w:pPr>
        <w:ind w:left="357" w:hanging="170"/>
      </w:pPr>
      <w:r>
        <w:rPr>
          <w:rFonts w:ascii="Times New Roman" w:hAnsi="Times New Roman" w:eastAsia="Times New Roman"/>
          <w:sz w:val="24"/>
        </w:rPr>
        <w:t>• non-xlsx and malformed uploads for product import</w:t>
      </w:r>
    </w:p>
    <w:p>
      <w:pPr>
        <w:ind w:left="357" w:hanging="170"/>
      </w:pPr>
      <w:r>
        <w:rPr>
          <w:rFonts w:ascii="Times New Roman" w:hAnsi="Times New Roman" w:eastAsia="Times New Roman"/>
          <w:sz w:val="24"/>
        </w:rPr>
        <w:t>• expired or missing preview state during import confirmation</w:t>
      </w:r>
    </w:p>
    <w:p>
      <w:pPr>
        <w:ind w:left="357" w:hanging="170"/>
      </w:pPr>
      <w:r>
        <w:rPr>
          <w:rFonts w:ascii="Times New Roman" w:hAnsi="Times New Roman" w:eastAsia="Times New Roman"/>
          <w:sz w:val="24"/>
        </w:rPr>
        <w:t>• purchase creation with missing supplier or empty item list</w:t>
      </w:r>
    </w:p>
    <w:p>
      <w:pPr>
        <w:ind w:left="357" w:hanging="170"/>
      </w:pPr>
      <w:r>
        <w:rPr>
          <w:rFonts w:ascii="Times New Roman" w:hAnsi="Times New Roman" w:eastAsia="Times New Roman"/>
          <w:sz w:val="24"/>
        </w:rPr>
        <w:t>• invoice creation with insufficient stock or invalid posted state</w:t>
      </w:r>
    </w:p>
    <w:p>
      <w:pPr>
        <w:ind w:left="357" w:hanging="170"/>
      </w:pPr>
      <w:r>
        <w:rPr>
          <w:rFonts w:ascii="Times New Roman" w:hAnsi="Times New Roman" w:eastAsia="Times New Roman"/>
          <w:sz w:val="24"/>
        </w:rPr>
        <w:t>• invoice cancellation and payment transitions under sensitive business states</w:t>
      </w:r>
    </w:p>
    <w:p>
      <w:pPr>
        <w:ind w:left="357" w:hanging="170"/>
      </w:pPr>
      <w:r>
        <w:rPr>
          <w:rFonts w:ascii="Times New Roman" w:hAnsi="Times New Roman" w:eastAsia="Times New Roman"/>
          <w:sz w:val="24"/>
        </w:rPr>
        <w:t>• unsupported sort and invalid query combinations in API requests</w:t>
      </w:r>
    </w:p>
    <w:p>
      <w:pPr>
        <w:jc w:val="center"/>
      </w:pPr>
      <w:r>
        <w:rPr>
          <w:rFonts w:ascii="Times New Roman" w:hAnsi="Times New Roman" w:eastAsia="Times New Roman"/>
          <w:i/>
          <w:sz w:val="22"/>
        </w:rPr>
        <w:t>Table 3.4. Representative edge and exception scenarios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D9EAF7"/>
            <w:vAlign w:val="center"/>
          </w:tcPr>
          <w:p>
            <w:pPr>
              <w:spacing w:after="0" w:line="276" w:lineRule="auto"/>
            </w:pPr>
            <w:r>
              <w:rPr>
                <w:rFonts w:ascii="Times New Roman" w:hAnsi="Times New Roman" w:eastAsia="Times New Roman"/>
                <w:sz w:val="22"/>
              </w:rPr>
              <w:t>Scenario ID</w:t>
            </w:r>
          </w:p>
        </w:tc>
        <w:tc>
          <w:tcPr>
            <w:tcW w:type="dxa" w:w="1701"/>
            <w:shd w:fill="D9EAF7"/>
            <w:vAlign w:val="center"/>
          </w:tcPr>
          <w:p>
            <w:pPr>
              <w:spacing w:after="0" w:line="276" w:lineRule="auto"/>
            </w:pPr>
            <w:r>
              <w:rPr>
                <w:rFonts w:ascii="Times New Roman" w:hAnsi="Times New Roman" w:eastAsia="Times New Roman"/>
                <w:sz w:val="22"/>
              </w:rPr>
              <w:t>Area</w:t>
            </w:r>
          </w:p>
        </w:tc>
        <w:tc>
          <w:tcPr>
            <w:tcW w:type="dxa" w:w="3061"/>
            <w:shd w:fill="D9EAF7"/>
            <w:vAlign w:val="center"/>
          </w:tcPr>
          <w:p>
            <w:pPr>
              <w:spacing w:after="0" w:line="276" w:lineRule="auto"/>
            </w:pPr>
            <w:r>
              <w:rPr>
                <w:rFonts w:ascii="Times New Roman" w:hAnsi="Times New Roman" w:eastAsia="Times New Roman"/>
                <w:sz w:val="22"/>
              </w:rPr>
              <w:t>Exception / edge focus</w:t>
            </w:r>
          </w:p>
        </w:tc>
        <w:tc>
          <w:tcPr>
            <w:tcW w:type="dxa" w:w="3742"/>
            <w:shd w:fill="D9EAF7"/>
            <w:vAlign w:val="center"/>
          </w:tcPr>
          <w:p>
            <w:pPr>
              <w:spacing w:after="0" w:line="276" w:lineRule="auto"/>
            </w:pPr>
            <w:r>
              <w:rPr>
                <w:rFonts w:ascii="Times New Roman" w:hAnsi="Times New Roman" w:eastAsia="Times New Roman"/>
                <w:sz w:val="22"/>
              </w:rPr>
              <w:t>Why it matters</w:t>
            </w:r>
          </w:p>
        </w:tc>
      </w:tr>
      <w:tr>
        <w:tc>
          <w:tcPr>
            <w:tcW w:type="dxa" w:w="1701"/>
            <w:vAlign w:val="center"/>
          </w:tcPr>
          <w:p>
            <w:pPr>
              <w:spacing w:after="0" w:line="276" w:lineRule="auto"/>
            </w:pPr>
            <w:r>
              <w:rPr>
                <w:rFonts w:ascii="Times New Roman" w:hAnsi="Times New Roman" w:eastAsia="Times New Roman"/>
                <w:sz w:val="22"/>
              </w:rPr>
              <w:t>SCN-AUTH-003</w:t>
            </w:r>
          </w:p>
        </w:tc>
        <w:tc>
          <w:tcPr>
            <w:tcW w:type="dxa" w:w="1701"/>
            <w:vAlign w:val="center"/>
          </w:tcPr>
          <w:p>
            <w:pPr>
              <w:spacing w:after="0" w:line="276" w:lineRule="auto"/>
            </w:pPr>
            <w:r>
              <w:rPr>
                <w:rFonts w:ascii="Times New Roman" w:hAnsi="Times New Roman" w:eastAsia="Times New Roman"/>
                <w:sz w:val="22"/>
              </w:rPr>
              <w:t>Authentication</w:t>
            </w:r>
          </w:p>
        </w:tc>
        <w:tc>
          <w:tcPr>
            <w:tcW w:type="dxa" w:w="3061"/>
            <w:vAlign w:val="center"/>
          </w:tcPr>
          <w:p>
            <w:pPr>
              <w:spacing w:after="0" w:line="276" w:lineRule="auto"/>
            </w:pPr>
            <w:r>
              <w:rPr>
                <w:rFonts w:ascii="Times New Roman" w:hAnsi="Times New Roman" w:eastAsia="Times New Roman"/>
                <w:sz w:val="22"/>
              </w:rPr>
              <w:t>Inactive account login attempt</w:t>
            </w:r>
          </w:p>
        </w:tc>
        <w:tc>
          <w:tcPr>
            <w:tcW w:type="dxa" w:w="3742"/>
            <w:vAlign w:val="center"/>
          </w:tcPr>
          <w:p>
            <w:pPr>
              <w:spacing w:after="0" w:line="276" w:lineRule="auto"/>
            </w:pPr>
            <w:r>
              <w:rPr>
                <w:rFonts w:ascii="Times New Roman" w:hAnsi="Times New Roman" w:eastAsia="Times New Roman"/>
                <w:sz w:val="22"/>
              </w:rPr>
              <w:t>Prevents unauthorized account reuse</w:t>
            </w:r>
          </w:p>
        </w:tc>
      </w:tr>
      <w:tr>
        <w:tc>
          <w:tcPr>
            <w:tcW w:type="dxa" w:w="1701"/>
            <w:vAlign w:val="center"/>
          </w:tcPr>
          <w:p>
            <w:pPr>
              <w:spacing w:after="0" w:line="276" w:lineRule="auto"/>
            </w:pPr>
            <w:r>
              <w:rPr>
                <w:rFonts w:ascii="Times New Roman" w:hAnsi="Times New Roman" w:eastAsia="Times New Roman"/>
                <w:sz w:val="22"/>
              </w:rPr>
              <w:t>SCN-GOV-001</w:t>
            </w:r>
          </w:p>
        </w:tc>
        <w:tc>
          <w:tcPr>
            <w:tcW w:type="dxa" w:w="1701"/>
            <w:vAlign w:val="center"/>
          </w:tcPr>
          <w:p>
            <w:pPr>
              <w:spacing w:after="0" w:line="276" w:lineRule="auto"/>
            </w:pPr>
            <w:r>
              <w:rPr>
                <w:rFonts w:ascii="Times New Roman" w:hAnsi="Times New Roman" w:eastAsia="Times New Roman"/>
                <w:sz w:val="22"/>
              </w:rPr>
              <w:t>Permissions</w:t>
            </w:r>
          </w:p>
        </w:tc>
        <w:tc>
          <w:tcPr>
            <w:tcW w:type="dxa" w:w="3061"/>
            <w:vAlign w:val="center"/>
          </w:tcPr>
          <w:p>
            <w:pPr>
              <w:spacing w:after="0" w:line="276" w:lineRule="auto"/>
            </w:pPr>
            <w:r>
              <w:rPr>
                <w:rFonts w:ascii="Times New Roman" w:hAnsi="Times New Roman" w:eastAsia="Times New Roman"/>
                <w:sz w:val="22"/>
              </w:rPr>
              <w:t>Sales role opens restricted module</w:t>
            </w:r>
          </w:p>
        </w:tc>
        <w:tc>
          <w:tcPr>
            <w:tcW w:type="dxa" w:w="3742"/>
            <w:vAlign w:val="center"/>
          </w:tcPr>
          <w:p>
            <w:pPr>
              <w:spacing w:after="0" w:line="276" w:lineRule="auto"/>
            </w:pPr>
            <w:r>
              <w:rPr>
                <w:rFonts w:ascii="Times New Roman" w:hAnsi="Times New Roman" w:eastAsia="Times New Roman"/>
                <w:sz w:val="22"/>
              </w:rPr>
              <w:t>Verifies authorization boundaries</w:t>
            </w:r>
          </w:p>
        </w:tc>
      </w:tr>
      <w:tr>
        <w:tc>
          <w:tcPr>
            <w:tcW w:type="dxa" w:w="1701"/>
            <w:vAlign w:val="center"/>
          </w:tcPr>
          <w:p>
            <w:pPr>
              <w:spacing w:after="0" w:line="276" w:lineRule="auto"/>
            </w:pPr>
            <w:r>
              <w:rPr>
                <w:rFonts w:ascii="Times New Roman" w:hAnsi="Times New Roman" w:eastAsia="Times New Roman"/>
                <w:sz w:val="22"/>
              </w:rPr>
              <w:t>SCN-PROD-006</w:t>
            </w:r>
          </w:p>
        </w:tc>
        <w:tc>
          <w:tcPr>
            <w:tcW w:type="dxa" w:w="1701"/>
            <w:vAlign w:val="center"/>
          </w:tcPr>
          <w:p>
            <w:pPr>
              <w:spacing w:after="0" w:line="276" w:lineRule="auto"/>
            </w:pPr>
            <w:r>
              <w:rPr>
                <w:rFonts w:ascii="Times New Roman" w:hAnsi="Times New Roman" w:eastAsia="Times New Roman"/>
                <w:sz w:val="22"/>
              </w:rPr>
              <w:t>Product Import</w:t>
            </w:r>
          </w:p>
        </w:tc>
        <w:tc>
          <w:tcPr>
            <w:tcW w:type="dxa" w:w="3061"/>
            <w:vAlign w:val="center"/>
          </w:tcPr>
          <w:p>
            <w:pPr>
              <w:spacing w:after="0" w:line="276" w:lineRule="auto"/>
            </w:pPr>
            <w:r>
              <w:rPr>
                <w:rFonts w:ascii="Times New Roman" w:hAnsi="Times New Roman" w:eastAsia="Times New Roman"/>
                <w:sz w:val="22"/>
              </w:rPr>
              <w:t>Invalid upload type or malformed workbook</w:t>
            </w:r>
          </w:p>
        </w:tc>
        <w:tc>
          <w:tcPr>
            <w:tcW w:type="dxa" w:w="3742"/>
            <w:vAlign w:val="center"/>
          </w:tcPr>
          <w:p>
            <w:pPr>
              <w:spacing w:after="0" w:line="276" w:lineRule="auto"/>
            </w:pPr>
            <w:r>
              <w:rPr>
                <w:rFonts w:ascii="Times New Roman" w:hAnsi="Times New Roman" w:eastAsia="Times New Roman"/>
                <w:sz w:val="22"/>
              </w:rPr>
              <w:t>Protects the system from invalid bulk data input</w:t>
            </w:r>
          </w:p>
        </w:tc>
      </w:tr>
      <w:tr>
        <w:tc>
          <w:tcPr>
            <w:tcW w:type="dxa" w:w="1701"/>
            <w:vAlign w:val="center"/>
          </w:tcPr>
          <w:p>
            <w:pPr>
              <w:spacing w:after="0" w:line="276" w:lineRule="auto"/>
            </w:pPr>
            <w:r>
              <w:rPr>
                <w:rFonts w:ascii="Times New Roman" w:hAnsi="Times New Roman" w:eastAsia="Times New Roman"/>
                <w:sz w:val="22"/>
              </w:rPr>
              <w:t>SCN-PROD-007</w:t>
            </w:r>
          </w:p>
        </w:tc>
        <w:tc>
          <w:tcPr>
            <w:tcW w:type="dxa" w:w="1701"/>
            <w:vAlign w:val="center"/>
          </w:tcPr>
          <w:p>
            <w:pPr>
              <w:spacing w:after="0" w:line="276" w:lineRule="auto"/>
            </w:pPr>
            <w:r>
              <w:rPr>
                <w:rFonts w:ascii="Times New Roman" w:hAnsi="Times New Roman" w:eastAsia="Times New Roman"/>
                <w:sz w:val="22"/>
              </w:rPr>
              <w:t>Product Import</w:t>
            </w:r>
          </w:p>
        </w:tc>
        <w:tc>
          <w:tcPr>
            <w:tcW w:type="dxa" w:w="3061"/>
            <w:vAlign w:val="center"/>
          </w:tcPr>
          <w:p>
            <w:pPr>
              <w:spacing w:after="0" w:line="276" w:lineRule="auto"/>
            </w:pPr>
            <w:r>
              <w:rPr>
                <w:rFonts w:ascii="Times New Roman" w:hAnsi="Times New Roman" w:eastAsia="Times New Roman"/>
                <w:sz w:val="22"/>
              </w:rPr>
              <w:t>Preview-confirm lifecycle issues</w:t>
            </w:r>
          </w:p>
        </w:tc>
        <w:tc>
          <w:tcPr>
            <w:tcW w:type="dxa" w:w="3742"/>
            <w:vAlign w:val="center"/>
          </w:tcPr>
          <w:p>
            <w:pPr>
              <w:spacing w:after="0" w:line="276" w:lineRule="auto"/>
            </w:pPr>
            <w:r>
              <w:rPr>
                <w:rFonts w:ascii="Times New Roman" w:hAnsi="Times New Roman" w:eastAsia="Times New Roman"/>
                <w:sz w:val="22"/>
              </w:rPr>
              <w:t>Targets high-risk cache and state behavior</w:t>
            </w:r>
          </w:p>
        </w:tc>
      </w:tr>
      <w:tr>
        <w:tc>
          <w:tcPr>
            <w:tcW w:type="dxa" w:w="1701"/>
            <w:vAlign w:val="center"/>
          </w:tcPr>
          <w:p>
            <w:pPr>
              <w:spacing w:after="0" w:line="276" w:lineRule="auto"/>
            </w:pPr>
            <w:r>
              <w:rPr>
                <w:rFonts w:ascii="Times New Roman" w:hAnsi="Times New Roman" w:eastAsia="Times New Roman"/>
                <w:sz w:val="22"/>
              </w:rPr>
              <w:t>SCN-PUR-002</w:t>
            </w:r>
          </w:p>
        </w:tc>
        <w:tc>
          <w:tcPr>
            <w:tcW w:type="dxa" w:w="1701"/>
            <w:vAlign w:val="center"/>
          </w:tcPr>
          <w:p>
            <w:pPr>
              <w:spacing w:after="0" w:line="276" w:lineRule="auto"/>
            </w:pPr>
            <w:r>
              <w:rPr>
                <w:rFonts w:ascii="Times New Roman" w:hAnsi="Times New Roman" w:eastAsia="Times New Roman"/>
                <w:sz w:val="22"/>
              </w:rPr>
              <w:t>Purchases</w:t>
            </w:r>
          </w:p>
        </w:tc>
        <w:tc>
          <w:tcPr>
            <w:tcW w:type="dxa" w:w="3061"/>
            <w:vAlign w:val="center"/>
          </w:tcPr>
          <w:p>
            <w:pPr>
              <w:spacing w:after="0" w:line="276" w:lineRule="auto"/>
            </w:pPr>
            <w:r>
              <w:rPr>
                <w:rFonts w:ascii="Times New Roman" w:hAnsi="Times New Roman" w:eastAsia="Times New Roman"/>
                <w:sz w:val="22"/>
              </w:rPr>
              <w:t>Missing supplier or missing item list</w:t>
            </w:r>
          </w:p>
        </w:tc>
        <w:tc>
          <w:tcPr>
            <w:tcW w:type="dxa" w:w="3742"/>
            <w:vAlign w:val="center"/>
          </w:tcPr>
          <w:p>
            <w:pPr>
              <w:spacing w:after="0" w:line="276" w:lineRule="auto"/>
            </w:pPr>
            <w:r>
              <w:rPr>
                <w:rFonts w:ascii="Times New Roman" w:hAnsi="Times New Roman" w:eastAsia="Times New Roman"/>
                <w:sz w:val="22"/>
              </w:rPr>
              <w:t>Protects transaction integrity</w:t>
            </w:r>
          </w:p>
        </w:tc>
      </w:tr>
      <w:tr>
        <w:tc>
          <w:tcPr>
            <w:tcW w:type="dxa" w:w="1701"/>
            <w:vAlign w:val="center"/>
          </w:tcPr>
          <w:p>
            <w:pPr>
              <w:spacing w:after="0" w:line="276" w:lineRule="auto"/>
            </w:pPr>
            <w:r>
              <w:rPr>
                <w:rFonts w:ascii="Times New Roman" w:hAnsi="Times New Roman" w:eastAsia="Times New Roman"/>
                <w:sz w:val="22"/>
              </w:rPr>
              <w:t>SCN-INV-003</w:t>
            </w:r>
          </w:p>
        </w:tc>
        <w:tc>
          <w:tcPr>
            <w:tcW w:type="dxa" w:w="1701"/>
            <w:vAlign w:val="center"/>
          </w:tcPr>
          <w:p>
            <w:pPr>
              <w:spacing w:after="0" w:line="276" w:lineRule="auto"/>
            </w:pPr>
            <w:r>
              <w:rPr>
                <w:rFonts w:ascii="Times New Roman" w:hAnsi="Times New Roman" w:eastAsia="Times New Roman"/>
                <w:sz w:val="22"/>
              </w:rPr>
              <w:t>Invoices</w:t>
            </w:r>
          </w:p>
        </w:tc>
        <w:tc>
          <w:tcPr>
            <w:tcW w:type="dxa" w:w="3061"/>
            <w:vAlign w:val="center"/>
          </w:tcPr>
          <w:p>
            <w:pPr>
              <w:spacing w:after="0" w:line="276" w:lineRule="auto"/>
            </w:pPr>
            <w:r>
              <w:rPr>
                <w:rFonts w:ascii="Times New Roman" w:hAnsi="Times New Roman" w:eastAsia="Times New Roman"/>
                <w:sz w:val="22"/>
              </w:rPr>
              <w:t>Server-side price and transaction safety</w:t>
            </w:r>
          </w:p>
        </w:tc>
        <w:tc>
          <w:tcPr>
            <w:tcW w:type="dxa" w:w="3742"/>
            <w:vAlign w:val="center"/>
          </w:tcPr>
          <w:p>
            <w:pPr>
              <w:spacing w:after="0" w:line="276" w:lineRule="auto"/>
            </w:pPr>
            <w:r>
              <w:rPr>
                <w:rFonts w:ascii="Times New Roman" w:hAnsi="Times New Roman" w:eastAsia="Times New Roman"/>
                <w:sz w:val="22"/>
              </w:rPr>
              <w:t>Targets hidden business-rule and security risk</w:t>
            </w:r>
          </w:p>
        </w:tc>
      </w:tr>
      <w:tr>
        <w:tc>
          <w:tcPr>
            <w:tcW w:type="dxa" w:w="1701"/>
            <w:vAlign w:val="center"/>
          </w:tcPr>
          <w:p>
            <w:pPr>
              <w:spacing w:after="0" w:line="276" w:lineRule="auto"/>
            </w:pPr>
            <w:r>
              <w:rPr>
                <w:rFonts w:ascii="Times New Roman" w:hAnsi="Times New Roman" w:eastAsia="Times New Roman"/>
                <w:sz w:val="22"/>
              </w:rPr>
              <w:t>SCN-INV-006</w:t>
            </w:r>
          </w:p>
        </w:tc>
        <w:tc>
          <w:tcPr>
            <w:tcW w:type="dxa" w:w="1701"/>
            <w:vAlign w:val="center"/>
          </w:tcPr>
          <w:p>
            <w:pPr>
              <w:spacing w:after="0" w:line="276" w:lineRule="auto"/>
            </w:pPr>
            <w:r>
              <w:rPr>
                <w:rFonts w:ascii="Times New Roman" w:hAnsi="Times New Roman" w:eastAsia="Times New Roman"/>
                <w:sz w:val="22"/>
              </w:rPr>
              <w:t>Invoices</w:t>
            </w:r>
          </w:p>
        </w:tc>
        <w:tc>
          <w:tcPr>
            <w:tcW w:type="dxa" w:w="3061"/>
            <w:vAlign w:val="center"/>
          </w:tcPr>
          <w:p>
            <w:pPr>
              <w:spacing w:after="0" w:line="276" w:lineRule="auto"/>
            </w:pPr>
            <w:r>
              <w:rPr>
                <w:rFonts w:ascii="Times New Roman" w:hAnsi="Times New Roman" w:eastAsia="Times New Roman"/>
                <w:sz w:val="22"/>
              </w:rPr>
              <w:t>Cancellation and stock-return logic</w:t>
            </w:r>
          </w:p>
        </w:tc>
        <w:tc>
          <w:tcPr>
            <w:tcW w:type="dxa" w:w="3742"/>
            <w:vAlign w:val="center"/>
          </w:tcPr>
          <w:p>
            <w:pPr>
              <w:spacing w:after="0" w:line="276" w:lineRule="auto"/>
            </w:pPr>
            <w:r>
              <w:rPr>
                <w:rFonts w:ascii="Times New Roman" w:hAnsi="Times New Roman" w:eastAsia="Times New Roman"/>
                <w:sz w:val="22"/>
              </w:rPr>
              <w:t>Directly affects inventory consistency</w:t>
            </w:r>
          </w:p>
        </w:tc>
      </w:tr>
      <w:tr>
        <w:tc>
          <w:tcPr>
            <w:tcW w:type="dxa" w:w="1701"/>
            <w:vAlign w:val="center"/>
          </w:tcPr>
          <w:p>
            <w:pPr>
              <w:spacing w:after="0" w:line="276" w:lineRule="auto"/>
            </w:pPr>
            <w:r>
              <w:rPr>
                <w:rFonts w:ascii="Times New Roman" w:hAnsi="Times New Roman" w:eastAsia="Times New Roman"/>
                <w:sz w:val="22"/>
              </w:rPr>
              <w:t>SCN-API-003</w:t>
            </w:r>
          </w:p>
        </w:tc>
        <w:tc>
          <w:tcPr>
            <w:tcW w:type="dxa" w:w="1701"/>
            <w:vAlign w:val="center"/>
          </w:tcPr>
          <w:p>
            <w:pPr>
              <w:spacing w:after="0" w:line="276" w:lineRule="auto"/>
            </w:pPr>
            <w:r>
              <w:rPr>
                <w:rFonts w:ascii="Times New Roman" w:hAnsi="Times New Roman" w:eastAsia="Times New Roman"/>
                <w:sz w:val="22"/>
              </w:rPr>
              <w:t>Catalog API</w:t>
            </w:r>
          </w:p>
        </w:tc>
        <w:tc>
          <w:tcPr>
            <w:tcW w:type="dxa" w:w="3061"/>
            <w:vAlign w:val="center"/>
          </w:tcPr>
          <w:p>
            <w:pPr>
              <w:spacing w:after="0" w:line="276" w:lineRule="auto"/>
            </w:pPr>
            <w:r>
              <w:rPr>
                <w:rFonts w:ascii="Times New Roman" w:hAnsi="Times New Roman" w:eastAsia="Times New Roman"/>
                <w:sz w:val="22"/>
              </w:rPr>
              <w:t>Invalid sort / page / page-size validation</w:t>
            </w:r>
          </w:p>
        </w:tc>
        <w:tc>
          <w:tcPr>
            <w:tcW w:type="dxa" w:w="3742"/>
            <w:vAlign w:val="center"/>
          </w:tcPr>
          <w:p>
            <w:pPr>
              <w:spacing w:after="0" w:line="276" w:lineRule="auto"/>
            </w:pPr>
            <w:r>
              <w:rPr>
                <w:rFonts w:ascii="Times New Roman" w:hAnsi="Times New Roman" w:eastAsia="Times New Roman"/>
                <w:sz w:val="22"/>
              </w:rPr>
              <w:t>Protects API robustness and predictable error handling</w:t>
            </w:r>
          </w:p>
        </w:tc>
      </w:tr>
    </w:tbl>
    <w:p/>
    <w:p>
      <w:pPr>
        <w:jc w:val="center"/>
      </w:pPr>
      <w:r>
        <w:drawing>
          <wp:inline xmlns:a="http://schemas.openxmlformats.org/drawingml/2006/main" xmlns:pic="http://schemas.openxmlformats.org/drawingml/2006/picture">
            <wp:extent cx="5303520" cy="2855999"/>
            <wp:docPr id="3" name="Picture 3"/>
            <wp:cNvGraphicFramePr>
              <a:graphicFrameLocks noChangeAspect="1"/>
            </wp:cNvGraphicFramePr>
            <a:graphic>
              <a:graphicData uri="http://schemas.openxmlformats.org/drawingml/2006/picture">
                <pic:pic>
                  <pic:nvPicPr>
                    <pic:cNvPr id="0" name="20260406_054115_TC-UI-IMP-002-preview.png"/>
                    <pic:cNvPicPr/>
                  </pic:nvPicPr>
                  <pic:blipFill>
                    <a:blip r:embed="rId11"/>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3.3. Example edge-case evidence from the product import preview validation flow.</w:t>
      </w:r>
    </w:p>
    <w:p/>
    <w:p>
      <w:pPr>
        <w:pStyle w:val="Heading2"/>
      </w:pPr>
      <w:r>
        <w:rPr>
          <w:b/>
        </w:rPr>
        <w:t>3.2. Test Case Specification</w:t>
      </w:r>
    </w:p>
    <w:p>
      <w:r>
        <w:rPr>
          <w:rFonts w:ascii="Times New Roman" w:hAnsi="Times New Roman" w:eastAsia="Times New Roman"/>
          <w:sz w:val="24"/>
        </w:rPr>
        <w:t>After the scenario set was stabilized, each scenario was expanded into detailed executable test cases. The final design uses separate UI and API workbooks, with consistent fields for identifiers, preconditions, test data, steps, expected results, actual results, ownership, and evidence references. This structure supports both execution discipline and post-execution traceability.</w:t>
      </w:r>
    </w:p>
    <w:p>
      <w:pPr>
        <w:pStyle w:val="Heading3"/>
      </w:pPr>
      <w:r>
        <w:rPr>
          <w:b/>
        </w:rPr>
        <w:t>3.2.1. UI test cases</w:t>
      </w:r>
    </w:p>
    <w:p>
      <w:r>
        <w:rPr>
          <w:rFonts w:ascii="Times New Roman" w:hAnsi="Times New Roman" w:eastAsia="Times New Roman"/>
          <w:sz w:val="24"/>
        </w:rPr>
        <w:t>The UI workbook currently contains 44 detailed UI test cases. These cases cover administrative and public-user flows, and every row includes a direct owner assignment, explicit preconditions, concise steps, expected result, actual result, final status, and evidence reference. The workbook therefore satisfies the course requirement for industry-standard testcase formatting.</w:t>
      </w:r>
    </w:p>
    <w:p>
      <w:pPr>
        <w:jc w:val="center"/>
      </w:pPr>
      <w:r>
        <w:rPr>
          <w:rFonts w:ascii="Times New Roman" w:hAnsi="Times New Roman" w:eastAsia="Times New Roman"/>
          <w:i/>
          <w:sz w:val="22"/>
        </w:rPr>
        <w:t>Table 3.5. Sample UI test case specification (positive case)</w:t>
      </w:r>
    </w:p>
    <w:tbl>
      <w:tblPr>
        <w:tblStyle w:val="TableGrid"/>
        <w:tblW w:type="auto" w:w="0"/>
        <w:jc w:val="center"/>
        <w:tblLook w:firstColumn="1" w:firstRow="1" w:lastColumn="0" w:lastRow="0" w:noHBand="0" w:noVBand="1" w:val="04A0"/>
      </w:tblPr>
      <w:tblGrid>
        <w:gridCol w:w="4680"/>
        <w:gridCol w:w="4680"/>
      </w:tblGrid>
      <w:tr>
        <w:tc>
          <w:tcPr>
            <w:tcW w:type="dxa" w:w="2381"/>
            <w:shd w:fill="D9EAF7"/>
            <w:vAlign w:val="center"/>
          </w:tcPr>
          <w:p>
            <w:pPr>
              <w:spacing w:after="0" w:line="276" w:lineRule="auto"/>
            </w:pPr>
            <w:r>
              <w:rPr>
                <w:rFonts w:ascii="Times New Roman" w:hAnsi="Times New Roman" w:eastAsia="Times New Roman"/>
                <w:sz w:val="22"/>
              </w:rPr>
              <w:t>Field</w:t>
            </w:r>
          </w:p>
        </w:tc>
        <w:tc>
          <w:tcPr>
            <w:tcW w:type="dxa" w:w="6690"/>
            <w:shd w:fill="D9EAF7"/>
            <w:vAlign w:val="center"/>
          </w:tcPr>
          <w:p>
            <w:pPr>
              <w:spacing w:after="0" w:line="276" w:lineRule="auto"/>
            </w:pPr>
            <w:r>
              <w:rPr>
                <w:rFonts w:ascii="Times New Roman" w:hAnsi="Times New Roman" w:eastAsia="Times New Roman"/>
                <w:sz w:val="22"/>
              </w:rPr>
              <w:t>Value</w:t>
            </w:r>
          </w:p>
        </w:tc>
      </w:tr>
      <w:tr>
        <w:tc>
          <w:tcPr>
            <w:tcW w:type="dxa" w:w="2381"/>
            <w:vAlign w:val="center"/>
          </w:tcPr>
          <w:p>
            <w:pPr>
              <w:spacing w:after="0" w:line="276" w:lineRule="auto"/>
            </w:pPr>
            <w:r>
              <w:rPr>
                <w:rFonts w:ascii="Times New Roman" w:hAnsi="Times New Roman" w:eastAsia="Times New Roman"/>
                <w:sz w:val="22"/>
              </w:rPr>
              <w:t>Test Case ID</w:t>
            </w:r>
          </w:p>
        </w:tc>
        <w:tc>
          <w:tcPr>
            <w:tcW w:type="dxa" w:w="6690"/>
            <w:vAlign w:val="center"/>
          </w:tcPr>
          <w:p>
            <w:pPr>
              <w:spacing w:after="0" w:line="276" w:lineRule="auto"/>
            </w:pPr>
            <w:r>
              <w:rPr>
                <w:rFonts w:ascii="Times New Roman" w:hAnsi="Times New Roman" w:eastAsia="Times New Roman"/>
                <w:sz w:val="22"/>
              </w:rPr>
              <w:t>TC-UI-AUTH-001</w:t>
            </w:r>
          </w:p>
        </w:tc>
      </w:tr>
      <w:tr>
        <w:tc>
          <w:tcPr>
            <w:tcW w:type="dxa" w:w="2381"/>
            <w:vAlign w:val="center"/>
          </w:tcPr>
          <w:p>
            <w:pPr>
              <w:spacing w:after="0" w:line="276" w:lineRule="auto"/>
            </w:pPr>
            <w:r>
              <w:rPr>
                <w:rFonts w:ascii="Times New Roman" w:hAnsi="Times New Roman" w:eastAsia="Times New Roman"/>
                <w:sz w:val="22"/>
              </w:rPr>
              <w:t>Scenario ID</w:t>
            </w:r>
          </w:p>
        </w:tc>
        <w:tc>
          <w:tcPr>
            <w:tcW w:type="dxa" w:w="6690"/>
            <w:vAlign w:val="center"/>
          </w:tcPr>
          <w:p>
            <w:pPr>
              <w:spacing w:after="0" w:line="276" w:lineRule="auto"/>
            </w:pPr>
            <w:r>
              <w:rPr>
                <w:rFonts w:ascii="Times New Roman" w:hAnsi="Times New Roman" w:eastAsia="Times New Roman"/>
                <w:sz w:val="22"/>
              </w:rPr>
              <w:t>SCN-AUTH-001</w:t>
            </w:r>
          </w:p>
        </w:tc>
      </w:tr>
      <w:tr>
        <w:tc>
          <w:tcPr>
            <w:tcW w:type="dxa" w:w="2381"/>
            <w:vAlign w:val="center"/>
          </w:tcPr>
          <w:p>
            <w:pPr>
              <w:spacing w:after="0" w:line="276" w:lineRule="auto"/>
            </w:pPr>
            <w:r>
              <w:rPr>
                <w:rFonts w:ascii="Times New Roman" w:hAnsi="Times New Roman" w:eastAsia="Times New Roman"/>
                <w:sz w:val="22"/>
              </w:rPr>
              <w:t>Title</w:t>
            </w:r>
          </w:p>
        </w:tc>
        <w:tc>
          <w:tcPr>
            <w:tcW w:type="dxa" w:w="6690"/>
            <w:vAlign w:val="center"/>
          </w:tcPr>
          <w:p>
            <w:pPr>
              <w:spacing w:after="0" w:line="276" w:lineRule="auto"/>
            </w:pPr>
            <w:r>
              <w:rPr>
                <w:rFonts w:ascii="Times New Roman" w:hAnsi="Times New Roman" w:eastAsia="Times New Roman"/>
                <w:sz w:val="22"/>
              </w:rPr>
              <w:t>Login succeeds with valid admin account</w:t>
            </w:r>
          </w:p>
        </w:tc>
      </w:tr>
      <w:tr>
        <w:tc>
          <w:tcPr>
            <w:tcW w:type="dxa" w:w="2381"/>
            <w:vAlign w:val="center"/>
          </w:tcPr>
          <w:p>
            <w:pPr>
              <w:spacing w:after="0" w:line="276" w:lineRule="auto"/>
            </w:pPr>
            <w:r>
              <w:rPr>
                <w:rFonts w:ascii="Times New Roman" w:hAnsi="Times New Roman" w:eastAsia="Times New Roman"/>
                <w:sz w:val="22"/>
              </w:rPr>
              <w:t>Module</w:t>
            </w:r>
          </w:p>
        </w:tc>
        <w:tc>
          <w:tcPr>
            <w:tcW w:type="dxa" w:w="6690"/>
            <w:vAlign w:val="center"/>
          </w:tcPr>
          <w:p>
            <w:pPr>
              <w:spacing w:after="0" w:line="276" w:lineRule="auto"/>
            </w:pPr>
            <w:r>
              <w:rPr>
                <w:rFonts w:ascii="Times New Roman" w:hAnsi="Times New Roman" w:eastAsia="Times New Roman"/>
                <w:sz w:val="22"/>
              </w:rPr>
              <w:t>Authentication</w:t>
            </w:r>
          </w:p>
        </w:tc>
      </w:tr>
      <w:tr>
        <w:tc>
          <w:tcPr>
            <w:tcW w:type="dxa" w:w="2381"/>
            <w:vAlign w:val="center"/>
          </w:tcPr>
          <w:p>
            <w:pPr>
              <w:spacing w:after="0" w:line="276" w:lineRule="auto"/>
            </w:pPr>
            <w:r>
              <w:rPr>
                <w:rFonts w:ascii="Times New Roman" w:hAnsi="Times New Roman" w:eastAsia="Times New Roman"/>
                <w:sz w:val="22"/>
              </w:rPr>
              <w:t>Owner</w:t>
            </w:r>
          </w:p>
        </w:tc>
        <w:tc>
          <w:tcPr>
            <w:tcW w:type="dxa" w:w="6690"/>
            <w:vAlign w:val="center"/>
          </w:tcPr>
          <w:p>
            <w:pPr>
              <w:spacing w:after="0" w:line="276" w:lineRule="auto"/>
            </w:pPr>
            <w:r>
              <w:rPr>
                <w:rFonts w:ascii="Times New Roman" w:hAnsi="Times New Roman" w:eastAsia="Times New Roman"/>
                <w:sz w:val="22"/>
              </w:rPr>
              <w:t>Hoang Van Thien</w:t>
            </w:r>
          </w:p>
        </w:tc>
      </w:tr>
      <w:tr>
        <w:tc>
          <w:tcPr>
            <w:tcW w:type="dxa" w:w="2381"/>
            <w:vAlign w:val="center"/>
          </w:tcPr>
          <w:p>
            <w:pPr>
              <w:spacing w:after="0" w:line="276" w:lineRule="auto"/>
            </w:pPr>
            <w:r>
              <w:rPr>
                <w:rFonts w:ascii="Times New Roman" w:hAnsi="Times New Roman" w:eastAsia="Times New Roman"/>
                <w:sz w:val="22"/>
              </w:rPr>
              <w:t>Preconditions</w:t>
            </w:r>
          </w:p>
        </w:tc>
        <w:tc>
          <w:tcPr>
            <w:tcW w:type="dxa" w:w="6690"/>
            <w:vAlign w:val="center"/>
          </w:tcPr>
          <w:p>
            <w:pPr>
              <w:spacing w:after="0" w:line="276" w:lineRule="auto"/>
            </w:pPr>
            <w:r>
              <w:rPr>
                <w:rFonts w:ascii="Times New Roman" w:hAnsi="Times New Roman" w:eastAsia="Times New Roman"/>
                <w:sz w:val="22"/>
              </w:rPr>
              <w:t>Application is running locally and seeded admin account exists.</w:t>
            </w:r>
          </w:p>
        </w:tc>
      </w:tr>
      <w:tr>
        <w:tc>
          <w:tcPr>
            <w:tcW w:type="dxa" w:w="2381"/>
            <w:vAlign w:val="center"/>
          </w:tcPr>
          <w:p>
            <w:pPr>
              <w:spacing w:after="0" w:line="276" w:lineRule="auto"/>
            </w:pPr>
            <w:r>
              <w:rPr>
                <w:rFonts w:ascii="Times New Roman" w:hAnsi="Times New Roman" w:eastAsia="Times New Roman"/>
                <w:sz w:val="22"/>
              </w:rPr>
              <w:t>Test Data</w:t>
            </w:r>
          </w:p>
        </w:tc>
        <w:tc>
          <w:tcPr>
            <w:tcW w:type="dxa" w:w="6690"/>
            <w:vAlign w:val="center"/>
          </w:tcPr>
          <w:p>
            <w:pPr>
              <w:spacing w:after="0" w:line="276" w:lineRule="auto"/>
            </w:pPr>
            <w:r>
              <w:rPr>
                <w:rFonts w:ascii="Times New Roman" w:hAnsi="Times New Roman" w:eastAsia="Times New Roman"/>
                <w:sz w:val="22"/>
              </w:rPr>
              <w:t>Email=admin@osms.local; Password=Admin@12345</w:t>
            </w:r>
          </w:p>
        </w:tc>
      </w:tr>
      <w:tr>
        <w:tc>
          <w:tcPr>
            <w:tcW w:type="dxa" w:w="2381"/>
            <w:vAlign w:val="center"/>
          </w:tcPr>
          <w:p>
            <w:pPr>
              <w:spacing w:after="0" w:line="276" w:lineRule="auto"/>
            </w:pPr>
            <w:r>
              <w:rPr>
                <w:rFonts w:ascii="Times New Roman" w:hAnsi="Times New Roman" w:eastAsia="Times New Roman"/>
                <w:sz w:val="22"/>
              </w:rPr>
              <w:t>Steps</w:t>
            </w:r>
          </w:p>
        </w:tc>
        <w:tc>
          <w:tcPr>
            <w:tcW w:type="dxa" w:w="6690"/>
            <w:vAlign w:val="center"/>
          </w:tcPr>
          <w:p>
            <w:pPr>
              <w:spacing w:after="0" w:line="276" w:lineRule="auto"/>
            </w:pPr>
            <w:r>
              <w:rPr>
                <w:rFonts w:ascii="Times New Roman" w:hAnsi="Times New Roman" w:eastAsia="Times New Roman"/>
                <w:sz w:val="22"/>
              </w:rPr>
              <w:t>1 Open /Admin/Auth/Login; 2 Enter admin email; 3 Enter valid password; 4 Click Sign in.</w:t>
            </w:r>
          </w:p>
        </w:tc>
      </w:tr>
      <w:tr>
        <w:tc>
          <w:tcPr>
            <w:tcW w:type="dxa" w:w="2381"/>
            <w:vAlign w:val="center"/>
          </w:tcPr>
          <w:p>
            <w:pPr>
              <w:spacing w:after="0" w:line="276" w:lineRule="auto"/>
            </w:pPr>
            <w:r>
              <w:rPr>
                <w:rFonts w:ascii="Times New Roman" w:hAnsi="Times New Roman" w:eastAsia="Times New Roman"/>
                <w:sz w:val="22"/>
              </w:rPr>
              <w:t>Expected Result</w:t>
            </w:r>
          </w:p>
        </w:tc>
        <w:tc>
          <w:tcPr>
            <w:tcW w:type="dxa" w:w="6690"/>
            <w:vAlign w:val="center"/>
          </w:tcPr>
          <w:p>
            <w:pPr>
              <w:spacing w:after="0" w:line="276" w:lineRule="auto"/>
            </w:pPr>
            <w:r>
              <w:rPr>
                <w:rFonts w:ascii="Times New Roman" w:hAnsi="Times New Roman" w:eastAsia="Times New Roman"/>
                <w:sz w:val="22"/>
              </w:rPr>
              <w:t>User is redirected to the admin area dashboard; authenticated session is established; no validation error is shown.</w:t>
            </w:r>
          </w:p>
        </w:tc>
      </w:tr>
      <w:tr>
        <w:tc>
          <w:tcPr>
            <w:tcW w:type="dxa" w:w="2381"/>
            <w:vAlign w:val="center"/>
          </w:tcPr>
          <w:p>
            <w:pPr>
              <w:spacing w:after="0" w:line="276" w:lineRule="auto"/>
            </w:pPr>
            <w:r>
              <w:rPr>
                <w:rFonts w:ascii="Times New Roman" w:hAnsi="Times New Roman" w:eastAsia="Times New Roman"/>
                <w:sz w:val="22"/>
              </w:rPr>
              <w:t>Actual Result</w:t>
            </w:r>
          </w:p>
        </w:tc>
        <w:tc>
          <w:tcPr>
            <w:tcW w:type="dxa" w:w="6690"/>
            <w:vAlign w:val="center"/>
          </w:tcPr>
          <w:p>
            <w:pPr>
              <w:spacing w:after="0" w:line="276" w:lineRule="auto"/>
            </w:pPr>
            <w:r>
              <w:rPr>
                <w:rFonts w:ascii="Times New Roman" w:hAnsi="Times New Roman" w:eastAsia="Times New Roman"/>
                <w:sz w:val="22"/>
              </w:rPr>
              <w:t>Valid admin login reached the admin dashboard successfully in both the focused Chrome rerun and a secondary Edge smoke rerun on 2026-04-11.</w:t>
            </w:r>
          </w:p>
        </w:tc>
      </w:tr>
      <w:tr>
        <w:tc>
          <w:tcPr>
            <w:tcW w:type="dxa" w:w="2381"/>
            <w:vAlign w:val="center"/>
          </w:tcPr>
          <w:p>
            <w:pPr>
              <w:spacing w:after="0" w:line="276" w:lineRule="auto"/>
            </w:pPr>
            <w:r>
              <w:rPr>
                <w:rFonts w:ascii="Times New Roman" w:hAnsi="Times New Roman" w:eastAsia="Times New Roman"/>
                <w:sz w:val="22"/>
              </w:rPr>
              <w:t>Status</w:t>
            </w:r>
          </w:p>
        </w:tc>
        <w:tc>
          <w:tcPr>
            <w:tcW w:type="dxa" w:w="6690"/>
            <w:vAlign w:val="center"/>
          </w:tcPr>
          <w:p>
            <w:pPr>
              <w:spacing w:after="0" w:line="276" w:lineRule="auto"/>
            </w:pPr>
            <w:r>
              <w:rPr>
                <w:rFonts w:ascii="Times New Roman" w:hAnsi="Times New Roman" w:eastAsia="Times New Roman"/>
                <w:sz w:val="22"/>
              </w:rPr>
              <w:t>Pass</w:t>
            </w:r>
          </w:p>
        </w:tc>
      </w:tr>
      <w:tr>
        <w:tc>
          <w:tcPr>
            <w:tcW w:type="dxa" w:w="2381"/>
            <w:vAlign w:val="center"/>
          </w:tcPr>
          <w:p>
            <w:pPr>
              <w:spacing w:after="0" w:line="276" w:lineRule="auto"/>
            </w:pPr>
            <w:r>
              <w:rPr>
                <w:rFonts w:ascii="Times New Roman" w:hAnsi="Times New Roman" w:eastAsia="Times New Roman"/>
                <w:sz w:val="22"/>
              </w:rPr>
              <w:t>Evidence / Note</w:t>
            </w:r>
          </w:p>
        </w:tc>
        <w:tc>
          <w:tcPr>
            <w:tcW w:type="dxa" w:w="6690"/>
            <w:vAlign w:val="center"/>
          </w:tcPr>
          <w:p>
            <w:pPr>
              <w:spacing w:after="0" w:line="276" w:lineRule="auto"/>
            </w:pPr>
            <w:r>
              <w:rPr>
                <w:rFonts w:ascii="Times New Roman" w:hAnsi="Times New Roman" w:eastAsia="Times New Roman"/>
                <w:sz w:val="22"/>
              </w:rPr>
              <w:t>TestResults/Evidence/UI/automation/20260406_053930_TC-UI-AUTH-001-success.png ; TestResults/Evidence/UI/automation/20260411_143741_TC-UI-AUTH-001-success.png ; TestResults/RunnerOutput/UI/auth-permission-rerun.trx ; TestResults/RunnerOutput/UI/edge-auth-smoke.trx ; Videos/OSMS-Automation-Demo.mp4</w:t>
            </w:r>
          </w:p>
        </w:tc>
      </w:tr>
    </w:tbl>
    <w:p/>
    <w:p>
      <w:pPr>
        <w:jc w:val="center"/>
      </w:pPr>
      <w:r>
        <w:rPr>
          <w:rFonts w:ascii="Times New Roman" w:hAnsi="Times New Roman" w:eastAsia="Times New Roman"/>
          <w:i/>
          <w:sz w:val="22"/>
        </w:rPr>
        <w:t>Table 3.6. Sample UI test case specification (defect-focused case)</w:t>
      </w:r>
    </w:p>
    <w:tbl>
      <w:tblPr>
        <w:tblStyle w:val="TableGrid"/>
        <w:tblW w:type="auto" w:w="0"/>
        <w:jc w:val="center"/>
        <w:tblLook w:firstColumn="1" w:firstRow="1" w:lastColumn="0" w:lastRow="0" w:noHBand="0" w:noVBand="1" w:val="04A0"/>
      </w:tblPr>
      <w:tblGrid>
        <w:gridCol w:w="4680"/>
        <w:gridCol w:w="4680"/>
      </w:tblGrid>
      <w:tr>
        <w:tc>
          <w:tcPr>
            <w:tcW w:type="dxa" w:w="2381"/>
            <w:shd w:fill="D9EAF7"/>
            <w:vAlign w:val="center"/>
          </w:tcPr>
          <w:p>
            <w:pPr>
              <w:spacing w:after="0" w:line="276" w:lineRule="auto"/>
            </w:pPr>
            <w:r>
              <w:rPr>
                <w:rFonts w:ascii="Times New Roman" w:hAnsi="Times New Roman" w:eastAsia="Times New Roman"/>
                <w:sz w:val="22"/>
              </w:rPr>
              <w:t>Field</w:t>
            </w:r>
          </w:p>
        </w:tc>
        <w:tc>
          <w:tcPr>
            <w:tcW w:type="dxa" w:w="6690"/>
            <w:shd w:fill="D9EAF7"/>
            <w:vAlign w:val="center"/>
          </w:tcPr>
          <w:p>
            <w:pPr>
              <w:spacing w:after="0" w:line="276" w:lineRule="auto"/>
            </w:pPr>
            <w:r>
              <w:rPr>
                <w:rFonts w:ascii="Times New Roman" w:hAnsi="Times New Roman" w:eastAsia="Times New Roman"/>
                <w:sz w:val="22"/>
              </w:rPr>
              <w:t>Value</w:t>
            </w:r>
          </w:p>
        </w:tc>
      </w:tr>
      <w:tr>
        <w:tc>
          <w:tcPr>
            <w:tcW w:type="dxa" w:w="2381"/>
            <w:vAlign w:val="center"/>
          </w:tcPr>
          <w:p>
            <w:pPr>
              <w:spacing w:after="0" w:line="276" w:lineRule="auto"/>
            </w:pPr>
            <w:r>
              <w:rPr>
                <w:rFonts w:ascii="Times New Roman" w:hAnsi="Times New Roman" w:eastAsia="Times New Roman"/>
                <w:sz w:val="22"/>
              </w:rPr>
              <w:t>Test Case ID</w:t>
            </w:r>
          </w:p>
        </w:tc>
        <w:tc>
          <w:tcPr>
            <w:tcW w:type="dxa" w:w="6690"/>
            <w:vAlign w:val="center"/>
          </w:tcPr>
          <w:p>
            <w:pPr>
              <w:spacing w:after="0" w:line="276" w:lineRule="auto"/>
            </w:pPr>
            <w:r>
              <w:rPr>
                <w:rFonts w:ascii="Times New Roman" w:hAnsi="Times New Roman" w:eastAsia="Times New Roman"/>
                <w:sz w:val="22"/>
              </w:rPr>
              <w:t>TC-UI-INV-001</w:t>
            </w:r>
          </w:p>
        </w:tc>
      </w:tr>
      <w:tr>
        <w:tc>
          <w:tcPr>
            <w:tcW w:type="dxa" w:w="2381"/>
            <w:vAlign w:val="center"/>
          </w:tcPr>
          <w:p>
            <w:pPr>
              <w:spacing w:after="0" w:line="276" w:lineRule="auto"/>
            </w:pPr>
            <w:r>
              <w:rPr>
                <w:rFonts w:ascii="Times New Roman" w:hAnsi="Times New Roman" w:eastAsia="Times New Roman"/>
                <w:sz w:val="22"/>
              </w:rPr>
              <w:t>Scenario ID</w:t>
            </w:r>
          </w:p>
        </w:tc>
        <w:tc>
          <w:tcPr>
            <w:tcW w:type="dxa" w:w="6690"/>
            <w:vAlign w:val="center"/>
          </w:tcPr>
          <w:p>
            <w:pPr>
              <w:spacing w:after="0" w:line="276" w:lineRule="auto"/>
            </w:pPr>
            <w:r>
              <w:rPr>
                <w:rFonts w:ascii="Times New Roman" w:hAnsi="Times New Roman" w:eastAsia="Times New Roman"/>
                <w:sz w:val="22"/>
              </w:rPr>
              <w:t>SCN-INV-001</w:t>
            </w:r>
          </w:p>
        </w:tc>
      </w:tr>
      <w:tr>
        <w:tc>
          <w:tcPr>
            <w:tcW w:type="dxa" w:w="2381"/>
            <w:vAlign w:val="center"/>
          </w:tcPr>
          <w:p>
            <w:pPr>
              <w:spacing w:after="0" w:line="276" w:lineRule="auto"/>
            </w:pPr>
            <w:r>
              <w:rPr>
                <w:rFonts w:ascii="Times New Roman" w:hAnsi="Times New Roman" w:eastAsia="Times New Roman"/>
                <w:sz w:val="22"/>
              </w:rPr>
              <w:t>Title</w:t>
            </w:r>
          </w:p>
        </w:tc>
        <w:tc>
          <w:tcPr>
            <w:tcW w:type="dxa" w:w="6690"/>
            <w:vAlign w:val="center"/>
          </w:tcPr>
          <w:p>
            <w:pPr>
              <w:spacing w:after="0" w:line="276" w:lineRule="auto"/>
            </w:pPr>
            <w:r>
              <w:rPr>
                <w:rFonts w:ascii="Times New Roman" w:hAnsi="Times New Roman" w:eastAsia="Times New Roman"/>
                <w:sz w:val="22"/>
              </w:rPr>
              <w:t>Create invoice successfully for walk-in sale with unpaid status</w:t>
            </w:r>
          </w:p>
        </w:tc>
      </w:tr>
      <w:tr>
        <w:tc>
          <w:tcPr>
            <w:tcW w:type="dxa" w:w="2381"/>
            <w:vAlign w:val="center"/>
          </w:tcPr>
          <w:p>
            <w:pPr>
              <w:spacing w:after="0" w:line="276" w:lineRule="auto"/>
            </w:pPr>
            <w:r>
              <w:rPr>
                <w:rFonts w:ascii="Times New Roman" w:hAnsi="Times New Roman" w:eastAsia="Times New Roman"/>
                <w:sz w:val="22"/>
              </w:rPr>
              <w:t>Module</w:t>
            </w:r>
          </w:p>
        </w:tc>
        <w:tc>
          <w:tcPr>
            <w:tcW w:type="dxa" w:w="6690"/>
            <w:vAlign w:val="center"/>
          </w:tcPr>
          <w:p>
            <w:pPr>
              <w:spacing w:after="0" w:line="276" w:lineRule="auto"/>
            </w:pPr>
            <w:r>
              <w:rPr>
                <w:rFonts w:ascii="Times New Roman" w:hAnsi="Times New Roman" w:eastAsia="Times New Roman"/>
                <w:sz w:val="22"/>
              </w:rPr>
              <w:t>Invoices</w:t>
            </w:r>
          </w:p>
        </w:tc>
      </w:tr>
      <w:tr>
        <w:tc>
          <w:tcPr>
            <w:tcW w:type="dxa" w:w="2381"/>
            <w:vAlign w:val="center"/>
          </w:tcPr>
          <w:p>
            <w:pPr>
              <w:spacing w:after="0" w:line="276" w:lineRule="auto"/>
            </w:pPr>
            <w:r>
              <w:rPr>
                <w:rFonts w:ascii="Times New Roman" w:hAnsi="Times New Roman" w:eastAsia="Times New Roman"/>
                <w:sz w:val="22"/>
              </w:rPr>
              <w:t>Owner</w:t>
            </w:r>
          </w:p>
        </w:tc>
        <w:tc>
          <w:tcPr>
            <w:tcW w:type="dxa" w:w="6690"/>
            <w:vAlign w:val="center"/>
          </w:tcPr>
          <w:p>
            <w:pPr>
              <w:spacing w:after="0" w:line="276" w:lineRule="auto"/>
            </w:pPr>
            <w:r>
              <w:rPr>
                <w:rFonts w:ascii="Times New Roman" w:hAnsi="Times New Roman" w:eastAsia="Times New Roman"/>
                <w:sz w:val="22"/>
              </w:rPr>
              <w:t>Hoang Van Thien</w:t>
            </w:r>
          </w:p>
        </w:tc>
      </w:tr>
      <w:tr>
        <w:tc>
          <w:tcPr>
            <w:tcW w:type="dxa" w:w="2381"/>
            <w:vAlign w:val="center"/>
          </w:tcPr>
          <w:p>
            <w:pPr>
              <w:spacing w:after="0" w:line="276" w:lineRule="auto"/>
            </w:pPr>
            <w:r>
              <w:rPr>
                <w:rFonts w:ascii="Times New Roman" w:hAnsi="Times New Roman" w:eastAsia="Times New Roman"/>
                <w:sz w:val="22"/>
              </w:rPr>
              <w:t>Preconditions</w:t>
            </w:r>
          </w:p>
        </w:tc>
        <w:tc>
          <w:tcPr>
            <w:tcW w:type="dxa" w:w="6690"/>
            <w:vAlign w:val="center"/>
          </w:tcPr>
          <w:p>
            <w:pPr>
              <w:spacing w:after="0" w:line="276" w:lineRule="auto"/>
            </w:pPr>
            <w:r>
              <w:rPr>
                <w:rFonts w:ascii="Times New Roman" w:hAnsi="Times New Roman" w:eastAsia="Times New Roman"/>
                <w:sz w:val="22"/>
              </w:rPr>
              <w:t>Sales or admin user is logged in; at least one active product has stock greater than 0.</w:t>
            </w:r>
          </w:p>
        </w:tc>
      </w:tr>
      <w:tr>
        <w:tc>
          <w:tcPr>
            <w:tcW w:type="dxa" w:w="2381"/>
            <w:vAlign w:val="center"/>
          </w:tcPr>
          <w:p>
            <w:pPr>
              <w:spacing w:after="0" w:line="276" w:lineRule="auto"/>
            </w:pPr>
            <w:r>
              <w:rPr>
                <w:rFonts w:ascii="Times New Roman" w:hAnsi="Times New Roman" w:eastAsia="Times New Roman"/>
                <w:sz w:val="22"/>
              </w:rPr>
              <w:t>Test Data</w:t>
            </w:r>
          </w:p>
        </w:tc>
        <w:tc>
          <w:tcPr>
            <w:tcW w:type="dxa" w:w="6690"/>
            <w:vAlign w:val="center"/>
          </w:tcPr>
          <w:p>
            <w:pPr>
              <w:spacing w:after="0" w:line="276" w:lineRule="auto"/>
            </w:pPr>
            <w:r>
              <w:rPr>
                <w:rFonts w:ascii="Times New Roman" w:hAnsi="Times New Roman" w:eastAsia="Times New Roman"/>
                <w:sz w:val="22"/>
              </w:rPr>
              <w:t>Customer=None; Product=Any active in-stock product; Qty=1; PaidAmount=0</w:t>
            </w:r>
          </w:p>
        </w:tc>
      </w:tr>
      <w:tr>
        <w:tc>
          <w:tcPr>
            <w:tcW w:type="dxa" w:w="2381"/>
            <w:vAlign w:val="center"/>
          </w:tcPr>
          <w:p>
            <w:pPr>
              <w:spacing w:after="0" w:line="276" w:lineRule="auto"/>
            </w:pPr>
            <w:r>
              <w:rPr>
                <w:rFonts w:ascii="Times New Roman" w:hAnsi="Times New Roman" w:eastAsia="Times New Roman"/>
                <w:sz w:val="22"/>
              </w:rPr>
              <w:t>Steps</w:t>
            </w:r>
          </w:p>
        </w:tc>
        <w:tc>
          <w:tcPr>
            <w:tcW w:type="dxa" w:w="6690"/>
            <w:vAlign w:val="center"/>
          </w:tcPr>
          <w:p>
            <w:pPr>
              <w:spacing w:after="0" w:line="276" w:lineRule="auto"/>
            </w:pPr>
            <w:r>
              <w:rPr>
                <w:rFonts w:ascii="Times New Roman" w:hAnsi="Times New Roman" w:eastAsia="Times New Roman"/>
                <w:sz w:val="22"/>
              </w:rPr>
              <w:t>1 Log in as sales or admin; 2 Open /Admin/Invoices/Create; 3 Leave customer empty for walk-in sale or choose a valid customer; 4 Select one active in-stock product; 5 Set quantity to 1; 6 Set paid amount to 0; 7 Submit the invoice.</w:t>
            </w:r>
          </w:p>
        </w:tc>
      </w:tr>
      <w:tr>
        <w:tc>
          <w:tcPr>
            <w:tcW w:type="dxa" w:w="2381"/>
            <w:vAlign w:val="center"/>
          </w:tcPr>
          <w:p>
            <w:pPr>
              <w:spacing w:after="0" w:line="276" w:lineRule="auto"/>
            </w:pPr>
            <w:r>
              <w:rPr>
                <w:rFonts w:ascii="Times New Roman" w:hAnsi="Times New Roman" w:eastAsia="Times New Roman"/>
                <w:sz w:val="22"/>
              </w:rPr>
              <w:t>Expected Result</w:t>
            </w:r>
          </w:p>
        </w:tc>
        <w:tc>
          <w:tcPr>
            <w:tcW w:type="dxa" w:w="6690"/>
            <w:vAlign w:val="center"/>
          </w:tcPr>
          <w:p>
            <w:pPr>
              <w:spacing w:after="0" w:line="276" w:lineRule="auto"/>
            </w:pPr>
            <w:r>
              <w:rPr>
                <w:rFonts w:ascii="Times New Roman" w:hAnsi="Times New Roman" w:eastAsia="Times New Roman"/>
                <w:sz w:val="22"/>
              </w:rPr>
              <w:t>Invoice is created successfully; details page is shown; invoice status is Unpaid; stock is reduced by the sold quantity.</w:t>
            </w:r>
          </w:p>
        </w:tc>
      </w:tr>
      <w:tr>
        <w:tc>
          <w:tcPr>
            <w:tcW w:type="dxa" w:w="2381"/>
            <w:vAlign w:val="center"/>
          </w:tcPr>
          <w:p>
            <w:pPr>
              <w:spacing w:after="0" w:line="276" w:lineRule="auto"/>
            </w:pPr>
            <w:r>
              <w:rPr>
                <w:rFonts w:ascii="Times New Roman" w:hAnsi="Times New Roman" w:eastAsia="Times New Roman"/>
                <w:sz w:val="22"/>
              </w:rPr>
              <w:t>Actual Result</w:t>
            </w:r>
          </w:p>
        </w:tc>
        <w:tc>
          <w:tcPr>
            <w:tcW w:type="dxa" w:w="6690"/>
            <w:vAlign w:val="center"/>
          </w:tcPr>
          <w:p>
            <w:pPr>
              <w:spacing w:after="0" w:line="276" w:lineRule="auto"/>
            </w:pPr>
            <w:r>
              <w:rPr>
                <w:rFonts w:ascii="Times New Roman" w:hAnsi="Times New Roman" w:eastAsia="Times New Roman"/>
                <w:sz w:val="22"/>
              </w:rPr>
              <w:t>Submitting a valid walk-in invoice returned to the Create page with the toast message Failed to create invoice. Please check data and try again. Server log confirms InvalidOperationException caused by a user-initiated transaction with MySqlRetryingExecutionStrategy in InvoicesController.Create line 145. A focused rerun on 2026-04-11 still failed before reaching the details page, so the defect remains reproducible.</w:t>
            </w:r>
          </w:p>
        </w:tc>
      </w:tr>
      <w:tr>
        <w:tc>
          <w:tcPr>
            <w:tcW w:type="dxa" w:w="2381"/>
            <w:vAlign w:val="center"/>
          </w:tcPr>
          <w:p>
            <w:pPr>
              <w:spacing w:after="0" w:line="276" w:lineRule="auto"/>
            </w:pPr>
            <w:r>
              <w:rPr>
                <w:rFonts w:ascii="Times New Roman" w:hAnsi="Times New Roman" w:eastAsia="Times New Roman"/>
                <w:sz w:val="22"/>
              </w:rPr>
              <w:t>Status</w:t>
            </w:r>
          </w:p>
        </w:tc>
        <w:tc>
          <w:tcPr>
            <w:tcW w:type="dxa" w:w="6690"/>
            <w:vAlign w:val="center"/>
          </w:tcPr>
          <w:p>
            <w:pPr>
              <w:spacing w:after="0" w:line="276" w:lineRule="auto"/>
            </w:pPr>
            <w:r>
              <w:rPr>
                <w:rFonts w:ascii="Times New Roman" w:hAnsi="Times New Roman" w:eastAsia="Times New Roman"/>
                <w:sz w:val="22"/>
              </w:rPr>
              <w:t>Fail</w:t>
            </w:r>
          </w:p>
        </w:tc>
      </w:tr>
      <w:tr>
        <w:tc>
          <w:tcPr>
            <w:tcW w:type="dxa" w:w="2381"/>
            <w:vAlign w:val="center"/>
          </w:tcPr>
          <w:p>
            <w:pPr>
              <w:spacing w:after="0" w:line="276" w:lineRule="auto"/>
            </w:pPr>
            <w:r>
              <w:rPr>
                <w:rFonts w:ascii="Times New Roman" w:hAnsi="Times New Roman" w:eastAsia="Times New Roman"/>
                <w:sz w:val="22"/>
              </w:rPr>
              <w:t>Evidence / Note</w:t>
            </w:r>
          </w:p>
        </w:tc>
        <w:tc>
          <w:tcPr>
            <w:tcW w:type="dxa" w:w="6690"/>
            <w:vAlign w:val="center"/>
          </w:tcPr>
          <w:p>
            <w:pPr>
              <w:spacing w:after="0" w:line="276" w:lineRule="auto"/>
            </w:pPr>
            <w:r>
              <w:rPr>
                <w:rFonts w:ascii="Times New Roman" w:hAnsi="Times New Roman" w:eastAsia="Times New Roman"/>
                <w:sz w:val="22"/>
              </w:rPr>
              <w:t>TestResults/Evidence/UI/automation/20260406_053902_TC-UI-INV-001-failure.png ; TestResults/Evidence/UI/automation/20260411_143458_TC-UI-INV-001-failure.png ; TestResults/RunnerOutput/UI/invoice-rerun.trx ; TestResults/RunnerOutput/UI/postfix-retest-inv-001.trx ; TestResults/Defects/OSMS-Defect-Log.xlsx ; https://github.com/Alucard30Dec/Online-Sales-Management-System/issues/1</w:t>
            </w:r>
          </w:p>
        </w:tc>
      </w:tr>
    </w:tbl>
    <w:p/>
    <w:p>
      <w:pPr>
        <w:jc w:val="center"/>
      </w:pPr>
      <w:r>
        <w:drawing>
          <wp:inline xmlns:a="http://schemas.openxmlformats.org/drawingml/2006/main" xmlns:pic="http://schemas.openxmlformats.org/drawingml/2006/picture">
            <wp:extent cx="5303520" cy="2855999"/>
            <wp:docPr id="4" name="Picture 4"/>
            <wp:cNvGraphicFramePr>
              <a:graphicFrameLocks noChangeAspect="1"/>
            </wp:cNvGraphicFramePr>
            <a:graphic>
              <a:graphicData uri="http://schemas.openxmlformats.org/drawingml/2006/picture">
                <pic:pic>
                  <pic:nvPicPr>
                    <pic:cNvPr id="0" name="20260406_053902_TC-UI-INV-001-failure.png"/>
                    <pic:cNvPicPr/>
                  </pic:nvPicPr>
                  <pic:blipFill>
                    <a:blip r:embed="rId12"/>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3.4. Defect-focused UI execution evidence for invoice creation failure.</w:t>
      </w:r>
    </w:p>
    <w:p/>
    <w:p>
      <w:pPr>
        <w:pStyle w:val="Heading3"/>
      </w:pPr>
      <w:r>
        <w:rPr>
          <w:b/>
        </w:rPr>
        <w:t>3.2.2. API test cases</w:t>
      </w:r>
    </w:p>
    <w:p>
      <w:r>
        <w:rPr>
          <w:rFonts w:ascii="Times New Roman" w:hAnsi="Times New Roman" w:eastAsia="Times New Roman"/>
          <w:sz w:val="24"/>
        </w:rPr>
        <w:t>The API workbook contains 19 API test cases derived from 6 high-level API scenarios. The API cases use the same traceability principle as the UI cases, but add endpoint-specific fields such as method, authentication requirement, expected status code, and expected response body.</w:t>
      </w:r>
    </w:p>
    <w:p>
      <w:pPr>
        <w:jc w:val="center"/>
      </w:pPr>
      <w:r>
        <w:rPr>
          <w:rFonts w:ascii="Times New Roman" w:hAnsi="Times New Roman" w:eastAsia="Times New Roman"/>
          <w:i/>
          <w:sz w:val="22"/>
        </w:rPr>
        <w:t>Table 3.7. Sample API test case specification</w:t>
      </w:r>
    </w:p>
    <w:tbl>
      <w:tblPr>
        <w:tblStyle w:val="TableGrid"/>
        <w:tblW w:type="auto" w:w="0"/>
        <w:jc w:val="center"/>
        <w:tblLook w:firstColumn="1" w:firstRow="1" w:lastColumn="0" w:lastRow="0" w:noHBand="0" w:noVBand="1" w:val="04A0"/>
      </w:tblPr>
      <w:tblGrid>
        <w:gridCol w:w="4680"/>
        <w:gridCol w:w="4680"/>
      </w:tblGrid>
      <w:tr>
        <w:tc>
          <w:tcPr>
            <w:tcW w:type="dxa" w:w="2551"/>
            <w:shd w:fill="D9EAF7"/>
            <w:vAlign w:val="center"/>
          </w:tcPr>
          <w:p>
            <w:pPr>
              <w:spacing w:after="0" w:line="276" w:lineRule="auto"/>
            </w:pPr>
            <w:r>
              <w:rPr>
                <w:rFonts w:ascii="Times New Roman" w:hAnsi="Times New Roman" w:eastAsia="Times New Roman"/>
                <w:sz w:val="22"/>
              </w:rPr>
              <w:t>Field</w:t>
            </w:r>
          </w:p>
        </w:tc>
        <w:tc>
          <w:tcPr>
            <w:tcW w:type="dxa" w:w="6520"/>
            <w:shd w:fill="D9EAF7"/>
            <w:vAlign w:val="center"/>
          </w:tcPr>
          <w:p>
            <w:pPr>
              <w:spacing w:after="0" w:line="276" w:lineRule="auto"/>
            </w:pPr>
            <w:r>
              <w:rPr>
                <w:rFonts w:ascii="Times New Roman" w:hAnsi="Times New Roman" w:eastAsia="Times New Roman"/>
                <w:sz w:val="22"/>
              </w:rPr>
              <w:t>Value</w:t>
            </w:r>
          </w:p>
        </w:tc>
      </w:tr>
      <w:tr>
        <w:tc>
          <w:tcPr>
            <w:tcW w:type="dxa" w:w="2551"/>
            <w:vAlign w:val="center"/>
          </w:tcPr>
          <w:p>
            <w:pPr>
              <w:spacing w:after="0" w:line="276" w:lineRule="auto"/>
            </w:pPr>
            <w:r>
              <w:rPr>
                <w:rFonts w:ascii="Times New Roman" w:hAnsi="Times New Roman" w:eastAsia="Times New Roman"/>
                <w:sz w:val="22"/>
              </w:rPr>
              <w:t>Test Case ID</w:t>
            </w:r>
          </w:p>
        </w:tc>
        <w:tc>
          <w:tcPr>
            <w:tcW w:type="dxa" w:w="6520"/>
            <w:vAlign w:val="center"/>
          </w:tcPr>
          <w:p>
            <w:pPr>
              <w:spacing w:after="0" w:line="276" w:lineRule="auto"/>
            </w:pPr>
            <w:r>
              <w:rPr>
                <w:rFonts w:ascii="Times New Roman" w:hAnsi="Times New Roman" w:eastAsia="Times New Roman"/>
                <w:sz w:val="22"/>
              </w:rPr>
              <w:t>TC-API-HLT-001</w:t>
            </w:r>
          </w:p>
        </w:tc>
      </w:tr>
      <w:tr>
        <w:tc>
          <w:tcPr>
            <w:tcW w:type="dxa" w:w="2551"/>
            <w:vAlign w:val="center"/>
          </w:tcPr>
          <w:p>
            <w:pPr>
              <w:spacing w:after="0" w:line="276" w:lineRule="auto"/>
            </w:pPr>
            <w:r>
              <w:rPr>
                <w:rFonts w:ascii="Times New Roman" w:hAnsi="Times New Roman" w:eastAsia="Times New Roman"/>
                <w:sz w:val="22"/>
              </w:rPr>
              <w:t>Scenario ID</w:t>
            </w:r>
          </w:p>
        </w:tc>
        <w:tc>
          <w:tcPr>
            <w:tcW w:type="dxa" w:w="6520"/>
            <w:vAlign w:val="center"/>
          </w:tcPr>
          <w:p>
            <w:pPr>
              <w:spacing w:after="0" w:line="276" w:lineRule="auto"/>
            </w:pPr>
            <w:r>
              <w:rPr>
                <w:rFonts w:ascii="Times New Roman" w:hAnsi="Times New Roman" w:eastAsia="Times New Roman"/>
                <w:sz w:val="22"/>
              </w:rPr>
              <w:t>SCN-API-001</w:t>
            </w:r>
          </w:p>
        </w:tc>
      </w:tr>
      <w:tr>
        <w:tc>
          <w:tcPr>
            <w:tcW w:type="dxa" w:w="2551"/>
            <w:vAlign w:val="center"/>
          </w:tcPr>
          <w:p>
            <w:pPr>
              <w:spacing w:after="0" w:line="276" w:lineRule="auto"/>
            </w:pPr>
            <w:r>
              <w:rPr>
                <w:rFonts w:ascii="Times New Roman" w:hAnsi="Times New Roman" w:eastAsia="Times New Roman"/>
                <w:sz w:val="22"/>
              </w:rPr>
              <w:t>Title</w:t>
            </w:r>
          </w:p>
        </w:tc>
        <w:tc>
          <w:tcPr>
            <w:tcW w:type="dxa" w:w="6520"/>
            <w:vAlign w:val="center"/>
          </w:tcPr>
          <w:p>
            <w:pPr>
              <w:spacing w:after="0" w:line="276" w:lineRule="auto"/>
            </w:pPr>
            <w:r>
              <w:rPr>
                <w:rFonts w:ascii="Times New Roman" w:hAnsi="Times New Roman" w:eastAsia="Times New Roman"/>
                <w:sz w:val="22"/>
              </w:rPr>
              <w:t>Health endpoint returns service availability metadata</w:t>
            </w:r>
          </w:p>
        </w:tc>
      </w:tr>
      <w:tr>
        <w:tc>
          <w:tcPr>
            <w:tcW w:type="dxa" w:w="2551"/>
            <w:vAlign w:val="center"/>
          </w:tcPr>
          <w:p>
            <w:pPr>
              <w:spacing w:after="0" w:line="276" w:lineRule="auto"/>
            </w:pPr>
            <w:r>
              <w:rPr>
                <w:rFonts w:ascii="Times New Roman" w:hAnsi="Times New Roman" w:eastAsia="Times New Roman"/>
                <w:sz w:val="22"/>
              </w:rPr>
              <w:t>Module</w:t>
            </w:r>
          </w:p>
        </w:tc>
        <w:tc>
          <w:tcPr>
            <w:tcW w:type="dxa" w:w="6520"/>
            <w:vAlign w:val="center"/>
          </w:tcPr>
          <w:p>
            <w:pPr>
              <w:spacing w:after="0" w:line="276" w:lineRule="auto"/>
            </w:pPr>
            <w:r>
              <w:rPr>
                <w:rFonts w:ascii="Times New Roman" w:hAnsi="Times New Roman" w:eastAsia="Times New Roman"/>
                <w:sz w:val="22"/>
              </w:rPr>
              <w:t>Health API</w:t>
            </w:r>
          </w:p>
        </w:tc>
      </w:tr>
      <w:tr>
        <w:tc>
          <w:tcPr>
            <w:tcW w:type="dxa" w:w="2551"/>
            <w:vAlign w:val="center"/>
          </w:tcPr>
          <w:p>
            <w:pPr>
              <w:spacing w:after="0" w:line="276" w:lineRule="auto"/>
            </w:pPr>
            <w:r>
              <w:rPr>
                <w:rFonts w:ascii="Times New Roman" w:hAnsi="Times New Roman" w:eastAsia="Times New Roman"/>
                <w:sz w:val="22"/>
              </w:rPr>
              <w:t>Endpoint</w:t>
            </w:r>
          </w:p>
        </w:tc>
        <w:tc>
          <w:tcPr>
            <w:tcW w:type="dxa" w:w="6520"/>
            <w:vAlign w:val="center"/>
          </w:tcPr>
          <w:p>
            <w:pPr>
              <w:spacing w:after="0" w:line="276" w:lineRule="auto"/>
            </w:pPr>
            <w:r>
              <w:rPr>
                <w:rFonts w:ascii="Times New Roman" w:hAnsi="Times New Roman" w:eastAsia="Times New Roman"/>
                <w:sz w:val="22"/>
              </w:rPr>
              <w:t>/api/v1/health</w:t>
            </w:r>
          </w:p>
        </w:tc>
      </w:tr>
      <w:tr>
        <w:tc>
          <w:tcPr>
            <w:tcW w:type="dxa" w:w="2551"/>
            <w:vAlign w:val="center"/>
          </w:tcPr>
          <w:p>
            <w:pPr>
              <w:spacing w:after="0" w:line="276" w:lineRule="auto"/>
            </w:pPr>
            <w:r>
              <w:rPr>
                <w:rFonts w:ascii="Times New Roman" w:hAnsi="Times New Roman" w:eastAsia="Times New Roman"/>
                <w:sz w:val="22"/>
              </w:rPr>
              <w:t>Method</w:t>
            </w:r>
          </w:p>
        </w:tc>
        <w:tc>
          <w:tcPr>
            <w:tcW w:type="dxa" w:w="6520"/>
            <w:vAlign w:val="center"/>
          </w:tcPr>
          <w:p>
            <w:pPr>
              <w:spacing w:after="0" w:line="276" w:lineRule="auto"/>
            </w:pPr>
            <w:r>
              <w:rPr>
                <w:rFonts w:ascii="Times New Roman" w:hAnsi="Times New Roman" w:eastAsia="Times New Roman"/>
                <w:sz w:val="22"/>
              </w:rPr>
              <w:t>GET</w:t>
            </w:r>
          </w:p>
        </w:tc>
      </w:tr>
      <w:tr>
        <w:tc>
          <w:tcPr>
            <w:tcW w:type="dxa" w:w="2551"/>
            <w:vAlign w:val="center"/>
          </w:tcPr>
          <w:p>
            <w:pPr>
              <w:spacing w:after="0" w:line="276" w:lineRule="auto"/>
            </w:pPr>
            <w:r>
              <w:rPr>
                <w:rFonts w:ascii="Times New Roman" w:hAnsi="Times New Roman" w:eastAsia="Times New Roman"/>
                <w:sz w:val="22"/>
              </w:rPr>
              <w:t>Auth Requirement</w:t>
            </w:r>
          </w:p>
        </w:tc>
        <w:tc>
          <w:tcPr>
            <w:tcW w:type="dxa" w:w="6520"/>
            <w:vAlign w:val="center"/>
          </w:tcPr>
          <w:p>
            <w:pPr>
              <w:spacing w:after="0" w:line="276" w:lineRule="auto"/>
            </w:pPr>
            <w:r>
              <w:rPr>
                <w:rFonts w:ascii="Times New Roman" w:hAnsi="Times New Roman" w:eastAsia="Times New Roman"/>
                <w:sz w:val="22"/>
              </w:rPr>
              <w:t>None</w:t>
            </w:r>
          </w:p>
        </w:tc>
      </w:tr>
      <w:tr>
        <w:tc>
          <w:tcPr>
            <w:tcW w:type="dxa" w:w="2551"/>
            <w:vAlign w:val="center"/>
          </w:tcPr>
          <w:p>
            <w:pPr>
              <w:spacing w:after="0" w:line="276" w:lineRule="auto"/>
            </w:pPr>
            <w:r>
              <w:rPr>
                <w:rFonts w:ascii="Times New Roman" w:hAnsi="Times New Roman" w:eastAsia="Times New Roman"/>
                <w:sz w:val="22"/>
              </w:rPr>
              <w:t>Test Data</w:t>
            </w:r>
          </w:p>
        </w:tc>
        <w:tc>
          <w:tcPr>
            <w:tcW w:type="dxa" w:w="6520"/>
            <w:vAlign w:val="center"/>
          </w:tcPr>
          <w:p>
            <w:pPr>
              <w:spacing w:after="0" w:line="276" w:lineRule="auto"/>
            </w:pPr>
            <w:r>
              <w:rPr>
                <w:rFonts w:ascii="Times New Roman" w:hAnsi="Times New Roman" w:eastAsia="Times New Roman"/>
                <w:sz w:val="22"/>
              </w:rPr>
              <w:t>Base URL=http://localhost:5068</w:t>
            </w:r>
          </w:p>
        </w:tc>
      </w:tr>
      <w:tr>
        <w:tc>
          <w:tcPr>
            <w:tcW w:type="dxa" w:w="2551"/>
            <w:vAlign w:val="center"/>
          </w:tcPr>
          <w:p>
            <w:pPr>
              <w:spacing w:after="0" w:line="276" w:lineRule="auto"/>
            </w:pPr>
            <w:r>
              <w:rPr>
                <w:rFonts w:ascii="Times New Roman" w:hAnsi="Times New Roman" w:eastAsia="Times New Roman"/>
                <w:sz w:val="22"/>
              </w:rPr>
              <w:t>Steps</w:t>
            </w:r>
          </w:p>
        </w:tc>
        <w:tc>
          <w:tcPr>
            <w:tcW w:type="dxa" w:w="6520"/>
            <w:vAlign w:val="center"/>
          </w:tcPr>
          <w:p>
            <w:pPr>
              <w:spacing w:after="0" w:line="276" w:lineRule="auto"/>
            </w:pPr>
            <w:r>
              <w:rPr>
                <w:rFonts w:ascii="Times New Roman" w:hAnsi="Times New Roman" w:eastAsia="Times New Roman"/>
                <w:sz w:val="22"/>
              </w:rPr>
              <w:t>1 Ensure the application is running locally; 2 Send GET request to http://localhost:5068/api/v1/health using Postman or browser.</w:t>
            </w:r>
          </w:p>
        </w:tc>
      </w:tr>
      <w:tr>
        <w:tc>
          <w:tcPr>
            <w:tcW w:type="dxa" w:w="2551"/>
            <w:vAlign w:val="center"/>
          </w:tcPr>
          <w:p>
            <w:pPr>
              <w:spacing w:after="0" w:line="276" w:lineRule="auto"/>
            </w:pPr>
            <w:r>
              <w:rPr>
                <w:rFonts w:ascii="Times New Roman" w:hAnsi="Times New Roman" w:eastAsia="Times New Roman"/>
                <w:sz w:val="22"/>
              </w:rPr>
              <w:t>Expected Status Code</w:t>
            </w:r>
          </w:p>
        </w:tc>
        <w:tc>
          <w:tcPr>
            <w:tcW w:type="dxa" w:w="6520"/>
            <w:vAlign w:val="center"/>
          </w:tcPr>
          <w:p>
            <w:pPr>
              <w:spacing w:after="0" w:line="276" w:lineRule="auto"/>
            </w:pPr>
            <w:r>
              <w:rPr>
                <w:rFonts w:ascii="Times New Roman" w:hAnsi="Times New Roman" w:eastAsia="Times New Roman"/>
                <w:sz w:val="22"/>
              </w:rPr>
              <w:t>200</w:t>
            </w:r>
          </w:p>
        </w:tc>
      </w:tr>
      <w:tr>
        <w:tc>
          <w:tcPr>
            <w:tcW w:type="dxa" w:w="2551"/>
            <w:vAlign w:val="center"/>
          </w:tcPr>
          <w:p>
            <w:pPr>
              <w:spacing w:after="0" w:line="276" w:lineRule="auto"/>
            </w:pPr>
            <w:r>
              <w:rPr>
                <w:rFonts w:ascii="Times New Roman" w:hAnsi="Times New Roman" w:eastAsia="Times New Roman"/>
                <w:sz w:val="22"/>
              </w:rPr>
              <w:t>Expected Body</w:t>
            </w:r>
          </w:p>
        </w:tc>
        <w:tc>
          <w:tcPr>
            <w:tcW w:type="dxa" w:w="6520"/>
            <w:vAlign w:val="center"/>
          </w:tcPr>
          <w:p>
            <w:pPr>
              <w:spacing w:after="0" w:line="276" w:lineRule="auto"/>
            </w:pPr>
            <w:r>
              <w:rPr>
                <w:rFonts w:ascii="Times New Roman" w:hAnsi="Times New Roman" w:eastAsia="Times New Roman"/>
                <w:sz w:val="22"/>
              </w:rPr>
              <w:t>JSON response contains non-empty fields for status, service, serverTimeUtc, and version; status value is ok.</w:t>
            </w:r>
          </w:p>
        </w:tc>
      </w:tr>
      <w:tr>
        <w:tc>
          <w:tcPr>
            <w:tcW w:type="dxa" w:w="2551"/>
            <w:vAlign w:val="center"/>
          </w:tcPr>
          <w:p>
            <w:pPr>
              <w:spacing w:after="0" w:line="276" w:lineRule="auto"/>
            </w:pPr>
            <w:r>
              <w:rPr>
                <w:rFonts w:ascii="Times New Roman" w:hAnsi="Times New Roman" w:eastAsia="Times New Roman"/>
                <w:sz w:val="22"/>
              </w:rPr>
              <w:t>Actual Result</w:t>
            </w:r>
          </w:p>
        </w:tc>
        <w:tc>
          <w:tcPr>
            <w:tcW w:type="dxa" w:w="6520"/>
            <w:vAlign w:val="center"/>
          </w:tcPr>
          <w:p>
            <w:pPr>
              <w:spacing w:after="0" w:line="276" w:lineRule="auto"/>
            </w:pPr>
            <w:r>
              <w:rPr>
                <w:rFonts w:ascii="Times New Roman" w:hAnsi="Times New Roman" w:eastAsia="Times New Roman"/>
                <w:sz w:val="22"/>
              </w:rPr>
              <w:t>Health endpoint returned 200 OK and all Newman assertions for status, service, serverTimeUtc, and version passed in the full collection rerun.</w:t>
            </w:r>
          </w:p>
        </w:tc>
      </w:tr>
      <w:tr>
        <w:tc>
          <w:tcPr>
            <w:tcW w:type="dxa" w:w="2551"/>
            <w:vAlign w:val="center"/>
          </w:tcPr>
          <w:p>
            <w:pPr>
              <w:spacing w:after="0" w:line="276" w:lineRule="auto"/>
            </w:pPr>
            <w:r>
              <w:rPr>
                <w:rFonts w:ascii="Times New Roman" w:hAnsi="Times New Roman" w:eastAsia="Times New Roman"/>
                <w:sz w:val="22"/>
              </w:rPr>
              <w:t>Status</w:t>
            </w:r>
          </w:p>
        </w:tc>
        <w:tc>
          <w:tcPr>
            <w:tcW w:type="dxa" w:w="6520"/>
            <w:vAlign w:val="center"/>
          </w:tcPr>
          <w:p>
            <w:pPr>
              <w:spacing w:after="0" w:line="276" w:lineRule="auto"/>
            </w:pPr>
            <w:r>
              <w:rPr>
                <w:rFonts w:ascii="Times New Roman" w:hAnsi="Times New Roman" w:eastAsia="Times New Roman"/>
                <w:sz w:val="22"/>
              </w:rPr>
              <w:t>Pass</w:t>
            </w:r>
          </w:p>
        </w:tc>
      </w:tr>
      <w:tr>
        <w:tc>
          <w:tcPr>
            <w:tcW w:type="dxa" w:w="2551"/>
            <w:vAlign w:val="center"/>
          </w:tcPr>
          <w:p>
            <w:pPr>
              <w:spacing w:after="0" w:line="276" w:lineRule="auto"/>
            </w:pPr>
            <w:r>
              <w:rPr>
                <w:rFonts w:ascii="Times New Roman" w:hAnsi="Times New Roman" w:eastAsia="Times New Roman"/>
                <w:sz w:val="22"/>
              </w:rPr>
              <w:t>Evidence / Note</w:t>
            </w:r>
          </w:p>
        </w:tc>
        <w:tc>
          <w:tcPr>
            <w:tcW w:type="dxa" w:w="6520"/>
            <w:vAlign w:val="center"/>
          </w:tcPr>
          <w:p>
            <w:pPr>
              <w:spacing w:after="0" w:line="276" w:lineRule="auto"/>
            </w:pPr>
            <w:r>
              <w:rPr>
                <w:rFonts w:ascii="Times New Roman" w:hAnsi="Times New Roman" w:eastAsia="Times New Roman"/>
                <w:sz w:val="22"/>
              </w:rPr>
              <w:t>Primary evidence: TestResults/Evidence/API/newman-full-run.txt ; Secondary artifact: TestResults/RunnerOutput/API/newman-results.xml</w:t>
            </w:r>
          </w:p>
        </w:tc>
      </w:tr>
    </w:tbl>
    <w:p/>
    <w:p>
      <w:pPr>
        <w:pStyle w:val="Heading3"/>
      </w:pPr>
      <w:r>
        <w:rPr>
          <w:b/>
        </w:rPr>
        <w:t>3.2.3. Test case allocation by member</w:t>
      </w:r>
    </w:p>
    <w:p>
      <w:r>
        <w:rPr>
          <w:rFonts w:ascii="Times New Roman" w:hAnsi="Times New Roman" w:eastAsia="Times New Roman"/>
          <w:sz w:val="24"/>
        </w:rPr>
        <w:t>Ownership allocation was used to satisfy the requirement that each member contributes at least ten non-overlapping test cases. UI cases were distributed by module cluster, while API cases were executed as a shared QA-team artifact due to their smaller surface and automation-centric nature.</w:t>
      </w:r>
    </w:p>
    <w:p>
      <w:pPr>
        <w:jc w:val="center"/>
      </w:pPr>
      <w:r>
        <w:rPr>
          <w:rFonts w:ascii="Times New Roman" w:hAnsi="Times New Roman" w:eastAsia="Times New Roman"/>
          <w:i/>
          <w:sz w:val="22"/>
        </w:rPr>
        <w:t>Table 3.8. Test case allocation by member</w:t>
      </w:r>
    </w:p>
    <w:tbl>
      <w:tblPr>
        <w:tblStyle w:val="TableGrid"/>
        <w:tblW w:type="auto" w:w="0"/>
        <w:jc w:val="center"/>
        <w:tblLook w:firstColumn="1" w:firstRow="1" w:lastColumn="0" w:lastRow="0" w:noHBand="0" w:noVBand="1" w:val="04A0"/>
      </w:tblPr>
      <w:tblGrid>
        <w:gridCol w:w="3120"/>
        <w:gridCol w:w="3120"/>
        <w:gridCol w:w="3120"/>
      </w:tblGrid>
      <w:tr>
        <w:tc>
          <w:tcPr>
            <w:tcW w:type="dxa" w:w="2608"/>
            <w:shd w:fill="D9EAF7"/>
            <w:vAlign w:val="center"/>
          </w:tcPr>
          <w:p>
            <w:pPr>
              <w:spacing w:after="0" w:line="276" w:lineRule="auto"/>
            </w:pPr>
            <w:r>
              <w:rPr>
                <w:rFonts w:ascii="Times New Roman" w:hAnsi="Times New Roman" w:eastAsia="Times New Roman"/>
                <w:sz w:val="22"/>
              </w:rPr>
              <w:t>Owner</w:t>
            </w:r>
          </w:p>
        </w:tc>
        <w:tc>
          <w:tcPr>
            <w:tcW w:type="dxa" w:w="1814"/>
            <w:shd w:fill="D9EAF7"/>
            <w:vAlign w:val="center"/>
          </w:tcPr>
          <w:p>
            <w:pPr>
              <w:spacing w:after="0" w:line="276" w:lineRule="auto"/>
            </w:pPr>
            <w:r>
              <w:rPr>
                <w:rFonts w:ascii="Times New Roman" w:hAnsi="Times New Roman" w:eastAsia="Times New Roman"/>
                <w:sz w:val="22"/>
              </w:rPr>
              <w:t>Assigned UI cases</w:t>
            </w:r>
          </w:p>
        </w:tc>
        <w:tc>
          <w:tcPr>
            <w:tcW w:type="dxa" w:w="4649"/>
            <w:shd w:fill="D9EAF7"/>
            <w:vAlign w:val="center"/>
          </w:tcPr>
          <w:p>
            <w:pPr>
              <w:spacing w:after="0" w:line="276" w:lineRule="auto"/>
            </w:pPr>
            <w:r>
              <w:rPr>
                <w:rFonts w:ascii="Times New Roman" w:hAnsi="Times New Roman" w:eastAsia="Times New Roman"/>
                <w:sz w:val="22"/>
              </w:rPr>
              <w:t>Allocation note</w:t>
            </w:r>
          </w:p>
        </w:tc>
      </w:tr>
      <w:tr>
        <w:tc>
          <w:tcPr>
            <w:tcW w:type="dxa" w:w="2608"/>
            <w:vAlign w:val="center"/>
          </w:tcPr>
          <w:p>
            <w:pPr>
              <w:spacing w:after="0" w:line="276" w:lineRule="auto"/>
            </w:pPr>
            <w:r>
              <w:rPr>
                <w:rFonts w:ascii="Times New Roman" w:hAnsi="Times New Roman" w:eastAsia="Times New Roman"/>
                <w:sz w:val="22"/>
              </w:rPr>
              <w:t>Hoang Van Thien</w:t>
            </w:r>
          </w:p>
        </w:tc>
        <w:tc>
          <w:tcPr>
            <w:tcW w:type="dxa" w:w="1814"/>
            <w:vAlign w:val="center"/>
          </w:tcPr>
          <w:p>
            <w:pPr>
              <w:spacing w:after="0" w:line="276" w:lineRule="auto"/>
            </w:pPr>
            <w:r>
              <w:rPr>
                <w:rFonts w:ascii="Times New Roman" w:hAnsi="Times New Roman" w:eastAsia="Times New Roman"/>
                <w:sz w:val="22"/>
              </w:rPr>
              <w:t>17</w:t>
            </w:r>
          </w:p>
        </w:tc>
        <w:tc>
          <w:tcPr>
            <w:tcW w:type="dxa" w:w="4649"/>
            <w:vAlign w:val="center"/>
          </w:tcPr>
          <w:p>
            <w:pPr>
              <w:spacing w:after="0" w:line="276" w:lineRule="auto"/>
            </w:pPr>
            <w:r>
              <w:rPr>
                <w:rFonts w:ascii="Times New Roman" w:hAnsi="Times New Roman" w:eastAsia="Times New Roman"/>
                <w:sz w:val="22"/>
              </w:rPr>
              <w:t>Authentication, permissions, admin, invoices, reports, and partial public-catalog coverage</w:t>
            </w:r>
          </w:p>
        </w:tc>
      </w:tr>
      <w:tr>
        <w:tc>
          <w:tcPr>
            <w:tcW w:type="dxa" w:w="2608"/>
            <w:vAlign w:val="center"/>
          </w:tcPr>
          <w:p>
            <w:pPr>
              <w:spacing w:after="0" w:line="276" w:lineRule="auto"/>
            </w:pPr>
            <w:r>
              <w:rPr>
                <w:rFonts w:ascii="Times New Roman" w:hAnsi="Times New Roman" w:eastAsia="Times New Roman"/>
                <w:sz w:val="22"/>
              </w:rPr>
              <w:t>Nguyen Thanh Dat</w:t>
            </w:r>
          </w:p>
        </w:tc>
        <w:tc>
          <w:tcPr>
            <w:tcW w:type="dxa" w:w="1814"/>
            <w:vAlign w:val="center"/>
          </w:tcPr>
          <w:p>
            <w:pPr>
              <w:spacing w:after="0" w:line="276" w:lineRule="auto"/>
            </w:pPr>
            <w:r>
              <w:rPr>
                <w:rFonts w:ascii="Times New Roman" w:hAnsi="Times New Roman" w:eastAsia="Times New Roman"/>
                <w:sz w:val="22"/>
              </w:rPr>
              <w:t>13</w:t>
            </w:r>
          </w:p>
        </w:tc>
        <w:tc>
          <w:tcPr>
            <w:tcW w:type="dxa" w:w="4649"/>
            <w:vAlign w:val="center"/>
          </w:tcPr>
          <w:p>
            <w:pPr>
              <w:spacing w:after="0" w:line="276" w:lineRule="auto"/>
            </w:pPr>
            <w:r>
              <w:rPr>
                <w:rFonts w:ascii="Times New Roman" w:hAnsi="Times New Roman" w:eastAsia="Times New Roman"/>
                <w:sz w:val="22"/>
              </w:rPr>
              <w:t>Customers, suppliers, purchases, and partial stock coverage</w:t>
            </w:r>
          </w:p>
        </w:tc>
      </w:tr>
      <w:tr>
        <w:tc>
          <w:tcPr>
            <w:tcW w:type="dxa" w:w="2608"/>
            <w:vAlign w:val="center"/>
          </w:tcPr>
          <w:p>
            <w:pPr>
              <w:spacing w:after="0" w:line="276" w:lineRule="auto"/>
            </w:pPr>
            <w:r>
              <w:rPr>
                <w:rFonts w:ascii="Times New Roman" w:hAnsi="Times New Roman" w:eastAsia="Times New Roman"/>
                <w:sz w:val="22"/>
              </w:rPr>
              <w:t>Le Quang Duy</w:t>
            </w:r>
          </w:p>
        </w:tc>
        <w:tc>
          <w:tcPr>
            <w:tcW w:type="dxa" w:w="1814"/>
            <w:vAlign w:val="center"/>
          </w:tcPr>
          <w:p>
            <w:pPr>
              <w:spacing w:after="0" w:line="276" w:lineRule="auto"/>
            </w:pPr>
            <w:r>
              <w:rPr>
                <w:rFonts w:ascii="Times New Roman" w:hAnsi="Times New Roman" w:eastAsia="Times New Roman"/>
                <w:sz w:val="22"/>
              </w:rPr>
              <w:t>14</w:t>
            </w:r>
          </w:p>
        </w:tc>
        <w:tc>
          <w:tcPr>
            <w:tcW w:type="dxa" w:w="4649"/>
            <w:vAlign w:val="center"/>
          </w:tcPr>
          <w:p>
            <w:pPr>
              <w:spacing w:after="0" w:line="276" w:lineRule="auto"/>
            </w:pPr>
            <w:r>
              <w:rPr>
                <w:rFonts w:ascii="Times New Roman" w:hAnsi="Times New Roman" w:eastAsia="Times New Roman"/>
                <w:sz w:val="22"/>
              </w:rPr>
              <w:t>Products, product import, public catalog, and partial stock coverage</w:t>
            </w:r>
          </w:p>
        </w:tc>
      </w:tr>
      <w:tr>
        <w:tc>
          <w:tcPr>
            <w:tcW w:type="dxa" w:w="2608"/>
            <w:vAlign w:val="center"/>
          </w:tcPr>
          <w:p>
            <w:pPr>
              <w:spacing w:after="0" w:line="276" w:lineRule="auto"/>
            </w:pPr>
            <w:r>
              <w:rPr>
                <w:rFonts w:ascii="Times New Roman" w:hAnsi="Times New Roman" w:eastAsia="Times New Roman"/>
                <w:sz w:val="22"/>
              </w:rPr>
              <w:t>QA Team</w:t>
            </w:r>
          </w:p>
        </w:tc>
        <w:tc>
          <w:tcPr>
            <w:tcW w:type="dxa" w:w="1814"/>
            <w:vAlign w:val="center"/>
          </w:tcPr>
          <w:p>
            <w:pPr>
              <w:spacing w:after="0" w:line="276" w:lineRule="auto"/>
            </w:pPr>
            <w:r>
              <w:rPr>
                <w:rFonts w:ascii="Times New Roman" w:hAnsi="Times New Roman" w:eastAsia="Times New Roman"/>
                <w:sz w:val="22"/>
              </w:rPr>
              <w:t>19</w:t>
            </w:r>
          </w:p>
        </w:tc>
        <w:tc>
          <w:tcPr>
            <w:tcW w:type="dxa" w:w="4649"/>
            <w:vAlign w:val="center"/>
          </w:tcPr>
          <w:p>
            <w:pPr>
              <w:spacing w:after="0" w:line="276" w:lineRule="auto"/>
            </w:pPr>
            <w:r>
              <w:rPr>
                <w:rFonts w:ascii="Times New Roman" w:hAnsi="Times New Roman" w:eastAsia="Times New Roman"/>
                <w:sz w:val="22"/>
              </w:rPr>
              <w:t>Shared ownership for API execution and automation evidence</w:t>
            </w:r>
          </w:p>
        </w:tc>
      </w:tr>
    </w:tbl>
    <w:p/>
    <w:p>
      <w:r>
        <w:rPr>
          <w:rFonts w:ascii="Times New Roman" w:hAnsi="Times New Roman" w:eastAsia="Times New Roman"/>
          <w:sz w:val="24"/>
        </w:rPr>
        <w:t>This allocation keeps module ownership visible while preserving a shared quality baseline across the final package. It also supports defense readiness because each member can explain both the rationale and the execution evidence of the areas they owned.</w:t>
      </w:r>
    </w:p>
    <w:p>
      <w:pPr>
        <w:pStyle w:val="Heading3"/>
      </w:pPr>
      <w:r>
        <w:rPr>
          <w:b/>
        </w:rPr>
        <w:t>3.2.4. Execution evidence summary</w:t>
      </w:r>
    </w:p>
    <w:p>
      <w:r>
        <w:rPr>
          <w:rFonts w:ascii="Times New Roman" w:hAnsi="Times New Roman" w:eastAsia="Times New Roman"/>
          <w:sz w:val="24"/>
        </w:rPr>
        <w:t>The execution baseline is fully recorded in the final-results workbook and linked evidence files. Every designed test case in the current baseline has an execution result, and each fail case is traceable to evidence and defect records.</w:t>
      </w:r>
    </w:p>
    <w:p>
      <w:pPr>
        <w:jc w:val="center"/>
      </w:pPr>
      <w:r>
        <w:rPr>
          <w:rFonts w:ascii="Times New Roman" w:hAnsi="Times New Roman" w:eastAsia="Times New Roman"/>
          <w:i/>
          <w:sz w:val="22"/>
        </w:rPr>
        <w:t>Table 3.9. Execution evidence summary</w:t>
      </w:r>
    </w:p>
    <w:tbl>
      <w:tblPr>
        <w:tblStyle w:val="TableGrid"/>
        <w:tblW w:type="auto" w:w="0"/>
        <w:jc w:val="center"/>
        <w:tblLook w:firstColumn="1" w:firstRow="1" w:lastColumn="0" w:lastRow="0" w:noHBand="0" w:noVBand="1" w:val="04A0"/>
      </w:tblPr>
      <w:tblGrid>
        <w:gridCol w:w="4680"/>
        <w:gridCol w:w="4680"/>
      </w:tblGrid>
      <w:tr>
        <w:tc>
          <w:tcPr>
            <w:tcW w:type="dxa" w:w="3118"/>
            <w:shd w:fill="D9EAF7"/>
            <w:vAlign w:val="center"/>
          </w:tcPr>
          <w:p>
            <w:pPr>
              <w:spacing w:after="0" w:line="276" w:lineRule="auto"/>
            </w:pPr>
            <w:r>
              <w:rPr>
                <w:rFonts w:ascii="Times New Roman" w:hAnsi="Times New Roman" w:eastAsia="Times New Roman"/>
                <w:sz w:val="22"/>
              </w:rPr>
              <w:t>Metric</w:t>
            </w:r>
          </w:p>
        </w:tc>
        <w:tc>
          <w:tcPr>
            <w:tcW w:type="dxa" w:w="5953"/>
            <w:shd w:fill="D9EAF7"/>
            <w:vAlign w:val="center"/>
          </w:tcPr>
          <w:p>
            <w:pPr>
              <w:spacing w:after="0" w:line="276" w:lineRule="auto"/>
            </w:pPr>
            <w:r>
              <w:rPr>
                <w:rFonts w:ascii="Times New Roman" w:hAnsi="Times New Roman" w:eastAsia="Times New Roman"/>
                <w:sz w:val="22"/>
              </w:rPr>
              <w:t>Value</w:t>
            </w:r>
          </w:p>
        </w:tc>
      </w:tr>
      <w:tr>
        <w:tc>
          <w:tcPr>
            <w:tcW w:type="dxa" w:w="3118"/>
            <w:vAlign w:val="center"/>
          </w:tcPr>
          <w:p>
            <w:pPr>
              <w:spacing w:after="0" w:line="276" w:lineRule="auto"/>
            </w:pPr>
            <w:r>
              <w:rPr>
                <w:rFonts w:ascii="Times New Roman" w:hAnsi="Times New Roman" w:eastAsia="Times New Roman"/>
                <w:sz w:val="22"/>
              </w:rPr>
              <w:t>Total executed test cases</w:t>
            </w:r>
          </w:p>
        </w:tc>
        <w:tc>
          <w:tcPr>
            <w:tcW w:type="dxa" w:w="5953"/>
            <w:vAlign w:val="center"/>
          </w:tcPr>
          <w:p>
            <w:pPr>
              <w:spacing w:after="0" w:line="276" w:lineRule="auto"/>
            </w:pPr>
            <w:r>
              <w:rPr>
                <w:rFonts w:ascii="Times New Roman" w:hAnsi="Times New Roman" w:eastAsia="Times New Roman"/>
                <w:sz w:val="22"/>
              </w:rPr>
              <w:t>63</w:t>
            </w:r>
          </w:p>
        </w:tc>
      </w:tr>
      <w:tr>
        <w:tc>
          <w:tcPr>
            <w:tcW w:type="dxa" w:w="3118"/>
            <w:vAlign w:val="center"/>
          </w:tcPr>
          <w:p>
            <w:pPr>
              <w:spacing w:after="0" w:line="276" w:lineRule="auto"/>
            </w:pPr>
            <w:r>
              <w:rPr>
                <w:rFonts w:ascii="Times New Roman" w:hAnsi="Times New Roman" w:eastAsia="Times New Roman"/>
                <w:sz w:val="22"/>
              </w:rPr>
              <w:t>Pass</w:t>
            </w:r>
          </w:p>
        </w:tc>
        <w:tc>
          <w:tcPr>
            <w:tcW w:type="dxa" w:w="5953"/>
            <w:vAlign w:val="center"/>
          </w:tcPr>
          <w:p>
            <w:pPr>
              <w:spacing w:after="0" w:line="276" w:lineRule="auto"/>
            </w:pPr>
            <w:r>
              <w:rPr>
                <w:rFonts w:ascii="Times New Roman" w:hAnsi="Times New Roman" w:eastAsia="Times New Roman"/>
                <w:sz w:val="22"/>
              </w:rPr>
              <w:t>56</w:t>
            </w:r>
          </w:p>
        </w:tc>
      </w:tr>
      <w:tr>
        <w:tc>
          <w:tcPr>
            <w:tcW w:type="dxa" w:w="3118"/>
            <w:vAlign w:val="center"/>
          </w:tcPr>
          <w:p>
            <w:pPr>
              <w:spacing w:after="0" w:line="276" w:lineRule="auto"/>
            </w:pPr>
            <w:r>
              <w:rPr>
                <w:rFonts w:ascii="Times New Roman" w:hAnsi="Times New Roman" w:eastAsia="Times New Roman"/>
                <w:sz w:val="22"/>
              </w:rPr>
              <w:t>Fail</w:t>
            </w:r>
          </w:p>
        </w:tc>
        <w:tc>
          <w:tcPr>
            <w:tcW w:type="dxa" w:w="5953"/>
            <w:vAlign w:val="center"/>
          </w:tcPr>
          <w:p>
            <w:pPr>
              <w:spacing w:after="0" w:line="276" w:lineRule="auto"/>
            </w:pPr>
            <w:r>
              <w:rPr>
                <w:rFonts w:ascii="Times New Roman" w:hAnsi="Times New Roman" w:eastAsia="Times New Roman"/>
                <w:sz w:val="22"/>
              </w:rPr>
              <w:t>7</w:t>
            </w:r>
          </w:p>
        </w:tc>
      </w:tr>
      <w:tr>
        <w:tc>
          <w:tcPr>
            <w:tcW w:type="dxa" w:w="3118"/>
            <w:vAlign w:val="center"/>
          </w:tcPr>
          <w:p>
            <w:pPr>
              <w:spacing w:after="0" w:line="276" w:lineRule="auto"/>
            </w:pPr>
            <w:r>
              <w:rPr>
                <w:rFonts w:ascii="Times New Roman" w:hAnsi="Times New Roman" w:eastAsia="Times New Roman"/>
                <w:sz w:val="22"/>
              </w:rPr>
              <w:t>Admin UI cases</w:t>
            </w:r>
          </w:p>
        </w:tc>
        <w:tc>
          <w:tcPr>
            <w:tcW w:type="dxa" w:w="5953"/>
            <w:vAlign w:val="center"/>
          </w:tcPr>
          <w:p>
            <w:pPr>
              <w:spacing w:after="0" w:line="276" w:lineRule="auto"/>
            </w:pPr>
            <w:r>
              <w:rPr>
                <w:rFonts w:ascii="Times New Roman" w:hAnsi="Times New Roman" w:eastAsia="Times New Roman"/>
                <w:sz w:val="22"/>
              </w:rPr>
              <w:t>41</w:t>
            </w:r>
          </w:p>
        </w:tc>
      </w:tr>
      <w:tr>
        <w:tc>
          <w:tcPr>
            <w:tcW w:type="dxa" w:w="3118"/>
            <w:vAlign w:val="center"/>
          </w:tcPr>
          <w:p>
            <w:pPr>
              <w:spacing w:after="0" w:line="276" w:lineRule="auto"/>
            </w:pPr>
            <w:r>
              <w:rPr>
                <w:rFonts w:ascii="Times New Roman" w:hAnsi="Times New Roman" w:eastAsia="Times New Roman"/>
                <w:sz w:val="22"/>
              </w:rPr>
              <w:t>Public UI cases</w:t>
            </w:r>
          </w:p>
        </w:tc>
        <w:tc>
          <w:tcPr>
            <w:tcW w:type="dxa" w:w="5953"/>
            <w:vAlign w:val="center"/>
          </w:tcPr>
          <w:p>
            <w:pPr>
              <w:spacing w:after="0" w:line="276" w:lineRule="auto"/>
            </w:pPr>
            <w:r>
              <w:rPr>
                <w:rFonts w:ascii="Times New Roman" w:hAnsi="Times New Roman" w:eastAsia="Times New Roman"/>
                <w:sz w:val="22"/>
              </w:rPr>
              <w:t>3</w:t>
            </w:r>
          </w:p>
        </w:tc>
      </w:tr>
      <w:tr>
        <w:tc>
          <w:tcPr>
            <w:tcW w:type="dxa" w:w="3118"/>
            <w:vAlign w:val="center"/>
          </w:tcPr>
          <w:p>
            <w:pPr>
              <w:spacing w:after="0" w:line="276" w:lineRule="auto"/>
            </w:pPr>
            <w:r>
              <w:rPr>
                <w:rFonts w:ascii="Times New Roman" w:hAnsi="Times New Roman" w:eastAsia="Times New Roman"/>
                <w:sz w:val="22"/>
              </w:rPr>
              <w:t>API cases</w:t>
            </w:r>
          </w:p>
        </w:tc>
        <w:tc>
          <w:tcPr>
            <w:tcW w:type="dxa" w:w="5953"/>
            <w:vAlign w:val="center"/>
          </w:tcPr>
          <w:p>
            <w:pPr>
              <w:spacing w:after="0" w:line="276" w:lineRule="auto"/>
            </w:pPr>
            <w:r>
              <w:rPr>
                <w:rFonts w:ascii="Times New Roman" w:hAnsi="Times New Roman" w:eastAsia="Times New Roman"/>
                <w:sz w:val="22"/>
              </w:rPr>
              <w:t>19</w:t>
            </w:r>
          </w:p>
        </w:tc>
      </w:tr>
      <w:tr>
        <w:tc>
          <w:tcPr>
            <w:tcW w:type="dxa" w:w="3118"/>
            <w:vAlign w:val="center"/>
          </w:tcPr>
          <w:p>
            <w:pPr>
              <w:spacing w:after="0" w:line="276" w:lineRule="auto"/>
            </w:pPr>
            <w:r>
              <w:rPr>
                <w:rFonts w:ascii="Times New Roman" w:hAnsi="Times New Roman" w:eastAsia="Times New Roman"/>
                <w:sz w:val="22"/>
              </w:rPr>
              <w:t>Execution completeness</w:t>
            </w:r>
          </w:p>
        </w:tc>
        <w:tc>
          <w:tcPr>
            <w:tcW w:type="dxa" w:w="5953"/>
            <w:vAlign w:val="center"/>
          </w:tcPr>
          <w:p>
            <w:pPr>
              <w:spacing w:after="0" w:line="276" w:lineRule="auto"/>
            </w:pPr>
            <w:r>
              <w:rPr>
                <w:rFonts w:ascii="Times New Roman" w:hAnsi="Times New Roman" w:eastAsia="Times New Roman"/>
                <w:sz w:val="22"/>
              </w:rPr>
              <w:t>100% of the current baseline</w:t>
            </w:r>
          </w:p>
        </w:tc>
      </w:tr>
    </w:tbl>
    <w:p/>
    <w:p>
      <w:pPr>
        <w:jc w:val="center"/>
      </w:pPr>
      <w:r>
        <w:rPr>
          <w:rFonts w:ascii="Times New Roman" w:hAnsi="Times New Roman" w:eastAsia="Times New Roman"/>
          <w:i/>
          <w:sz w:val="22"/>
        </w:rPr>
        <w:t>Table 3.10. Execution evidence types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AF7"/>
            <w:vAlign w:val="center"/>
          </w:tcPr>
          <w:p>
            <w:pPr>
              <w:spacing w:after="0" w:line="276" w:lineRule="auto"/>
            </w:pPr>
            <w:r>
              <w:rPr>
                <w:rFonts w:ascii="Times New Roman" w:hAnsi="Times New Roman" w:eastAsia="Times New Roman"/>
                <w:sz w:val="22"/>
              </w:rPr>
              <w:t>Evidence type</w:t>
            </w:r>
          </w:p>
        </w:tc>
        <w:tc>
          <w:tcPr>
            <w:tcW w:type="dxa" w:w="3288"/>
            <w:shd w:fill="D9EAF7"/>
            <w:vAlign w:val="center"/>
          </w:tcPr>
          <w:p>
            <w:pPr>
              <w:spacing w:after="0" w:line="276" w:lineRule="auto"/>
            </w:pPr>
            <w:r>
              <w:rPr>
                <w:rFonts w:ascii="Times New Roman" w:hAnsi="Times New Roman" w:eastAsia="Times New Roman"/>
                <w:sz w:val="22"/>
              </w:rPr>
              <w:t>Purpose</w:t>
            </w:r>
          </w:p>
        </w:tc>
        <w:tc>
          <w:tcPr>
            <w:tcW w:type="dxa" w:w="3515"/>
            <w:shd w:fill="D9EAF7"/>
            <w:vAlign w:val="center"/>
          </w:tcPr>
          <w:p>
            <w:pPr>
              <w:spacing w:after="0" w:line="276" w:lineRule="auto"/>
            </w:pPr>
            <w:r>
              <w:rPr>
                <w:rFonts w:ascii="Times New Roman" w:hAnsi="Times New Roman" w:eastAsia="Times New Roman"/>
                <w:sz w:val="22"/>
              </w:rPr>
              <w:t>Representative artifact</w:t>
            </w:r>
          </w:p>
        </w:tc>
      </w:tr>
      <w:tr>
        <w:tc>
          <w:tcPr>
            <w:tcW w:type="dxa" w:w="2268"/>
            <w:vAlign w:val="center"/>
          </w:tcPr>
          <w:p>
            <w:pPr>
              <w:spacing w:after="0" w:line="276" w:lineRule="auto"/>
            </w:pPr>
            <w:r>
              <w:rPr>
                <w:rFonts w:ascii="Times New Roman" w:hAnsi="Times New Roman" w:eastAsia="Times New Roman"/>
                <w:sz w:val="22"/>
              </w:rPr>
              <w:t>UI screenshots</w:t>
            </w:r>
          </w:p>
        </w:tc>
        <w:tc>
          <w:tcPr>
            <w:tcW w:type="dxa" w:w="3288"/>
            <w:vAlign w:val="center"/>
          </w:tcPr>
          <w:p>
            <w:pPr>
              <w:spacing w:after="0" w:line="276" w:lineRule="auto"/>
            </w:pPr>
            <w:r>
              <w:rPr>
                <w:rFonts w:ascii="Times New Roman" w:hAnsi="Times New Roman" w:eastAsia="Times New Roman"/>
                <w:sz w:val="22"/>
              </w:rPr>
              <w:t>Visual proof of page state and result outcome</w:t>
            </w:r>
          </w:p>
        </w:tc>
        <w:tc>
          <w:tcPr>
            <w:tcW w:type="dxa" w:w="3515"/>
            <w:vAlign w:val="center"/>
          </w:tcPr>
          <w:p>
            <w:pPr>
              <w:spacing w:after="0" w:line="276" w:lineRule="auto"/>
            </w:pPr>
            <w:r>
              <w:rPr>
                <w:rFonts w:ascii="Times New Roman" w:hAnsi="Times New Roman" w:eastAsia="Times New Roman"/>
                <w:sz w:val="22"/>
              </w:rPr>
              <w:t>Admin login, import preview, invoice failure screenshots</w:t>
            </w:r>
          </w:p>
        </w:tc>
      </w:tr>
      <w:tr>
        <w:tc>
          <w:tcPr>
            <w:tcW w:type="dxa" w:w="2268"/>
            <w:vAlign w:val="center"/>
          </w:tcPr>
          <w:p>
            <w:pPr>
              <w:spacing w:after="0" w:line="276" w:lineRule="auto"/>
            </w:pPr>
            <w:r>
              <w:rPr>
                <w:rFonts w:ascii="Times New Roman" w:hAnsi="Times New Roman" w:eastAsia="Times New Roman"/>
                <w:sz w:val="22"/>
              </w:rPr>
              <w:t>TRX runner output</w:t>
            </w:r>
          </w:p>
        </w:tc>
        <w:tc>
          <w:tcPr>
            <w:tcW w:type="dxa" w:w="3288"/>
            <w:vAlign w:val="center"/>
          </w:tcPr>
          <w:p>
            <w:pPr>
              <w:spacing w:after="0" w:line="276" w:lineRule="auto"/>
            </w:pPr>
            <w:r>
              <w:rPr>
                <w:rFonts w:ascii="Times New Roman" w:hAnsi="Times New Roman" w:eastAsia="Times New Roman"/>
                <w:sz w:val="22"/>
              </w:rPr>
              <w:t>Execution trace for focused UI automation reruns</w:t>
            </w:r>
          </w:p>
        </w:tc>
        <w:tc>
          <w:tcPr>
            <w:tcW w:type="dxa" w:w="3515"/>
            <w:vAlign w:val="center"/>
          </w:tcPr>
          <w:p>
            <w:pPr>
              <w:spacing w:after="0" w:line="276" w:lineRule="auto"/>
            </w:pPr>
            <w:r>
              <w:rPr>
                <w:rFonts w:ascii="Times New Roman" w:hAnsi="Times New Roman" w:eastAsia="Times New Roman"/>
                <w:sz w:val="22"/>
              </w:rPr>
              <w:t>UI rerun files under TestResults/RunnerOutput/UI</w:t>
            </w:r>
          </w:p>
        </w:tc>
      </w:tr>
      <w:tr>
        <w:tc>
          <w:tcPr>
            <w:tcW w:type="dxa" w:w="2268"/>
            <w:vAlign w:val="center"/>
          </w:tcPr>
          <w:p>
            <w:pPr>
              <w:spacing w:after="0" w:line="276" w:lineRule="auto"/>
            </w:pPr>
            <w:r>
              <w:rPr>
                <w:rFonts w:ascii="Times New Roman" w:hAnsi="Times New Roman" w:eastAsia="Times New Roman"/>
                <w:sz w:val="22"/>
              </w:rPr>
              <w:t>Newman TXT and XML</w:t>
            </w:r>
          </w:p>
        </w:tc>
        <w:tc>
          <w:tcPr>
            <w:tcW w:type="dxa" w:w="3288"/>
            <w:vAlign w:val="center"/>
          </w:tcPr>
          <w:p>
            <w:pPr>
              <w:spacing w:after="0" w:line="276" w:lineRule="auto"/>
            </w:pPr>
            <w:r>
              <w:rPr>
                <w:rFonts w:ascii="Times New Roman" w:hAnsi="Times New Roman" w:eastAsia="Times New Roman"/>
                <w:sz w:val="22"/>
              </w:rPr>
              <w:t>Exportable API automation proof</w:t>
            </w:r>
          </w:p>
        </w:tc>
        <w:tc>
          <w:tcPr>
            <w:tcW w:type="dxa" w:w="3515"/>
            <w:vAlign w:val="center"/>
          </w:tcPr>
          <w:p>
            <w:pPr>
              <w:spacing w:after="0" w:line="276" w:lineRule="auto"/>
            </w:pPr>
            <w:r>
              <w:rPr>
                <w:rFonts w:ascii="Times New Roman" w:hAnsi="Times New Roman" w:eastAsia="Times New Roman"/>
                <w:sz w:val="22"/>
              </w:rPr>
              <w:t>newman-full-run.txt and newman-results.xml</w:t>
            </w:r>
          </w:p>
        </w:tc>
      </w:tr>
      <w:tr>
        <w:tc>
          <w:tcPr>
            <w:tcW w:type="dxa" w:w="2268"/>
            <w:vAlign w:val="center"/>
          </w:tcPr>
          <w:p>
            <w:pPr>
              <w:spacing w:after="0" w:line="276" w:lineRule="auto"/>
            </w:pPr>
            <w:r>
              <w:rPr>
                <w:rFonts w:ascii="Times New Roman" w:hAnsi="Times New Roman" w:eastAsia="Times New Roman"/>
                <w:sz w:val="22"/>
              </w:rPr>
              <w:t>GitHub Issues</w:t>
            </w:r>
          </w:p>
        </w:tc>
        <w:tc>
          <w:tcPr>
            <w:tcW w:type="dxa" w:w="3288"/>
            <w:vAlign w:val="center"/>
          </w:tcPr>
          <w:p>
            <w:pPr>
              <w:spacing w:after="0" w:line="276" w:lineRule="auto"/>
            </w:pPr>
            <w:r>
              <w:rPr>
                <w:rFonts w:ascii="Times New Roman" w:hAnsi="Times New Roman" w:eastAsia="Times New Roman"/>
                <w:sz w:val="22"/>
              </w:rPr>
              <w:t>Professional bug-management evidence</w:t>
            </w:r>
          </w:p>
        </w:tc>
        <w:tc>
          <w:tcPr>
            <w:tcW w:type="dxa" w:w="3515"/>
            <w:vAlign w:val="center"/>
          </w:tcPr>
          <w:p>
            <w:pPr>
              <w:spacing w:after="0" w:line="276" w:lineRule="auto"/>
            </w:pPr>
            <w:r>
              <w:rPr>
                <w:rFonts w:ascii="Times New Roman" w:hAnsi="Times New Roman" w:eastAsia="Times New Roman"/>
                <w:sz w:val="22"/>
              </w:rPr>
              <w:t>Live issues for the four confirmed defects</w:t>
            </w:r>
          </w:p>
        </w:tc>
      </w:tr>
      <w:tr>
        <w:tc>
          <w:tcPr>
            <w:tcW w:type="dxa" w:w="2268"/>
            <w:vAlign w:val="center"/>
          </w:tcPr>
          <w:p>
            <w:pPr>
              <w:spacing w:after="0" w:line="276" w:lineRule="auto"/>
            </w:pPr>
            <w:r>
              <w:rPr>
                <w:rFonts w:ascii="Times New Roman" w:hAnsi="Times New Roman" w:eastAsia="Times New Roman"/>
                <w:sz w:val="22"/>
              </w:rPr>
              <w:t>Automation video</w:t>
            </w:r>
          </w:p>
        </w:tc>
        <w:tc>
          <w:tcPr>
            <w:tcW w:type="dxa" w:w="3288"/>
            <w:vAlign w:val="center"/>
          </w:tcPr>
          <w:p>
            <w:pPr>
              <w:spacing w:after="0" w:line="276" w:lineRule="auto"/>
            </w:pPr>
            <w:r>
              <w:rPr>
                <w:rFonts w:ascii="Times New Roman" w:hAnsi="Times New Roman" w:eastAsia="Times New Roman"/>
                <w:sz w:val="22"/>
              </w:rPr>
              <w:t>Presentation-ready execution walkthrough</w:t>
            </w:r>
          </w:p>
        </w:tc>
        <w:tc>
          <w:tcPr>
            <w:tcW w:type="dxa" w:w="3515"/>
            <w:vAlign w:val="center"/>
          </w:tcPr>
          <w:p>
            <w:pPr>
              <w:spacing w:after="0" w:line="276" w:lineRule="auto"/>
            </w:pPr>
            <w:r>
              <w:rPr>
                <w:rFonts w:ascii="Times New Roman" w:hAnsi="Times New Roman" w:eastAsia="Times New Roman"/>
                <w:sz w:val="22"/>
              </w:rPr>
              <w:t>OSMS-Automation-Demo.mp4</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