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rPr>
        <w:t>CHAPTER 4. DEFECT REPORT &amp; METRICS</w:t>
      </w:r>
    </w:p>
    <w:p>
      <w:pPr>
        <w:pStyle w:val="Heading2"/>
      </w:pPr>
      <w:r>
        <w:rPr>
          <w:b/>
        </w:rPr>
        <w:t>4.1. Bug Management Tool and Workflow</w:t>
      </w:r>
    </w:p>
    <w:p>
      <w:r>
        <w:rPr>
          <w:rFonts w:ascii="Times New Roman" w:hAnsi="Times New Roman" w:eastAsia="Times New Roman"/>
          <w:sz w:val="24"/>
        </w:rPr>
        <w:t>This chapter explains how defects were controlled, documented, and summarized during the testing process. Because the course requires a real bug-management tool, the project used GitHub Issues as the official issue-tracking platform for confirmed defects. Defect records were synchronized between the issue tracker, the defect register, the final results workbook, and the supporting screenshots and runner outputs.</w:t>
      </w:r>
    </w:p>
    <w:p>
      <w:pPr>
        <w:pStyle w:val="Heading3"/>
      </w:pPr>
      <w:r>
        <w:rPr>
          <w:b/>
        </w:rPr>
        <w:t>4.1.1. Selected tool</w:t>
      </w:r>
    </w:p>
    <w:p>
      <w:r>
        <w:rPr>
          <w:rFonts w:ascii="Times New Roman" w:hAnsi="Times New Roman" w:eastAsia="Times New Roman"/>
          <w:sz w:val="24"/>
        </w:rPr>
        <w:t>GitHub Issues was selected as the official bug-management tool for this submission. The tool is appropriate for the project because it supports issue IDs, labels, screenshots, comments, status tracking, and direct linking from the final result package. It also satisfies the course requirement to use a real issue-management platform rather than a manually typed bug list only.</w:t>
      </w:r>
    </w:p>
    <w:p>
      <w:r>
        <w:rPr>
          <w:rFonts w:ascii="Times New Roman" w:hAnsi="Times New Roman" w:eastAsia="Times New Roman"/>
          <w:sz w:val="24"/>
        </w:rPr>
        <w:t>The selected tool was used for the four confirmed defects that remained reproducible in the current execution baseline.</w:t>
      </w:r>
    </w:p>
    <w:p>
      <w:pPr>
        <w:jc w:val="center"/>
      </w:pPr>
      <w:r>
        <w:rPr>
          <w:rFonts w:ascii="Times New Roman" w:hAnsi="Times New Roman" w:eastAsia="Times New Roman"/>
          <w:i/>
          <w:sz w:val="22"/>
        </w:rPr>
        <w:t>Table 4.1. Bug-management tool selection</w:t>
      </w:r>
    </w:p>
    <w:tbl>
      <w:tblPr>
        <w:tblStyle w:val="TableGrid"/>
        <w:tblW w:type="auto" w:w="0"/>
        <w:jc w:val="center"/>
        <w:tblLook w:firstColumn="1" w:firstRow="1" w:lastColumn="0" w:lastRow="0" w:noHBand="0" w:noVBand="1" w:val="04A0"/>
      </w:tblPr>
      <w:tblGrid>
        <w:gridCol w:w="4680"/>
        <w:gridCol w:w="4680"/>
      </w:tblGrid>
      <w:tr>
        <w:tc>
          <w:tcPr>
            <w:tcW w:type="dxa" w:w="2721"/>
            <w:shd w:fill="D9EAF7"/>
            <w:vAlign w:val="center"/>
          </w:tcPr>
          <w:p>
            <w:pPr>
              <w:spacing w:after="0" w:line="276" w:lineRule="auto"/>
            </w:pPr>
            <w:r>
              <w:rPr>
                <w:rFonts w:ascii="Times New Roman" w:hAnsi="Times New Roman" w:eastAsia="Times New Roman"/>
                <w:sz w:val="22"/>
              </w:rPr>
              <w:t>Item</w:t>
            </w:r>
          </w:p>
        </w:tc>
        <w:tc>
          <w:tcPr>
            <w:tcW w:type="dxa" w:w="6350"/>
            <w:shd w:fill="D9EAF7"/>
            <w:vAlign w:val="center"/>
          </w:tcPr>
          <w:p>
            <w:pPr>
              <w:spacing w:after="0" w:line="276" w:lineRule="auto"/>
            </w:pPr>
            <w:r>
              <w:rPr>
                <w:rFonts w:ascii="Times New Roman" w:hAnsi="Times New Roman" w:eastAsia="Times New Roman"/>
                <w:sz w:val="22"/>
              </w:rPr>
              <w:t>Value</w:t>
            </w:r>
          </w:p>
        </w:tc>
      </w:tr>
      <w:tr>
        <w:tc>
          <w:tcPr>
            <w:tcW w:type="dxa" w:w="2721"/>
            <w:vAlign w:val="center"/>
          </w:tcPr>
          <w:p>
            <w:pPr>
              <w:spacing w:after="0" w:line="276" w:lineRule="auto"/>
            </w:pPr>
            <w:r>
              <w:rPr>
                <w:rFonts w:ascii="Times New Roman" w:hAnsi="Times New Roman" w:eastAsia="Times New Roman"/>
                <w:sz w:val="22"/>
              </w:rPr>
              <w:t>Selected tool</w:t>
            </w:r>
          </w:p>
        </w:tc>
        <w:tc>
          <w:tcPr>
            <w:tcW w:type="dxa" w:w="6350"/>
            <w:vAlign w:val="center"/>
          </w:tcPr>
          <w:p>
            <w:pPr>
              <w:spacing w:after="0" w:line="276" w:lineRule="auto"/>
            </w:pPr>
            <w:r>
              <w:rPr>
                <w:rFonts w:ascii="Times New Roman" w:hAnsi="Times New Roman" w:eastAsia="Times New Roman"/>
                <w:sz w:val="22"/>
              </w:rPr>
              <w:t>GitHub Issues</w:t>
            </w:r>
          </w:p>
        </w:tc>
      </w:tr>
      <w:tr>
        <w:tc>
          <w:tcPr>
            <w:tcW w:type="dxa" w:w="2721"/>
            <w:vAlign w:val="center"/>
          </w:tcPr>
          <w:p>
            <w:pPr>
              <w:spacing w:after="0" w:line="276" w:lineRule="auto"/>
            </w:pPr>
            <w:r>
              <w:rPr>
                <w:rFonts w:ascii="Times New Roman" w:hAnsi="Times New Roman" w:eastAsia="Times New Roman"/>
                <w:sz w:val="22"/>
              </w:rPr>
              <w:t>Repository</w:t>
            </w:r>
          </w:p>
        </w:tc>
        <w:tc>
          <w:tcPr>
            <w:tcW w:type="dxa" w:w="6350"/>
            <w:vAlign w:val="center"/>
          </w:tcPr>
          <w:p>
            <w:pPr>
              <w:spacing w:after="0" w:line="276" w:lineRule="auto"/>
            </w:pPr>
            <w:r>
              <w:rPr>
                <w:rFonts w:ascii="Times New Roman" w:hAnsi="Times New Roman" w:eastAsia="Times New Roman"/>
                <w:sz w:val="22"/>
              </w:rPr>
              <w:t>Alucard30Dec/Online-Sales-Management-System</w:t>
            </w:r>
          </w:p>
        </w:tc>
      </w:tr>
      <w:tr>
        <w:tc>
          <w:tcPr>
            <w:tcW w:type="dxa" w:w="2721"/>
            <w:vAlign w:val="center"/>
          </w:tcPr>
          <w:p>
            <w:pPr>
              <w:spacing w:after="0" w:line="276" w:lineRule="auto"/>
            </w:pPr>
            <w:r>
              <w:rPr>
                <w:rFonts w:ascii="Times New Roman" w:hAnsi="Times New Roman" w:eastAsia="Times New Roman"/>
                <w:sz w:val="22"/>
              </w:rPr>
              <w:t>Used for</w:t>
            </w:r>
          </w:p>
        </w:tc>
        <w:tc>
          <w:tcPr>
            <w:tcW w:type="dxa" w:w="6350"/>
            <w:vAlign w:val="center"/>
          </w:tcPr>
          <w:p>
            <w:pPr>
              <w:spacing w:after="0" w:line="276" w:lineRule="auto"/>
            </w:pPr>
            <w:r>
              <w:rPr>
                <w:rFonts w:ascii="Times New Roman" w:hAnsi="Times New Roman" w:eastAsia="Times New Roman"/>
                <w:sz w:val="22"/>
              </w:rPr>
              <w:t>Confirmed product defects with reproducible evidence</w:t>
            </w:r>
          </w:p>
        </w:tc>
      </w:tr>
      <w:tr>
        <w:tc>
          <w:tcPr>
            <w:tcW w:type="dxa" w:w="2721"/>
            <w:vAlign w:val="center"/>
          </w:tcPr>
          <w:p>
            <w:pPr>
              <w:spacing w:after="0" w:line="276" w:lineRule="auto"/>
            </w:pPr>
            <w:r>
              <w:rPr>
                <w:rFonts w:ascii="Times New Roman" w:hAnsi="Times New Roman" w:eastAsia="Times New Roman"/>
                <w:sz w:val="22"/>
              </w:rPr>
              <w:t>Linked artifacts</w:t>
            </w:r>
          </w:p>
        </w:tc>
        <w:tc>
          <w:tcPr>
            <w:tcW w:type="dxa" w:w="6350"/>
            <w:vAlign w:val="center"/>
          </w:tcPr>
          <w:p>
            <w:pPr>
              <w:spacing w:after="0" w:line="276" w:lineRule="auto"/>
            </w:pPr>
            <w:r>
              <w:rPr>
                <w:rFonts w:ascii="Times New Roman" w:hAnsi="Times New Roman" w:eastAsia="Times New Roman"/>
                <w:sz w:val="22"/>
              </w:rPr>
              <w:t>Defect register, final results, screenshots, TRX/TXT/XML evidence</w:t>
            </w:r>
          </w:p>
        </w:tc>
      </w:tr>
      <w:tr>
        <w:tc>
          <w:tcPr>
            <w:tcW w:type="dxa" w:w="2721"/>
            <w:vAlign w:val="center"/>
          </w:tcPr>
          <w:p>
            <w:pPr>
              <w:spacing w:after="0" w:line="276" w:lineRule="auto"/>
            </w:pPr>
            <w:r>
              <w:rPr>
                <w:rFonts w:ascii="Times New Roman" w:hAnsi="Times New Roman" w:eastAsia="Times New Roman"/>
                <w:sz w:val="22"/>
              </w:rPr>
              <w:t>Reason selected</w:t>
            </w:r>
          </w:p>
        </w:tc>
        <w:tc>
          <w:tcPr>
            <w:tcW w:type="dxa" w:w="6350"/>
            <w:vAlign w:val="center"/>
          </w:tcPr>
          <w:p>
            <w:pPr>
              <w:spacing w:after="0" w:line="276" w:lineRule="auto"/>
            </w:pPr>
            <w:r>
              <w:rPr>
                <w:rFonts w:ascii="Times New Roman" w:hAnsi="Times New Roman" w:eastAsia="Times New Roman"/>
                <w:sz w:val="22"/>
              </w:rPr>
              <w:t>Real issue IDs, practical traceability, and direct repository integration</w:t>
            </w:r>
          </w:p>
        </w:tc>
      </w:tr>
    </w:tbl>
    <w:p/>
    <w:p>
      <w:pPr>
        <w:jc w:val="center"/>
      </w:pPr>
      <w:r>
        <w:drawing>
          <wp:inline xmlns:a="http://schemas.openxmlformats.org/drawingml/2006/main" xmlns:pic="http://schemas.openxmlformats.org/drawingml/2006/picture">
            <wp:extent cx="5303520" cy="4419600"/>
            <wp:docPr id="1" name="Picture 1"/>
            <wp:cNvGraphicFramePr>
              <a:graphicFrameLocks noChangeAspect="1"/>
            </wp:cNvGraphicFramePr>
            <a:graphic>
              <a:graphicData uri="http://schemas.openxmlformats.org/drawingml/2006/picture">
                <pic:pic>
                  <pic:nvPicPr>
                    <pic:cNvPr id="0" name="BUG-20260406-001-github-issue.png"/>
                    <pic:cNvPicPr/>
                  </pic:nvPicPr>
                  <pic:blipFill>
                    <a:blip r:embed="rId9"/>
                    <a:stretch>
                      <a:fillRect/>
                    </a:stretch>
                  </pic:blipFill>
                  <pic:spPr>
                    <a:xfrm>
                      <a:off x="0" y="0"/>
                      <a:ext cx="5303520" cy="4419600"/>
                    </a:xfrm>
                    <a:prstGeom prst="rect"/>
                  </pic:spPr>
                </pic:pic>
              </a:graphicData>
            </a:graphic>
          </wp:inline>
        </w:drawing>
      </w:r>
    </w:p>
    <w:p>
      <w:pPr>
        <w:jc w:val="center"/>
      </w:pPr>
      <w:r>
        <w:rPr>
          <w:rFonts w:ascii="Times New Roman" w:hAnsi="Times New Roman" w:eastAsia="Times New Roman"/>
          <w:i/>
          <w:sz w:val="22"/>
        </w:rPr>
        <w:t>Figure 4.1. GitHub Issue example used as the official bug-management record for a confirmed defect.</w:t>
      </w:r>
    </w:p>
    <w:p/>
    <w:p>
      <w:pPr>
        <w:pStyle w:val="Heading3"/>
      </w:pPr>
      <w:r>
        <w:rPr>
          <w:b/>
        </w:rPr>
        <w:t>4.1.2. Issue workflow</w:t>
      </w:r>
    </w:p>
    <w:p>
      <w:r>
        <w:rPr>
          <w:rFonts w:ascii="Times New Roman" w:hAnsi="Times New Roman" w:eastAsia="Times New Roman"/>
          <w:sz w:val="24"/>
        </w:rPr>
        <w:t>The issue workflow used in this submission was designed to keep defect reporting disciplined and evidence-based. An issue was created only after the mismatch was reproducible and supported by execution artifacts.</w:t>
      </w:r>
    </w:p>
    <w:p>
      <w:pPr>
        <w:ind w:left="357" w:hanging="170"/>
      </w:pPr>
      <w:r>
        <w:rPr>
          <w:rFonts w:ascii="Times New Roman" w:hAnsi="Times New Roman" w:eastAsia="Times New Roman"/>
          <w:sz w:val="24"/>
        </w:rPr>
        <w:t>• execute or rerun the related test case</w:t>
      </w:r>
    </w:p>
    <w:p>
      <w:pPr>
        <w:ind w:left="357" w:hanging="170"/>
      </w:pPr>
      <w:r>
        <w:rPr>
          <w:rFonts w:ascii="Times New Roman" w:hAnsi="Times New Roman" w:eastAsia="Times New Roman"/>
          <w:sz w:val="24"/>
        </w:rPr>
        <w:t>• compare actual behavior against the expected result</w:t>
      </w:r>
    </w:p>
    <w:p>
      <w:pPr>
        <w:ind w:left="357" w:hanging="170"/>
      </w:pPr>
      <w:r>
        <w:rPr>
          <w:rFonts w:ascii="Times New Roman" w:hAnsi="Times New Roman" w:eastAsia="Times New Roman"/>
          <w:sz w:val="24"/>
        </w:rPr>
        <w:t>• collect screenshots and runner outputs</w:t>
      </w:r>
    </w:p>
    <w:p>
      <w:pPr>
        <w:ind w:left="357" w:hanging="170"/>
      </w:pPr>
      <w:r>
        <w:rPr>
          <w:rFonts w:ascii="Times New Roman" w:hAnsi="Times New Roman" w:eastAsia="Times New Roman"/>
          <w:sz w:val="24"/>
        </w:rPr>
        <w:t>• classify the result as observation or confirmed defect</w:t>
      </w:r>
    </w:p>
    <w:p>
      <w:pPr>
        <w:ind w:left="357" w:hanging="170"/>
      </w:pPr>
      <w:r>
        <w:rPr>
          <w:rFonts w:ascii="Times New Roman" w:hAnsi="Times New Roman" w:eastAsia="Times New Roman"/>
          <w:sz w:val="24"/>
        </w:rPr>
        <w:t>• open a GitHub Issue for reproducible confirmed defects only</w:t>
      </w:r>
    </w:p>
    <w:p>
      <w:pPr>
        <w:ind w:left="357" w:hanging="170"/>
      </w:pPr>
      <w:r>
        <w:rPr>
          <w:rFonts w:ascii="Times New Roman" w:hAnsi="Times New Roman" w:eastAsia="Times New Roman"/>
          <w:sz w:val="24"/>
        </w:rPr>
        <w:t>• link the issue back to the defect register and final results workbook</w:t>
      </w:r>
    </w:p>
    <w:p>
      <w:pPr>
        <w:ind w:left="357" w:hanging="170"/>
      </w:pPr>
      <w:r>
        <w:rPr>
          <w:rFonts w:ascii="Times New Roman" w:hAnsi="Times New Roman" w:eastAsia="Times New Roman"/>
          <w:sz w:val="24"/>
        </w:rPr>
        <w:t>• keep the issue open until a real post-fix retest can verify closure</w:t>
      </w:r>
    </w:p>
    <w:p>
      <w:pPr>
        <w:jc w:val="center"/>
      </w:pPr>
      <w:r>
        <w:rPr>
          <w:rFonts w:ascii="Times New Roman" w:hAnsi="Times New Roman" w:eastAsia="Times New Roman"/>
          <w:i/>
          <w:sz w:val="22"/>
        </w:rPr>
        <w:t>Table 4.2. Issue workflow</w:t>
      </w:r>
    </w:p>
    <w:tbl>
      <w:tblPr>
        <w:tblStyle w:val="TableGrid"/>
        <w:tblW w:type="auto" w:w="0"/>
        <w:jc w:val="center"/>
        <w:tblLook w:firstColumn="1" w:firstRow="1" w:lastColumn="0" w:lastRow="0" w:noHBand="0" w:noVBand="1" w:val="04A0"/>
      </w:tblPr>
      <w:tblGrid>
        <w:gridCol w:w="3120"/>
        <w:gridCol w:w="3120"/>
        <w:gridCol w:w="3120"/>
      </w:tblGrid>
      <w:tr>
        <w:tc>
          <w:tcPr>
            <w:tcW w:type="dxa" w:w="850"/>
            <w:shd w:fill="D9EAF7"/>
            <w:vAlign w:val="center"/>
          </w:tcPr>
          <w:p>
            <w:pPr>
              <w:spacing w:after="0" w:line="276" w:lineRule="auto"/>
            </w:pPr>
            <w:r>
              <w:rPr>
                <w:rFonts w:ascii="Times New Roman" w:hAnsi="Times New Roman" w:eastAsia="Times New Roman"/>
                <w:sz w:val="22"/>
              </w:rPr>
              <w:t>Step</w:t>
            </w:r>
          </w:p>
        </w:tc>
        <w:tc>
          <w:tcPr>
            <w:tcW w:type="dxa" w:w="3685"/>
            <w:shd w:fill="D9EAF7"/>
            <w:vAlign w:val="center"/>
          </w:tcPr>
          <w:p>
            <w:pPr>
              <w:spacing w:after="0" w:line="276" w:lineRule="auto"/>
            </w:pPr>
            <w:r>
              <w:rPr>
                <w:rFonts w:ascii="Times New Roman" w:hAnsi="Times New Roman" w:eastAsia="Times New Roman"/>
                <w:sz w:val="22"/>
              </w:rPr>
              <w:t>Action</w:t>
            </w:r>
          </w:p>
        </w:tc>
        <w:tc>
          <w:tcPr>
            <w:tcW w:type="dxa" w:w="4535"/>
            <w:shd w:fill="D9EAF7"/>
            <w:vAlign w:val="center"/>
          </w:tcPr>
          <w:p>
            <w:pPr>
              <w:spacing w:after="0" w:line="276" w:lineRule="auto"/>
            </w:pPr>
            <w:r>
              <w:rPr>
                <w:rFonts w:ascii="Times New Roman" w:hAnsi="Times New Roman" w:eastAsia="Times New Roman"/>
                <w:sz w:val="22"/>
              </w:rPr>
              <w:t>Expected output</w:t>
            </w:r>
          </w:p>
        </w:tc>
      </w:tr>
      <w:tr>
        <w:tc>
          <w:tcPr>
            <w:tcW w:type="dxa" w:w="850"/>
            <w:vAlign w:val="center"/>
          </w:tcPr>
          <w:p>
            <w:pPr>
              <w:spacing w:after="0" w:line="276" w:lineRule="auto"/>
            </w:pPr>
            <w:r>
              <w:rPr>
                <w:rFonts w:ascii="Times New Roman" w:hAnsi="Times New Roman" w:eastAsia="Times New Roman"/>
                <w:sz w:val="22"/>
              </w:rPr>
              <w:t>1</w:t>
            </w:r>
          </w:p>
        </w:tc>
        <w:tc>
          <w:tcPr>
            <w:tcW w:type="dxa" w:w="3685"/>
            <w:vAlign w:val="center"/>
          </w:tcPr>
          <w:p>
            <w:pPr>
              <w:spacing w:after="0" w:line="276" w:lineRule="auto"/>
            </w:pPr>
            <w:r>
              <w:rPr>
                <w:rFonts w:ascii="Times New Roman" w:hAnsi="Times New Roman" w:eastAsia="Times New Roman"/>
                <w:sz w:val="22"/>
              </w:rPr>
              <w:t>Execute or rerun the test case</w:t>
            </w:r>
          </w:p>
        </w:tc>
        <w:tc>
          <w:tcPr>
            <w:tcW w:type="dxa" w:w="4535"/>
            <w:vAlign w:val="center"/>
          </w:tcPr>
          <w:p>
            <w:pPr>
              <w:spacing w:after="0" w:line="276" w:lineRule="auto"/>
            </w:pPr>
            <w:r>
              <w:rPr>
                <w:rFonts w:ascii="Times New Roman" w:hAnsi="Times New Roman" w:eastAsia="Times New Roman"/>
                <w:sz w:val="22"/>
              </w:rPr>
              <w:t>Observable system result</w:t>
            </w:r>
          </w:p>
        </w:tc>
      </w:tr>
      <w:tr>
        <w:tc>
          <w:tcPr>
            <w:tcW w:type="dxa" w:w="850"/>
            <w:vAlign w:val="center"/>
          </w:tcPr>
          <w:p>
            <w:pPr>
              <w:spacing w:after="0" w:line="276" w:lineRule="auto"/>
            </w:pPr>
            <w:r>
              <w:rPr>
                <w:rFonts w:ascii="Times New Roman" w:hAnsi="Times New Roman" w:eastAsia="Times New Roman"/>
                <w:sz w:val="22"/>
              </w:rPr>
              <w:t>2</w:t>
            </w:r>
          </w:p>
        </w:tc>
        <w:tc>
          <w:tcPr>
            <w:tcW w:type="dxa" w:w="3685"/>
            <w:vAlign w:val="center"/>
          </w:tcPr>
          <w:p>
            <w:pPr>
              <w:spacing w:after="0" w:line="276" w:lineRule="auto"/>
            </w:pPr>
            <w:r>
              <w:rPr>
                <w:rFonts w:ascii="Times New Roman" w:hAnsi="Times New Roman" w:eastAsia="Times New Roman"/>
                <w:sz w:val="22"/>
              </w:rPr>
              <w:t>Collect screenshot and runner evidence</w:t>
            </w:r>
          </w:p>
        </w:tc>
        <w:tc>
          <w:tcPr>
            <w:tcW w:type="dxa" w:w="4535"/>
            <w:vAlign w:val="center"/>
          </w:tcPr>
          <w:p>
            <w:pPr>
              <w:spacing w:after="0" w:line="276" w:lineRule="auto"/>
            </w:pPr>
            <w:r>
              <w:rPr>
                <w:rFonts w:ascii="Times New Roman" w:hAnsi="Times New Roman" w:eastAsia="Times New Roman"/>
                <w:sz w:val="22"/>
              </w:rPr>
              <w:t>Supporting proof files</w:t>
            </w:r>
          </w:p>
        </w:tc>
      </w:tr>
      <w:tr>
        <w:tc>
          <w:tcPr>
            <w:tcW w:type="dxa" w:w="850"/>
            <w:vAlign w:val="center"/>
          </w:tcPr>
          <w:p>
            <w:pPr>
              <w:spacing w:after="0" w:line="276" w:lineRule="auto"/>
            </w:pPr>
            <w:r>
              <w:rPr>
                <w:rFonts w:ascii="Times New Roman" w:hAnsi="Times New Roman" w:eastAsia="Times New Roman"/>
                <w:sz w:val="22"/>
              </w:rPr>
              <w:t>3</w:t>
            </w:r>
          </w:p>
        </w:tc>
        <w:tc>
          <w:tcPr>
            <w:tcW w:type="dxa" w:w="3685"/>
            <w:vAlign w:val="center"/>
          </w:tcPr>
          <w:p>
            <w:pPr>
              <w:spacing w:after="0" w:line="276" w:lineRule="auto"/>
            </w:pPr>
            <w:r>
              <w:rPr>
                <w:rFonts w:ascii="Times New Roman" w:hAnsi="Times New Roman" w:eastAsia="Times New Roman"/>
                <w:sz w:val="22"/>
              </w:rPr>
              <w:t>Compare expected and actual behavior</w:t>
            </w:r>
          </w:p>
        </w:tc>
        <w:tc>
          <w:tcPr>
            <w:tcW w:type="dxa" w:w="4535"/>
            <w:vAlign w:val="center"/>
          </w:tcPr>
          <w:p>
            <w:pPr>
              <w:spacing w:after="0" w:line="276" w:lineRule="auto"/>
            </w:pPr>
            <w:r>
              <w:rPr>
                <w:rFonts w:ascii="Times New Roman" w:hAnsi="Times New Roman" w:eastAsia="Times New Roman"/>
                <w:sz w:val="22"/>
              </w:rPr>
              <w:t>Pass / Fail decision</w:t>
            </w:r>
          </w:p>
        </w:tc>
      </w:tr>
      <w:tr>
        <w:tc>
          <w:tcPr>
            <w:tcW w:type="dxa" w:w="850"/>
            <w:vAlign w:val="center"/>
          </w:tcPr>
          <w:p>
            <w:pPr>
              <w:spacing w:after="0" w:line="276" w:lineRule="auto"/>
            </w:pPr>
            <w:r>
              <w:rPr>
                <w:rFonts w:ascii="Times New Roman" w:hAnsi="Times New Roman" w:eastAsia="Times New Roman"/>
                <w:sz w:val="22"/>
              </w:rPr>
              <w:t>4</w:t>
            </w:r>
          </w:p>
        </w:tc>
        <w:tc>
          <w:tcPr>
            <w:tcW w:type="dxa" w:w="3685"/>
            <w:vAlign w:val="center"/>
          </w:tcPr>
          <w:p>
            <w:pPr>
              <w:spacing w:after="0" w:line="276" w:lineRule="auto"/>
            </w:pPr>
            <w:r>
              <w:rPr>
                <w:rFonts w:ascii="Times New Roman" w:hAnsi="Times New Roman" w:eastAsia="Times New Roman"/>
                <w:sz w:val="22"/>
              </w:rPr>
              <w:t>Classify as observation or confirmed defect</w:t>
            </w:r>
          </w:p>
        </w:tc>
        <w:tc>
          <w:tcPr>
            <w:tcW w:type="dxa" w:w="4535"/>
            <w:vAlign w:val="center"/>
          </w:tcPr>
          <w:p>
            <w:pPr>
              <w:spacing w:after="0" w:line="276" w:lineRule="auto"/>
            </w:pPr>
            <w:r>
              <w:rPr>
                <w:rFonts w:ascii="Times New Roman" w:hAnsi="Times New Roman" w:eastAsia="Times New Roman"/>
                <w:sz w:val="22"/>
              </w:rPr>
              <w:t>Defect triage decision</w:t>
            </w:r>
          </w:p>
        </w:tc>
      </w:tr>
      <w:tr>
        <w:tc>
          <w:tcPr>
            <w:tcW w:type="dxa" w:w="850"/>
            <w:vAlign w:val="center"/>
          </w:tcPr>
          <w:p>
            <w:pPr>
              <w:spacing w:after="0" w:line="276" w:lineRule="auto"/>
            </w:pPr>
            <w:r>
              <w:rPr>
                <w:rFonts w:ascii="Times New Roman" w:hAnsi="Times New Roman" w:eastAsia="Times New Roman"/>
                <w:sz w:val="22"/>
              </w:rPr>
              <w:t>5</w:t>
            </w:r>
          </w:p>
        </w:tc>
        <w:tc>
          <w:tcPr>
            <w:tcW w:type="dxa" w:w="3685"/>
            <w:vAlign w:val="center"/>
          </w:tcPr>
          <w:p>
            <w:pPr>
              <w:spacing w:after="0" w:line="276" w:lineRule="auto"/>
            </w:pPr>
            <w:r>
              <w:rPr>
                <w:rFonts w:ascii="Times New Roman" w:hAnsi="Times New Roman" w:eastAsia="Times New Roman"/>
                <w:sz w:val="22"/>
              </w:rPr>
              <w:t>Create GitHub Issue for confirmed defects</w:t>
            </w:r>
          </w:p>
        </w:tc>
        <w:tc>
          <w:tcPr>
            <w:tcW w:type="dxa" w:w="4535"/>
            <w:vAlign w:val="center"/>
          </w:tcPr>
          <w:p>
            <w:pPr>
              <w:spacing w:after="0" w:line="276" w:lineRule="auto"/>
            </w:pPr>
            <w:r>
              <w:rPr>
                <w:rFonts w:ascii="Times New Roman" w:hAnsi="Times New Roman" w:eastAsia="Times New Roman"/>
                <w:sz w:val="22"/>
              </w:rPr>
              <w:t>Live issue record with labels</w:t>
            </w:r>
          </w:p>
        </w:tc>
      </w:tr>
      <w:tr>
        <w:tc>
          <w:tcPr>
            <w:tcW w:type="dxa" w:w="850"/>
            <w:vAlign w:val="center"/>
          </w:tcPr>
          <w:p>
            <w:pPr>
              <w:spacing w:after="0" w:line="276" w:lineRule="auto"/>
            </w:pPr>
            <w:r>
              <w:rPr>
                <w:rFonts w:ascii="Times New Roman" w:hAnsi="Times New Roman" w:eastAsia="Times New Roman"/>
                <w:sz w:val="22"/>
              </w:rPr>
              <w:t>6</w:t>
            </w:r>
          </w:p>
        </w:tc>
        <w:tc>
          <w:tcPr>
            <w:tcW w:type="dxa" w:w="3685"/>
            <w:vAlign w:val="center"/>
          </w:tcPr>
          <w:p>
            <w:pPr>
              <w:spacing w:after="0" w:line="276" w:lineRule="auto"/>
            </w:pPr>
            <w:r>
              <w:rPr>
                <w:rFonts w:ascii="Times New Roman" w:hAnsi="Times New Roman" w:eastAsia="Times New Roman"/>
                <w:sz w:val="22"/>
              </w:rPr>
              <w:t>Sync register, results, and evidence mapping</w:t>
            </w:r>
          </w:p>
        </w:tc>
        <w:tc>
          <w:tcPr>
            <w:tcW w:type="dxa" w:w="4535"/>
            <w:vAlign w:val="center"/>
          </w:tcPr>
          <w:p>
            <w:pPr>
              <w:spacing w:after="0" w:line="276" w:lineRule="auto"/>
            </w:pPr>
            <w:r>
              <w:rPr>
                <w:rFonts w:ascii="Times New Roman" w:hAnsi="Times New Roman" w:eastAsia="Times New Roman"/>
                <w:sz w:val="22"/>
              </w:rPr>
              <w:t>Full traceability across artifacts</w:t>
            </w:r>
          </w:p>
        </w:tc>
      </w:tr>
      <w:tr>
        <w:tc>
          <w:tcPr>
            <w:tcW w:type="dxa" w:w="850"/>
            <w:vAlign w:val="center"/>
          </w:tcPr>
          <w:p>
            <w:pPr>
              <w:spacing w:after="0" w:line="276" w:lineRule="auto"/>
            </w:pPr>
            <w:r>
              <w:rPr>
                <w:rFonts w:ascii="Times New Roman" w:hAnsi="Times New Roman" w:eastAsia="Times New Roman"/>
                <w:sz w:val="22"/>
              </w:rPr>
              <w:t>7</w:t>
            </w:r>
          </w:p>
        </w:tc>
        <w:tc>
          <w:tcPr>
            <w:tcW w:type="dxa" w:w="3685"/>
            <w:vAlign w:val="center"/>
          </w:tcPr>
          <w:p>
            <w:pPr>
              <w:spacing w:after="0" w:line="276" w:lineRule="auto"/>
            </w:pPr>
            <w:r>
              <w:rPr>
                <w:rFonts w:ascii="Times New Roman" w:hAnsi="Times New Roman" w:eastAsia="Times New Roman"/>
                <w:sz w:val="22"/>
              </w:rPr>
              <w:t>Retest after fix when available</w:t>
            </w:r>
          </w:p>
        </w:tc>
        <w:tc>
          <w:tcPr>
            <w:tcW w:type="dxa" w:w="4535"/>
            <w:vAlign w:val="center"/>
          </w:tcPr>
          <w:p>
            <w:pPr>
              <w:spacing w:after="0" w:line="276" w:lineRule="auto"/>
            </w:pPr>
            <w:r>
              <w:rPr>
                <w:rFonts w:ascii="Times New Roman" w:hAnsi="Times New Roman" w:eastAsia="Times New Roman"/>
                <w:sz w:val="22"/>
              </w:rPr>
              <w:t>Potential closure or continued open status</w:t>
            </w:r>
          </w:p>
        </w:tc>
      </w:tr>
    </w:tbl>
    <w:p/>
    <w:p>
      <w:pPr>
        <w:pStyle w:val="Heading3"/>
      </w:pPr>
      <w:r>
        <w:rPr>
          <w:b/>
        </w:rPr>
        <w:t>4.1.3. Severity and priority rules</w:t>
      </w:r>
    </w:p>
    <w:p>
      <w:r>
        <w:rPr>
          <w:rFonts w:ascii="Times New Roman" w:hAnsi="Times New Roman" w:eastAsia="Times New Roman"/>
          <w:sz w:val="24"/>
        </w:rPr>
        <w:t>Severity and priority were assigned according to business impact, reproducibility, and operational risk. The project used simple but defensible rules so that each rating could be justified during presentation defense.</w:t>
      </w:r>
    </w:p>
    <w:p>
      <w:pPr>
        <w:jc w:val="center"/>
      </w:pPr>
      <w:r>
        <w:rPr>
          <w:rFonts w:ascii="Times New Roman" w:hAnsi="Times New Roman" w:eastAsia="Times New Roman"/>
          <w:i/>
          <w:sz w:val="22"/>
        </w:rPr>
        <w:t>Table 4.3. Severity and priority rules</w:t>
      </w:r>
    </w:p>
    <w:tbl>
      <w:tblPr>
        <w:tblStyle w:val="TableGrid"/>
        <w:tblW w:type="auto" w:w="0"/>
        <w:jc w:val="center"/>
        <w:tblLook w:firstColumn="1" w:firstRow="1" w:lastColumn="0" w:lastRow="0" w:noHBand="0" w:noVBand="1" w:val="04A0"/>
      </w:tblPr>
      <w:tblGrid>
        <w:gridCol w:w="4680"/>
        <w:gridCol w:w="4680"/>
      </w:tblGrid>
      <w:tr>
        <w:tc>
          <w:tcPr>
            <w:tcW w:type="dxa" w:w="2268"/>
            <w:shd w:fill="D9EAF7"/>
            <w:vAlign w:val="center"/>
          </w:tcPr>
          <w:p>
            <w:pPr>
              <w:spacing w:after="0" w:line="276" w:lineRule="auto"/>
            </w:pPr>
            <w:r>
              <w:rPr>
                <w:rFonts w:ascii="Times New Roman" w:hAnsi="Times New Roman" w:eastAsia="Times New Roman"/>
                <w:sz w:val="22"/>
              </w:rPr>
              <w:t>Rule area</w:t>
            </w:r>
          </w:p>
        </w:tc>
        <w:tc>
          <w:tcPr>
            <w:tcW w:type="dxa" w:w="6803"/>
            <w:shd w:fill="D9EAF7"/>
            <w:vAlign w:val="center"/>
          </w:tcPr>
          <w:p>
            <w:pPr>
              <w:spacing w:after="0" w:line="276" w:lineRule="auto"/>
            </w:pPr>
            <w:r>
              <w:rPr>
                <w:rFonts w:ascii="Times New Roman" w:hAnsi="Times New Roman" w:eastAsia="Times New Roman"/>
                <w:sz w:val="22"/>
              </w:rPr>
              <w:t>How it was applied in this project</w:t>
            </w:r>
          </w:p>
        </w:tc>
      </w:tr>
      <w:tr>
        <w:tc>
          <w:tcPr>
            <w:tcW w:type="dxa" w:w="2268"/>
            <w:vAlign w:val="center"/>
          </w:tcPr>
          <w:p>
            <w:pPr>
              <w:spacing w:after="0" w:line="276" w:lineRule="auto"/>
            </w:pPr>
            <w:r>
              <w:rPr>
                <w:rFonts w:ascii="Times New Roman" w:hAnsi="Times New Roman" w:eastAsia="Times New Roman"/>
                <w:sz w:val="22"/>
              </w:rPr>
              <w:t>Severity: High</w:t>
            </w:r>
          </w:p>
        </w:tc>
        <w:tc>
          <w:tcPr>
            <w:tcW w:type="dxa" w:w="6803"/>
            <w:vAlign w:val="center"/>
          </w:tcPr>
          <w:p>
            <w:pPr>
              <w:spacing w:after="0" w:line="276" w:lineRule="auto"/>
            </w:pPr>
            <w:r>
              <w:rPr>
                <w:rFonts w:ascii="Times New Roman" w:hAnsi="Times New Roman" w:eastAsia="Times New Roman"/>
                <w:sz w:val="22"/>
              </w:rPr>
              <w:t>Used when the defect blocks a core business workflow such as invoice creation, invoice cancellation, or valid product import confirmation</w:t>
            </w:r>
          </w:p>
        </w:tc>
      </w:tr>
      <w:tr>
        <w:tc>
          <w:tcPr>
            <w:tcW w:type="dxa" w:w="2268"/>
            <w:vAlign w:val="center"/>
          </w:tcPr>
          <w:p>
            <w:pPr>
              <w:spacing w:after="0" w:line="276" w:lineRule="auto"/>
            </w:pPr>
            <w:r>
              <w:rPr>
                <w:rFonts w:ascii="Times New Roman" w:hAnsi="Times New Roman" w:eastAsia="Times New Roman"/>
                <w:sz w:val="22"/>
              </w:rPr>
              <w:t>Severity: Medium</w:t>
            </w:r>
          </w:p>
        </w:tc>
        <w:tc>
          <w:tcPr>
            <w:tcW w:type="dxa" w:w="6803"/>
            <w:vAlign w:val="center"/>
          </w:tcPr>
          <w:p>
            <w:pPr>
              <w:spacing w:after="0" w:line="276" w:lineRule="auto"/>
            </w:pPr>
            <w:r>
              <w:rPr>
                <w:rFonts w:ascii="Times New Roman" w:hAnsi="Times New Roman" w:eastAsia="Times New Roman"/>
                <w:sz w:val="22"/>
              </w:rPr>
              <w:t>Used when the system blocks invalid input correctly but still presents broken or unreadable validation feedback</w:t>
            </w:r>
          </w:p>
        </w:tc>
      </w:tr>
      <w:tr>
        <w:tc>
          <w:tcPr>
            <w:tcW w:type="dxa" w:w="2268"/>
            <w:vAlign w:val="center"/>
          </w:tcPr>
          <w:p>
            <w:pPr>
              <w:spacing w:after="0" w:line="276" w:lineRule="auto"/>
            </w:pPr>
            <w:r>
              <w:rPr>
                <w:rFonts w:ascii="Times New Roman" w:hAnsi="Times New Roman" w:eastAsia="Times New Roman"/>
                <w:sz w:val="22"/>
              </w:rPr>
              <w:t>Priority: High</w:t>
            </w:r>
          </w:p>
        </w:tc>
        <w:tc>
          <w:tcPr>
            <w:tcW w:type="dxa" w:w="6803"/>
            <w:vAlign w:val="center"/>
          </w:tcPr>
          <w:p>
            <w:pPr>
              <w:spacing w:after="0" w:line="276" w:lineRule="auto"/>
            </w:pPr>
            <w:r>
              <w:rPr>
                <w:rFonts w:ascii="Times New Roman" w:hAnsi="Times New Roman" w:eastAsia="Times New Roman"/>
                <w:sz w:val="22"/>
              </w:rPr>
              <w:t>Used when the defect affects transaction correctness, inventory, or core operational workflow</w:t>
            </w:r>
          </w:p>
        </w:tc>
      </w:tr>
      <w:tr>
        <w:tc>
          <w:tcPr>
            <w:tcW w:type="dxa" w:w="2268"/>
            <w:vAlign w:val="center"/>
          </w:tcPr>
          <w:p>
            <w:pPr>
              <w:spacing w:after="0" w:line="276" w:lineRule="auto"/>
            </w:pPr>
            <w:r>
              <w:rPr>
                <w:rFonts w:ascii="Times New Roman" w:hAnsi="Times New Roman" w:eastAsia="Times New Roman"/>
                <w:sz w:val="22"/>
              </w:rPr>
              <w:t>Priority: Medium</w:t>
            </w:r>
          </w:p>
        </w:tc>
        <w:tc>
          <w:tcPr>
            <w:tcW w:type="dxa" w:w="6803"/>
            <w:vAlign w:val="center"/>
          </w:tcPr>
          <w:p>
            <w:pPr>
              <w:spacing w:after="0" w:line="276" w:lineRule="auto"/>
            </w:pPr>
            <w:r>
              <w:rPr>
                <w:rFonts w:ascii="Times New Roman" w:hAnsi="Times New Roman" w:eastAsia="Times New Roman"/>
                <w:sz w:val="22"/>
              </w:rPr>
              <w:t>Used when the defect should be fixed but does not fully break the core transaction path</w:t>
            </w:r>
          </w:p>
        </w:tc>
      </w:tr>
    </w:tbl>
    <w:p/>
    <w:p>
      <w:r>
        <w:rPr>
          <w:rFonts w:ascii="Times New Roman" w:hAnsi="Times New Roman" w:eastAsia="Times New Roman"/>
          <w:sz w:val="24"/>
        </w:rPr>
        <w:t>The actual issue labels used in GitHub include:</w:t>
      </w:r>
    </w:p>
    <w:p>
      <w:pPr>
        <w:ind w:left="357" w:hanging="170"/>
      </w:pPr>
      <w:r>
        <w:rPr>
          <w:rFonts w:ascii="Times New Roman" w:hAnsi="Times New Roman" w:eastAsia="Times New Roman"/>
          <w:sz w:val="24"/>
        </w:rPr>
        <w:t>• severity:high / severity:medium</w:t>
      </w:r>
    </w:p>
    <w:p>
      <w:pPr>
        <w:ind w:left="357" w:hanging="170"/>
      </w:pPr>
      <w:r>
        <w:rPr>
          <w:rFonts w:ascii="Times New Roman" w:hAnsi="Times New Roman" w:eastAsia="Times New Roman"/>
          <w:sz w:val="24"/>
        </w:rPr>
        <w:t>• priority:high / priority:medium</w:t>
      </w:r>
    </w:p>
    <w:p>
      <w:pPr>
        <w:ind w:left="357" w:hanging="170"/>
      </w:pPr>
      <w:r>
        <w:rPr>
          <w:rFonts w:ascii="Times New Roman" w:hAnsi="Times New Roman" w:eastAsia="Times New Roman"/>
          <w:sz w:val="24"/>
        </w:rPr>
        <w:t>• status:open</w:t>
      </w:r>
    </w:p>
    <w:p>
      <w:pPr>
        <w:ind w:left="357" w:hanging="170"/>
      </w:pPr>
      <w:r>
        <w:rPr>
          <w:rFonts w:ascii="Times New Roman" w:hAnsi="Times New Roman" w:eastAsia="Times New Roman"/>
          <w:sz w:val="24"/>
        </w:rPr>
        <w:t>• module:invoices / module:purchases / module:product-import</w:t>
      </w:r>
    </w:p>
    <w:p>
      <w:pPr>
        <w:ind w:left="357" w:hanging="170"/>
      </w:pPr>
      <w:r>
        <w:rPr>
          <w:rFonts w:ascii="Times New Roman" w:hAnsi="Times New Roman" w:eastAsia="Times New Roman"/>
          <w:sz w:val="24"/>
        </w:rPr>
        <w:t>• interface:web-ui</w:t>
      </w:r>
    </w:p>
    <w:p>
      <w:pPr>
        <w:ind w:left="357" w:hanging="170"/>
      </w:pPr>
      <w:r>
        <w:rPr>
          <w:rFonts w:ascii="Times New Roman" w:hAnsi="Times New Roman" w:eastAsia="Times New Roman"/>
          <w:sz w:val="24"/>
        </w:rPr>
        <w:t>• type:defect</w:t>
      </w:r>
    </w:p>
    <w:p>
      <w:pPr>
        <w:pStyle w:val="Heading2"/>
      </w:pPr>
      <w:r>
        <w:rPr>
          <w:b/>
        </w:rPr>
        <w:t>4.2. Defect Log</w:t>
      </w:r>
    </w:p>
    <w:p>
      <w:r>
        <w:rPr>
          <w:rFonts w:ascii="Times New Roman" w:hAnsi="Times New Roman" w:eastAsia="Times New Roman"/>
          <w:sz w:val="24"/>
        </w:rPr>
        <w:t>At the current reporting point, the defect register contains 4 confirmed defects and 2 closed observations. The observations are retained for historical traceability, but only the confirmed defects are counted as current product defects in the summary metrics.</w:t>
      </w:r>
    </w:p>
    <w:p>
      <w:pPr>
        <w:pStyle w:val="Heading3"/>
      </w:pPr>
      <w:r>
        <w:rPr>
          <w:b/>
        </w:rPr>
        <w:t>4.2.1. Critical and high severity defects</w:t>
      </w:r>
    </w:p>
    <w:p>
      <w:r>
        <w:rPr>
          <w:rFonts w:ascii="Times New Roman" w:hAnsi="Times New Roman" w:eastAsia="Times New Roman"/>
          <w:sz w:val="24"/>
        </w:rPr>
        <w:t>No active critical-severity defect exists in the current baseline. However, three high-severity defects remain open and affect core business workflows. These defects are the most important findings of the submission because they directly affect invoice processing, inventory-related behavior, or valid import completion.</w:t>
      </w:r>
    </w:p>
    <w:p>
      <w:pPr>
        <w:jc w:val="center"/>
      </w:pPr>
      <w:r>
        <w:rPr>
          <w:rFonts w:ascii="Times New Roman" w:hAnsi="Times New Roman" w:eastAsia="Times New Roman"/>
          <w:i/>
          <w:sz w:val="22"/>
        </w:rPr>
        <w:t>Table 4.4. High-severity confirmed defects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587"/>
            <w:shd w:fill="D9EAF7"/>
            <w:vAlign w:val="center"/>
          </w:tcPr>
          <w:p>
            <w:pPr>
              <w:spacing w:after="0" w:line="276" w:lineRule="auto"/>
            </w:pPr>
            <w:r>
              <w:rPr>
                <w:rFonts w:ascii="Times New Roman" w:hAnsi="Times New Roman" w:eastAsia="Times New Roman"/>
                <w:sz w:val="22"/>
              </w:rPr>
              <w:t>Defect ID</w:t>
            </w:r>
          </w:p>
        </w:tc>
        <w:tc>
          <w:tcPr>
            <w:tcW w:type="dxa" w:w="2494"/>
            <w:shd w:fill="D9EAF7"/>
            <w:vAlign w:val="center"/>
          </w:tcPr>
          <w:p>
            <w:pPr>
              <w:spacing w:after="0" w:line="276" w:lineRule="auto"/>
            </w:pPr>
            <w:r>
              <w:rPr>
                <w:rFonts w:ascii="Times New Roman" w:hAnsi="Times New Roman" w:eastAsia="Times New Roman"/>
                <w:sz w:val="22"/>
              </w:rPr>
              <w:t>Related test case(s)</w:t>
            </w:r>
          </w:p>
        </w:tc>
        <w:tc>
          <w:tcPr>
            <w:tcW w:type="dxa" w:w="1474"/>
            <w:shd w:fill="D9EAF7"/>
            <w:vAlign w:val="center"/>
          </w:tcPr>
          <w:p>
            <w:pPr>
              <w:spacing w:after="0" w:line="276" w:lineRule="auto"/>
            </w:pPr>
            <w:r>
              <w:rPr>
                <w:rFonts w:ascii="Times New Roman" w:hAnsi="Times New Roman" w:eastAsia="Times New Roman"/>
                <w:sz w:val="22"/>
              </w:rPr>
              <w:t>Module</w:t>
            </w:r>
          </w:p>
        </w:tc>
        <w:tc>
          <w:tcPr>
            <w:tcW w:type="dxa" w:w="907"/>
            <w:shd w:fill="D9EAF7"/>
            <w:vAlign w:val="center"/>
          </w:tcPr>
          <w:p>
            <w:pPr>
              <w:spacing w:after="0" w:line="276" w:lineRule="auto"/>
            </w:pPr>
            <w:r>
              <w:rPr>
                <w:rFonts w:ascii="Times New Roman" w:hAnsi="Times New Roman" w:eastAsia="Times New Roman"/>
                <w:sz w:val="22"/>
              </w:rPr>
              <w:t>Severity</w:t>
            </w:r>
          </w:p>
        </w:tc>
        <w:tc>
          <w:tcPr>
            <w:tcW w:type="dxa" w:w="907"/>
            <w:shd w:fill="D9EAF7"/>
            <w:vAlign w:val="center"/>
          </w:tcPr>
          <w:p>
            <w:pPr>
              <w:spacing w:after="0" w:line="276" w:lineRule="auto"/>
            </w:pPr>
            <w:r>
              <w:rPr>
                <w:rFonts w:ascii="Times New Roman" w:hAnsi="Times New Roman" w:eastAsia="Times New Roman"/>
                <w:sz w:val="22"/>
              </w:rPr>
              <w:t>Priority</w:t>
            </w:r>
          </w:p>
        </w:tc>
        <w:tc>
          <w:tcPr>
            <w:tcW w:type="dxa" w:w="1474"/>
            <w:shd w:fill="D9EAF7"/>
            <w:vAlign w:val="center"/>
          </w:tcPr>
          <w:p>
            <w:pPr>
              <w:spacing w:after="0" w:line="276" w:lineRule="auto"/>
            </w:pPr>
            <w:r>
              <w:rPr>
                <w:rFonts w:ascii="Times New Roman" w:hAnsi="Times New Roman" w:eastAsia="Times New Roman"/>
                <w:sz w:val="22"/>
              </w:rPr>
              <w:t>Current status</w:t>
            </w:r>
          </w:p>
        </w:tc>
        <w:tc>
          <w:tcPr>
            <w:tcW w:type="dxa" w:w="2835"/>
            <w:shd w:fill="D9EAF7"/>
            <w:vAlign w:val="center"/>
          </w:tcPr>
          <w:p>
            <w:pPr>
              <w:spacing w:after="0" w:line="276" w:lineRule="auto"/>
            </w:pPr>
            <w:r>
              <w:rPr>
                <w:rFonts w:ascii="Times New Roman" w:hAnsi="Times New Roman" w:eastAsia="Times New Roman"/>
                <w:sz w:val="22"/>
              </w:rPr>
              <w:t>GitHub Issue</w:t>
            </w:r>
          </w:p>
        </w:tc>
      </w:tr>
      <w:tr>
        <w:tc>
          <w:tcPr>
            <w:tcW w:type="dxa" w:w="1587"/>
            <w:vAlign w:val="center"/>
          </w:tcPr>
          <w:p>
            <w:pPr>
              <w:spacing w:after="0" w:line="276" w:lineRule="auto"/>
            </w:pPr>
            <w:r>
              <w:rPr>
                <w:rFonts w:ascii="Times New Roman" w:hAnsi="Times New Roman" w:eastAsia="Times New Roman"/>
                <w:sz w:val="22"/>
              </w:rPr>
              <w:t>BUG-20260406-001</w:t>
            </w:r>
          </w:p>
        </w:tc>
        <w:tc>
          <w:tcPr>
            <w:tcW w:type="dxa" w:w="2494"/>
            <w:vAlign w:val="center"/>
          </w:tcPr>
          <w:p>
            <w:pPr>
              <w:spacing w:after="0" w:line="276" w:lineRule="auto"/>
            </w:pPr>
            <w:r>
              <w:rPr>
                <w:rFonts w:ascii="Times New Roman" w:hAnsi="Times New Roman" w:eastAsia="Times New Roman"/>
                <w:sz w:val="22"/>
              </w:rPr>
              <w:t>TC-UI-INV-001; TC-UI-INV-003; TC-UI-INV-006</w:t>
            </w:r>
          </w:p>
        </w:tc>
        <w:tc>
          <w:tcPr>
            <w:tcW w:type="dxa" w:w="1474"/>
            <w:vAlign w:val="center"/>
          </w:tcPr>
          <w:p>
            <w:pPr>
              <w:spacing w:after="0" w:line="276" w:lineRule="auto"/>
            </w:pPr>
            <w:r>
              <w:rPr>
                <w:rFonts w:ascii="Times New Roman" w:hAnsi="Times New Roman" w:eastAsia="Times New Roman"/>
                <w:sz w:val="22"/>
              </w:rPr>
              <w:t>Invoices</w:t>
            </w:r>
          </w:p>
        </w:tc>
        <w:tc>
          <w:tcPr>
            <w:tcW w:type="dxa" w:w="907"/>
            <w:vAlign w:val="center"/>
          </w:tcPr>
          <w:p>
            <w:pPr>
              <w:spacing w:after="0" w:line="276" w:lineRule="auto"/>
            </w:pPr>
            <w:r>
              <w:rPr>
                <w:rFonts w:ascii="Times New Roman" w:hAnsi="Times New Roman" w:eastAsia="Times New Roman"/>
                <w:sz w:val="22"/>
              </w:rPr>
              <w:t>High</w:t>
            </w:r>
          </w:p>
        </w:tc>
        <w:tc>
          <w:tcPr>
            <w:tcW w:type="dxa" w:w="907"/>
            <w:vAlign w:val="center"/>
          </w:tcPr>
          <w:p>
            <w:pPr>
              <w:spacing w:after="0" w:line="276" w:lineRule="auto"/>
            </w:pPr>
            <w:r>
              <w:rPr>
                <w:rFonts w:ascii="Times New Roman" w:hAnsi="Times New Roman" w:eastAsia="Times New Roman"/>
                <w:sz w:val="22"/>
              </w:rPr>
              <w:t>High</w:t>
            </w:r>
          </w:p>
        </w:tc>
        <w:tc>
          <w:tcPr>
            <w:tcW w:type="dxa" w:w="1474"/>
            <w:vAlign w:val="center"/>
          </w:tcPr>
          <w:p>
            <w:pPr>
              <w:spacing w:after="0" w:line="276" w:lineRule="auto"/>
            </w:pPr>
            <w:r>
              <w:rPr>
                <w:rFonts w:ascii="Times New Roman" w:hAnsi="Times New Roman" w:eastAsia="Times New Roman"/>
                <w:sz w:val="22"/>
              </w:rPr>
              <w:t>Open - Confirmed</w:t>
            </w:r>
          </w:p>
        </w:tc>
        <w:tc>
          <w:tcPr>
            <w:tcW w:type="dxa" w:w="2835"/>
            <w:vAlign w:val="center"/>
          </w:tcPr>
          <w:p>
            <w:pPr>
              <w:spacing w:after="0" w:line="276" w:lineRule="auto"/>
            </w:pPr>
            <w:r>
              <w:rPr>
                <w:rFonts w:ascii="Times New Roman" w:hAnsi="Times New Roman" w:eastAsia="Times New Roman"/>
                <w:sz w:val="22"/>
              </w:rPr>
              <w:t>https://github.com/Alucard30Dec/Online-Sales-Management-System/issues/1</w:t>
            </w:r>
          </w:p>
        </w:tc>
      </w:tr>
      <w:tr>
        <w:tc>
          <w:tcPr>
            <w:tcW w:type="dxa" w:w="1587"/>
            <w:vAlign w:val="center"/>
          </w:tcPr>
          <w:p>
            <w:pPr>
              <w:spacing w:after="0" w:line="276" w:lineRule="auto"/>
            </w:pPr>
            <w:r>
              <w:rPr>
                <w:rFonts w:ascii="Times New Roman" w:hAnsi="Times New Roman" w:eastAsia="Times New Roman"/>
                <w:sz w:val="22"/>
              </w:rPr>
              <w:t>BUG-20260411-003</w:t>
            </w:r>
          </w:p>
        </w:tc>
        <w:tc>
          <w:tcPr>
            <w:tcW w:type="dxa" w:w="2494"/>
            <w:vAlign w:val="center"/>
          </w:tcPr>
          <w:p>
            <w:pPr>
              <w:spacing w:after="0" w:line="276" w:lineRule="auto"/>
            </w:pPr>
            <w:r>
              <w:rPr>
                <w:rFonts w:ascii="Times New Roman" w:hAnsi="Times New Roman" w:eastAsia="Times New Roman"/>
                <w:sz w:val="22"/>
              </w:rPr>
              <w:t>TC-UI-IMP-003</w:t>
            </w:r>
          </w:p>
        </w:tc>
        <w:tc>
          <w:tcPr>
            <w:tcW w:type="dxa" w:w="1474"/>
            <w:vAlign w:val="center"/>
          </w:tcPr>
          <w:p>
            <w:pPr>
              <w:spacing w:after="0" w:line="276" w:lineRule="auto"/>
            </w:pPr>
            <w:r>
              <w:rPr>
                <w:rFonts w:ascii="Times New Roman" w:hAnsi="Times New Roman" w:eastAsia="Times New Roman"/>
                <w:sz w:val="22"/>
              </w:rPr>
              <w:t>Product Import</w:t>
            </w:r>
          </w:p>
        </w:tc>
        <w:tc>
          <w:tcPr>
            <w:tcW w:type="dxa" w:w="907"/>
            <w:vAlign w:val="center"/>
          </w:tcPr>
          <w:p>
            <w:pPr>
              <w:spacing w:after="0" w:line="276" w:lineRule="auto"/>
            </w:pPr>
            <w:r>
              <w:rPr>
                <w:rFonts w:ascii="Times New Roman" w:hAnsi="Times New Roman" w:eastAsia="Times New Roman"/>
                <w:sz w:val="22"/>
              </w:rPr>
              <w:t>High</w:t>
            </w:r>
          </w:p>
        </w:tc>
        <w:tc>
          <w:tcPr>
            <w:tcW w:type="dxa" w:w="907"/>
            <w:vAlign w:val="center"/>
          </w:tcPr>
          <w:p>
            <w:pPr>
              <w:spacing w:after="0" w:line="276" w:lineRule="auto"/>
            </w:pPr>
            <w:r>
              <w:rPr>
                <w:rFonts w:ascii="Times New Roman" w:hAnsi="Times New Roman" w:eastAsia="Times New Roman"/>
                <w:sz w:val="22"/>
              </w:rPr>
              <w:t>High</w:t>
            </w:r>
          </w:p>
        </w:tc>
        <w:tc>
          <w:tcPr>
            <w:tcW w:type="dxa" w:w="1474"/>
            <w:vAlign w:val="center"/>
          </w:tcPr>
          <w:p>
            <w:pPr>
              <w:spacing w:after="0" w:line="276" w:lineRule="auto"/>
            </w:pPr>
            <w:r>
              <w:rPr>
                <w:rFonts w:ascii="Times New Roman" w:hAnsi="Times New Roman" w:eastAsia="Times New Roman"/>
                <w:sz w:val="22"/>
              </w:rPr>
              <w:t>Open - Confirmed</w:t>
            </w:r>
          </w:p>
        </w:tc>
        <w:tc>
          <w:tcPr>
            <w:tcW w:type="dxa" w:w="2835"/>
            <w:vAlign w:val="center"/>
          </w:tcPr>
          <w:p>
            <w:pPr>
              <w:spacing w:after="0" w:line="276" w:lineRule="auto"/>
            </w:pPr>
            <w:r>
              <w:rPr>
                <w:rFonts w:ascii="Times New Roman" w:hAnsi="Times New Roman" w:eastAsia="Times New Roman"/>
                <w:sz w:val="22"/>
              </w:rPr>
              <w:t>https://github.com/Alucard30Dec/Online-Sales-Management-System/issues/3</w:t>
            </w:r>
          </w:p>
        </w:tc>
      </w:tr>
      <w:tr>
        <w:tc>
          <w:tcPr>
            <w:tcW w:type="dxa" w:w="1587"/>
            <w:vAlign w:val="center"/>
          </w:tcPr>
          <w:p>
            <w:pPr>
              <w:spacing w:after="0" w:line="276" w:lineRule="auto"/>
            </w:pPr>
            <w:r>
              <w:rPr>
                <w:rFonts w:ascii="Times New Roman" w:hAnsi="Times New Roman" w:eastAsia="Times New Roman"/>
                <w:sz w:val="22"/>
              </w:rPr>
              <w:t>BUG-20260411-004</w:t>
            </w:r>
          </w:p>
        </w:tc>
        <w:tc>
          <w:tcPr>
            <w:tcW w:type="dxa" w:w="2494"/>
            <w:vAlign w:val="center"/>
          </w:tcPr>
          <w:p>
            <w:pPr>
              <w:spacing w:after="0" w:line="276" w:lineRule="auto"/>
            </w:pPr>
            <w:r>
              <w:rPr>
                <w:rFonts w:ascii="Times New Roman" w:hAnsi="Times New Roman" w:eastAsia="Times New Roman"/>
                <w:sz w:val="22"/>
              </w:rPr>
              <w:t>TC-UI-INV-005</w:t>
            </w:r>
          </w:p>
        </w:tc>
        <w:tc>
          <w:tcPr>
            <w:tcW w:type="dxa" w:w="1474"/>
            <w:vAlign w:val="center"/>
          </w:tcPr>
          <w:p>
            <w:pPr>
              <w:spacing w:after="0" w:line="276" w:lineRule="auto"/>
            </w:pPr>
            <w:r>
              <w:rPr>
                <w:rFonts w:ascii="Times New Roman" w:hAnsi="Times New Roman" w:eastAsia="Times New Roman"/>
                <w:sz w:val="22"/>
              </w:rPr>
              <w:t>Invoices</w:t>
            </w:r>
          </w:p>
        </w:tc>
        <w:tc>
          <w:tcPr>
            <w:tcW w:type="dxa" w:w="907"/>
            <w:vAlign w:val="center"/>
          </w:tcPr>
          <w:p>
            <w:pPr>
              <w:spacing w:after="0" w:line="276" w:lineRule="auto"/>
            </w:pPr>
            <w:r>
              <w:rPr>
                <w:rFonts w:ascii="Times New Roman" w:hAnsi="Times New Roman" w:eastAsia="Times New Roman"/>
                <w:sz w:val="22"/>
              </w:rPr>
              <w:t>High</w:t>
            </w:r>
          </w:p>
        </w:tc>
        <w:tc>
          <w:tcPr>
            <w:tcW w:type="dxa" w:w="907"/>
            <w:vAlign w:val="center"/>
          </w:tcPr>
          <w:p>
            <w:pPr>
              <w:spacing w:after="0" w:line="276" w:lineRule="auto"/>
            </w:pPr>
            <w:r>
              <w:rPr>
                <w:rFonts w:ascii="Times New Roman" w:hAnsi="Times New Roman" w:eastAsia="Times New Roman"/>
                <w:sz w:val="22"/>
              </w:rPr>
              <w:t>High</w:t>
            </w:r>
          </w:p>
        </w:tc>
        <w:tc>
          <w:tcPr>
            <w:tcW w:type="dxa" w:w="1474"/>
            <w:vAlign w:val="center"/>
          </w:tcPr>
          <w:p>
            <w:pPr>
              <w:spacing w:after="0" w:line="276" w:lineRule="auto"/>
            </w:pPr>
            <w:r>
              <w:rPr>
                <w:rFonts w:ascii="Times New Roman" w:hAnsi="Times New Roman" w:eastAsia="Times New Roman"/>
                <w:sz w:val="22"/>
              </w:rPr>
              <w:t>Open - Confirmed</w:t>
            </w:r>
          </w:p>
        </w:tc>
        <w:tc>
          <w:tcPr>
            <w:tcW w:type="dxa" w:w="2835"/>
            <w:vAlign w:val="center"/>
          </w:tcPr>
          <w:p>
            <w:pPr>
              <w:spacing w:after="0" w:line="276" w:lineRule="auto"/>
            </w:pPr>
            <w:r>
              <w:rPr>
                <w:rFonts w:ascii="Times New Roman" w:hAnsi="Times New Roman" w:eastAsia="Times New Roman"/>
                <w:sz w:val="22"/>
              </w:rPr>
              <w:t>https://github.com/Alucard30Dec/Online-Sales-Management-System/issues/4</w:t>
            </w:r>
          </w:p>
        </w:tc>
      </w:tr>
    </w:tbl>
    <w:p/>
    <w:p>
      <w:pPr>
        <w:jc w:val="center"/>
      </w:pPr>
      <w:r>
        <w:drawing>
          <wp:inline xmlns:a="http://schemas.openxmlformats.org/drawingml/2006/main" xmlns:pic="http://schemas.openxmlformats.org/drawingml/2006/picture">
            <wp:extent cx="5303520" cy="2855999"/>
            <wp:docPr id="2" name="Picture 2"/>
            <wp:cNvGraphicFramePr>
              <a:graphicFrameLocks noChangeAspect="1"/>
            </wp:cNvGraphicFramePr>
            <a:graphic>
              <a:graphicData uri="http://schemas.openxmlformats.org/drawingml/2006/picture">
                <pic:pic>
                  <pic:nvPicPr>
                    <pic:cNvPr id="0" name="20260406_053902_TC-UI-INV-001-failure.png"/>
                    <pic:cNvPicPr/>
                  </pic:nvPicPr>
                  <pic:blipFill>
                    <a:blip r:embed="rId10"/>
                    <a:stretch>
                      <a:fillRect/>
                    </a:stretch>
                  </pic:blipFill>
                  <pic:spPr>
                    <a:xfrm>
                      <a:off x="0" y="0"/>
                      <a:ext cx="5303520" cy="2855999"/>
                    </a:xfrm>
                    <a:prstGeom prst="rect"/>
                  </pic:spPr>
                </pic:pic>
              </a:graphicData>
            </a:graphic>
          </wp:inline>
        </w:drawing>
      </w:r>
    </w:p>
    <w:p>
      <w:pPr>
        <w:jc w:val="center"/>
      </w:pPr>
      <w:r>
        <w:rPr>
          <w:rFonts w:ascii="Times New Roman" w:hAnsi="Times New Roman" w:eastAsia="Times New Roman"/>
          <w:i/>
          <w:sz w:val="22"/>
        </w:rPr>
        <w:t>Figure 4.2. Reproduction evidence for the high-severity invoice creation defect.</w:t>
      </w:r>
    </w:p>
    <w:p/>
    <w:p>
      <w:pPr>
        <w:jc w:val="center"/>
      </w:pPr>
      <w:r>
        <w:drawing>
          <wp:inline xmlns:a="http://schemas.openxmlformats.org/drawingml/2006/main" xmlns:pic="http://schemas.openxmlformats.org/drawingml/2006/picture">
            <wp:extent cx="5303520" cy="4419600"/>
            <wp:docPr id="3" name="Picture 3"/>
            <wp:cNvGraphicFramePr>
              <a:graphicFrameLocks noChangeAspect="1"/>
            </wp:cNvGraphicFramePr>
            <a:graphic>
              <a:graphicData uri="http://schemas.openxmlformats.org/drawingml/2006/picture">
                <pic:pic>
                  <pic:nvPicPr>
                    <pic:cNvPr id="0" name="BUG-20260411-004-github-issue.png"/>
                    <pic:cNvPicPr/>
                  </pic:nvPicPr>
                  <pic:blipFill>
                    <a:blip r:embed="rId11"/>
                    <a:stretch>
                      <a:fillRect/>
                    </a:stretch>
                  </pic:blipFill>
                  <pic:spPr>
                    <a:xfrm>
                      <a:off x="0" y="0"/>
                      <a:ext cx="5303520" cy="4419600"/>
                    </a:xfrm>
                    <a:prstGeom prst="rect"/>
                  </pic:spPr>
                </pic:pic>
              </a:graphicData>
            </a:graphic>
          </wp:inline>
        </w:drawing>
      </w:r>
    </w:p>
    <w:p>
      <w:pPr>
        <w:jc w:val="center"/>
      </w:pPr>
      <w:r>
        <w:rPr>
          <w:rFonts w:ascii="Times New Roman" w:hAnsi="Times New Roman" w:eastAsia="Times New Roman"/>
          <w:i/>
          <w:sz w:val="22"/>
        </w:rPr>
        <w:t>Figure 4.3. GitHub Issue evidence for a high-severity invoice cancellation defect.</w:t>
      </w:r>
    </w:p>
    <w:p/>
    <w:p>
      <w:pPr>
        <w:pStyle w:val="Heading3"/>
      </w:pPr>
      <w:r>
        <w:rPr>
          <w:b/>
        </w:rPr>
        <w:t>4.2.2. Medium and low severity defects</w:t>
      </w:r>
    </w:p>
    <w:p>
      <w:r>
        <w:rPr>
          <w:rFonts w:ascii="Times New Roman" w:hAnsi="Times New Roman" w:eastAsia="Times New Roman"/>
          <w:sz w:val="24"/>
        </w:rPr>
        <w:t>The current baseline contains one medium-severity confirmed defect and no low-severity confirmed defect. The medium defect does not break transaction blocking logic itself, but it still degrades the quality of system feedback by rendering an unreadable validation banner in the purchase-create flow.</w:t>
      </w:r>
    </w:p>
    <w:p>
      <w:pPr>
        <w:jc w:val="center"/>
      </w:pPr>
      <w:r>
        <w:rPr>
          <w:rFonts w:ascii="Times New Roman" w:hAnsi="Times New Roman" w:eastAsia="Times New Roman"/>
          <w:i/>
          <w:sz w:val="22"/>
        </w:rPr>
        <w:t>Table 4.5. Medium and low severity confirmed defects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587"/>
            <w:shd w:fill="D9EAF7"/>
            <w:vAlign w:val="center"/>
          </w:tcPr>
          <w:p>
            <w:pPr>
              <w:spacing w:after="0" w:line="276" w:lineRule="auto"/>
            </w:pPr>
            <w:r>
              <w:rPr>
                <w:rFonts w:ascii="Times New Roman" w:hAnsi="Times New Roman" w:eastAsia="Times New Roman"/>
                <w:sz w:val="22"/>
              </w:rPr>
              <w:t>Defect ID</w:t>
            </w:r>
          </w:p>
        </w:tc>
        <w:tc>
          <w:tcPr>
            <w:tcW w:type="dxa" w:w="2494"/>
            <w:shd w:fill="D9EAF7"/>
            <w:vAlign w:val="center"/>
          </w:tcPr>
          <w:p>
            <w:pPr>
              <w:spacing w:after="0" w:line="276" w:lineRule="auto"/>
            </w:pPr>
            <w:r>
              <w:rPr>
                <w:rFonts w:ascii="Times New Roman" w:hAnsi="Times New Roman" w:eastAsia="Times New Roman"/>
                <w:sz w:val="22"/>
              </w:rPr>
              <w:t>Related test case(s)</w:t>
            </w:r>
          </w:p>
        </w:tc>
        <w:tc>
          <w:tcPr>
            <w:tcW w:type="dxa" w:w="1474"/>
            <w:shd w:fill="D9EAF7"/>
            <w:vAlign w:val="center"/>
          </w:tcPr>
          <w:p>
            <w:pPr>
              <w:spacing w:after="0" w:line="276" w:lineRule="auto"/>
            </w:pPr>
            <w:r>
              <w:rPr>
                <w:rFonts w:ascii="Times New Roman" w:hAnsi="Times New Roman" w:eastAsia="Times New Roman"/>
                <w:sz w:val="22"/>
              </w:rPr>
              <w:t>Module</w:t>
            </w:r>
          </w:p>
        </w:tc>
        <w:tc>
          <w:tcPr>
            <w:tcW w:type="dxa" w:w="907"/>
            <w:shd w:fill="D9EAF7"/>
            <w:vAlign w:val="center"/>
          </w:tcPr>
          <w:p>
            <w:pPr>
              <w:spacing w:after="0" w:line="276" w:lineRule="auto"/>
            </w:pPr>
            <w:r>
              <w:rPr>
                <w:rFonts w:ascii="Times New Roman" w:hAnsi="Times New Roman" w:eastAsia="Times New Roman"/>
                <w:sz w:val="22"/>
              </w:rPr>
              <w:t>Severity</w:t>
            </w:r>
          </w:p>
        </w:tc>
        <w:tc>
          <w:tcPr>
            <w:tcW w:type="dxa" w:w="907"/>
            <w:shd w:fill="D9EAF7"/>
            <w:vAlign w:val="center"/>
          </w:tcPr>
          <w:p>
            <w:pPr>
              <w:spacing w:after="0" w:line="276" w:lineRule="auto"/>
            </w:pPr>
            <w:r>
              <w:rPr>
                <w:rFonts w:ascii="Times New Roman" w:hAnsi="Times New Roman" w:eastAsia="Times New Roman"/>
                <w:sz w:val="22"/>
              </w:rPr>
              <w:t>Priority</w:t>
            </w:r>
          </w:p>
        </w:tc>
        <w:tc>
          <w:tcPr>
            <w:tcW w:type="dxa" w:w="1474"/>
            <w:shd w:fill="D9EAF7"/>
            <w:vAlign w:val="center"/>
          </w:tcPr>
          <w:p>
            <w:pPr>
              <w:spacing w:after="0" w:line="276" w:lineRule="auto"/>
            </w:pPr>
            <w:r>
              <w:rPr>
                <w:rFonts w:ascii="Times New Roman" w:hAnsi="Times New Roman" w:eastAsia="Times New Roman"/>
                <w:sz w:val="22"/>
              </w:rPr>
              <w:t>Current status</w:t>
            </w:r>
          </w:p>
        </w:tc>
        <w:tc>
          <w:tcPr>
            <w:tcW w:type="dxa" w:w="2835"/>
            <w:shd w:fill="D9EAF7"/>
            <w:vAlign w:val="center"/>
          </w:tcPr>
          <w:p>
            <w:pPr>
              <w:spacing w:after="0" w:line="276" w:lineRule="auto"/>
            </w:pPr>
            <w:r>
              <w:rPr>
                <w:rFonts w:ascii="Times New Roman" w:hAnsi="Times New Roman" w:eastAsia="Times New Roman"/>
                <w:sz w:val="22"/>
              </w:rPr>
              <w:t>GitHub Issue</w:t>
            </w:r>
          </w:p>
        </w:tc>
      </w:tr>
      <w:tr>
        <w:tc>
          <w:tcPr>
            <w:tcW w:type="dxa" w:w="1587"/>
            <w:vAlign w:val="center"/>
          </w:tcPr>
          <w:p>
            <w:pPr>
              <w:spacing w:after="0" w:line="276" w:lineRule="auto"/>
            </w:pPr>
            <w:r>
              <w:rPr>
                <w:rFonts w:ascii="Times New Roman" w:hAnsi="Times New Roman" w:eastAsia="Times New Roman"/>
                <w:sz w:val="22"/>
              </w:rPr>
              <w:t>BUG-20260411-002</w:t>
            </w:r>
          </w:p>
        </w:tc>
        <w:tc>
          <w:tcPr>
            <w:tcW w:type="dxa" w:w="2494"/>
            <w:vAlign w:val="center"/>
          </w:tcPr>
          <w:p>
            <w:pPr>
              <w:spacing w:after="0" w:line="276" w:lineRule="auto"/>
            </w:pPr>
            <w:r>
              <w:rPr>
                <w:rFonts w:ascii="Times New Roman" w:hAnsi="Times New Roman" w:eastAsia="Times New Roman"/>
                <w:sz w:val="22"/>
              </w:rPr>
              <w:t>TC-UI-PUR-002; TC-UI-PUR-003</w:t>
            </w:r>
          </w:p>
        </w:tc>
        <w:tc>
          <w:tcPr>
            <w:tcW w:type="dxa" w:w="1474"/>
            <w:vAlign w:val="center"/>
          </w:tcPr>
          <w:p>
            <w:pPr>
              <w:spacing w:after="0" w:line="276" w:lineRule="auto"/>
            </w:pPr>
            <w:r>
              <w:rPr>
                <w:rFonts w:ascii="Times New Roman" w:hAnsi="Times New Roman" w:eastAsia="Times New Roman"/>
                <w:sz w:val="22"/>
              </w:rPr>
              <w:t>Purchases</w:t>
            </w:r>
          </w:p>
        </w:tc>
        <w:tc>
          <w:tcPr>
            <w:tcW w:type="dxa" w:w="907"/>
            <w:vAlign w:val="center"/>
          </w:tcPr>
          <w:p>
            <w:pPr>
              <w:spacing w:after="0" w:line="276" w:lineRule="auto"/>
            </w:pPr>
            <w:r>
              <w:rPr>
                <w:rFonts w:ascii="Times New Roman" w:hAnsi="Times New Roman" w:eastAsia="Times New Roman"/>
                <w:sz w:val="22"/>
              </w:rPr>
              <w:t>Medium</w:t>
            </w:r>
          </w:p>
        </w:tc>
        <w:tc>
          <w:tcPr>
            <w:tcW w:type="dxa" w:w="907"/>
            <w:vAlign w:val="center"/>
          </w:tcPr>
          <w:p>
            <w:pPr>
              <w:spacing w:after="0" w:line="276" w:lineRule="auto"/>
            </w:pPr>
            <w:r>
              <w:rPr>
                <w:rFonts w:ascii="Times New Roman" w:hAnsi="Times New Roman" w:eastAsia="Times New Roman"/>
                <w:sz w:val="22"/>
              </w:rPr>
              <w:t>Medium</w:t>
            </w:r>
          </w:p>
        </w:tc>
        <w:tc>
          <w:tcPr>
            <w:tcW w:type="dxa" w:w="1474"/>
            <w:vAlign w:val="center"/>
          </w:tcPr>
          <w:p>
            <w:pPr>
              <w:spacing w:after="0" w:line="276" w:lineRule="auto"/>
            </w:pPr>
            <w:r>
              <w:rPr>
                <w:rFonts w:ascii="Times New Roman" w:hAnsi="Times New Roman" w:eastAsia="Times New Roman"/>
                <w:sz w:val="22"/>
              </w:rPr>
              <w:t>Open - Confirmed</w:t>
            </w:r>
          </w:p>
        </w:tc>
        <w:tc>
          <w:tcPr>
            <w:tcW w:type="dxa" w:w="2835"/>
            <w:vAlign w:val="center"/>
          </w:tcPr>
          <w:p>
            <w:pPr>
              <w:spacing w:after="0" w:line="276" w:lineRule="auto"/>
            </w:pPr>
            <w:r>
              <w:rPr>
                <w:rFonts w:ascii="Times New Roman" w:hAnsi="Times New Roman" w:eastAsia="Times New Roman"/>
                <w:sz w:val="22"/>
              </w:rPr>
              <w:t>https://github.com/Alucard30Dec/Online-Sales-Management-System/issues/2</w:t>
            </w:r>
          </w:p>
        </w:tc>
      </w:tr>
      <w:tr>
        <w:tc>
          <w:tcPr>
            <w:tcW w:type="dxa" w:w="1587"/>
            <w:vAlign w:val="center"/>
          </w:tcPr>
          <w:p>
            <w:pPr>
              <w:spacing w:after="0" w:line="276" w:lineRule="auto"/>
            </w:pPr>
            <w:r>
              <w:rPr>
                <w:rFonts w:ascii="Times New Roman" w:hAnsi="Times New Roman" w:eastAsia="Times New Roman"/>
                <w:sz w:val="22"/>
              </w:rPr>
              <w:t>Low severity defects</w:t>
            </w:r>
          </w:p>
        </w:tc>
        <w:tc>
          <w:tcPr>
            <w:tcW w:type="dxa" w:w="2494"/>
            <w:vAlign w:val="center"/>
          </w:tcPr>
          <w:p>
            <w:pPr>
              <w:spacing w:after="0" w:line="276" w:lineRule="auto"/>
            </w:pPr>
            <w:r>
              <w:rPr>
                <w:rFonts w:ascii="Times New Roman" w:hAnsi="Times New Roman" w:eastAsia="Times New Roman"/>
                <w:sz w:val="22"/>
              </w:rPr>
              <w:t>None</w:t>
            </w:r>
          </w:p>
        </w:tc>
        <w:tc>
          <w:tcPr>
            <w:tcW w:type="dxa" w:w="1474"/>
            <w:vAlign w:val="center"/>
          </w:tcPr>
          <w:p>
            <w:pPr>
              <w:spacing w:after="0" w:line="276" w:lineRule="auto"/>
            </w:pPr>
            <w:r>
              <w:rPr>
                <w:rFonts w:ascii="Times New Roman" w:hAnsi="Times New Roman" w:eastAsia="Times New Roman"/>
                <w:sz w:val="22"/>
              </w:rPr>
              <w:t>-</w:t>
            </w:r>
          </w:p>
        </w:tc>
        <w:tc>
          <w:tcPr>
            <w:tcW w:type="dxa" w:w="907"/>
            <w:vAlign w:val="center"/>
          </w:tcPr>
          <w:p>
            <w:pPr>
              <w:spacing w:after="0" w:line="276" w:lineRule="auto"/>
            </w:pPr>
            <w:r>
              <w:rPr>
                <w:rFonts w:ascii="Times New Roman" w:hAnsi="Times New Roman" w:eastAsia="Times New Roman"/>
                <w:sz w:val="22"/>
              </w:rPr>
              <w:t>Low</w:t>
            </w:r>
          </w:p>
        </w:tc>
        <w:tc>
          <w:tcPr>
            <w:tcW w:type="dxa" w:w="907"/>
            <w:vAlign w:val="center"/>
          </w:tcPr>
          <w:p>
            <w:pPr>
              <w:spacing w:after="0" w:line="276" w:lineRule="auto"/>
            </w:pPr>
            <w:r>
              <w:rPr>
                <w:rFonts w:ascii="Times New Roman" w:hAnsi="Times New Roman" w:eastAsia="Times New Roman"/>
                <w:sz w:val="22"/>
              </w:rPr>
              <w:t>-</w:t>
            </w:r>
          </w:p>
        </w:tc>
        <w:tc>
          <w:tcPr>
            <w:tcW w:type="dxa" w:w="1474"/>
            <w:vAlign w:val="center"/>
          </w:tcPr>
          <w:p>
            <w:pPr>
              <w:spacing w:after="0" w:line="276" w:lineRule="auto"/>
            </w:pPr>
            <w:r>
              <w:rPr>
                <w:rFonts w:ascii="Times New Roman" w:hAnsi="Times New Roman" w:eastAsia="Times New Roman"/>
                <w:sz w:val="22"/>
              </w:rPr>
              <w:t>-</w:t>
            </w:r>
          </w:p>
        </w:tc>
        <w:tc>
          <w:tcPr>
            <w:tcW w:type="dxa" w:w="2835"/>
            <w:vAlign w:val="center"/>
          </w:tcPr>
          <w:p>
            <w:pPr>
              <w:spacing w:after="0" w:line="276" w:lineRule="auto"/>
            </w:pPr>
            <w:r>
              <w:rPr>
                <w:rFonts w:ascii="Times New Roman" w:hAnsi="Times New Roman" w:eastAsia="Times New Roman"/>
                <w:sz w:val="22"/>
              </w:rPr>
              <w:t>-</w:t>
            </w:r>
          </w:p>
        </w:tc>
      </w:tr>
    </w:tbl>
    <w:p/>
    <w:p>
      <w:pPr>
        <w:jc w:val="center"/>
      </w:pPr>
      <w:r>
        <w:drawing>
          <wp:inline xmlns:a="http://schemas.openxmlformats.org/drawingml/2006/main" xmlns:pic="http://schemas.openxmlformats.org/drawingml/2006/picture">
            <wp:extent cx="5303520" cy="4419600"/>
            <wp:docPr id="4" name="Picture 4"/>
            <wp:cNvGraphicFramePr>
              <a:graphicFrameLocks noChangeAspect="1"/>
            </wp:cNvGraphicFramePr>
            <a:graphic>
              <a:graphicData uri="http://schemas.openxmlformats.org/drawingml/2006/picture">
                <pic:pic>
                  <pic:nvPicPr>
                    <pic:cNvPr id="0" name="BUG-20260411-002-github-issue.png"/>
                    <pic:cNvPicPr/>
                  </pic:nvPicPr>
                  <pic:blipFill>
                    <a:blip r:embed="rId12"/>
                    <a:stretch>
                      <a:fillRect/>
                    </a:stretch>
                  </pic:blipFill>
                  <pic:spPr>
                    <a:xfrm>
                      <a:off x="0" y="0"/>
                      <a:ext cx="5303520" cy="4419600"/>
                    </a:xfrm>
                    <a:prstGeom prst="rect"/>
                  </pic:spPr>
                </pic:pic>
              </a:graphicData>
            </a:graphic>
          </wp:inline>
        </w:drawing>
      </w:r>
    </w:p>
    <w:p>
      <w:pPr>
        <w:jc w:val="center"/>
      </w:pPr>
      <w:r>
        <w:rPr>
          <w:rFonts w:ascii="Times New Roman" w:hAnsi="Times New Roman" w:eastAsia="Times New Roman"/>
          <w:i/>
          <w:sz w:val="22"/>
        </w:rPr>
        <w:t>Figure 4.4. GitHub Issue evidence for the medium-severity purchase validation defect.</w:t>
      </w:r>
    </w:p>
    <w:p/>
    <w:p>
      <w:pPr>
        <w:pStyle w:val="Heading3"/>
      </w:pPr>
      <w:r>
        <w:rPr>
          <w:b/>
        </w:rPr>
        <w:t>4.2.3. Screenshots and reproduction evidence</w:t>
      </w:r>
    </w:p>
    <w:p>
      <w:r>
        <w:rPr>
          <w:rFonts w:ascii="Times New Roman" w:hAnsi="Times New Roman" w:eastAsia="Times New Roman"/>
          <w:sz w:val="24"/>
        </w:rPr>
        <w:t>Every confirmed defect in the current baseline is supported by reproduction steps and at least one screenshot or runner artifact. The strongest defect packages also include retest evidence and direct GitHub Issue screenshots. This evidence design improves traceability and makes the defect records defensible during presentation review.</w:t>
      </w:r>
    </w:p>
    <w:p>
      <w:pPr>
        <w:jc w:val="center"/>
      </w:pPr>
      <w:r>
        <w:rPr>
          <w:rFonts w:ascii="Times New Roman" w:hAnsi="Times New Roman" w:eastAsia="Times New Roman"/>
          <w:i/>
          <w:sz w:val="22"/>
        </w:rPr>
        <w:t>Table 4.6. Defect evidence mapping summary</w:t>
      </w:r>
    </w:p>
    <w:tbl>
      <w:tblPr>
        <w:tblStyle w:val="TableGrid"/>
        <w:tblW w:type="auto" w:w="0"/>
        <w:jc w:val="center"/>
        <w:tblLook w:firstColumn="1" w:firstRow="1" w:lastColumn="0" w:lastRow="0" w:noHBand="0" w:noVBand="1" w:val="04A0"/>
      </w:tblPr>
      <w:tblGrid>
        <w:gridCol w:w="3120"/>
        <w:gridCol w:w="3120"/>
        <w:gridCol w:w="3120"/>
      </w:tblGrid>
      <w:tr>
        <w:tc>
          <w:tcPr>
            <w:tcW w:type="dxa" w:w="1587"/>
            <w:shd w:fill="D9EAF7"/>
            <w:vAlign w:val="center"/>
          </w:tcPr>
          <w:p>
            <w:pPr>
              <w:spacing w:after="0" w:line="276" w:lineRule="auto"/>
            </w:pPr>
            <w:r>
              <w:rPr>
                <w:rFonts w:ascii="Times New Roman" w:hAnsi="Times New Roman" w:eastAsia="Times New Roman"/>
                <w:sz w:val="22"/>
              </w:rPr>
              <w:t>Defect ID</w:t>
            </w:r>
          </w:p>
        </w:tc>
        <w:tc>
          <w:tcPr>
            <w:tcW w:type="dxa" w:w="3288"/>
            <w:shd w:fill="D9EAF7"/>
            <w:vAlign w:val="center"/>
          </w:tcPr>
          <w:p>
            <w:pPr>
              <w:spacing w:after="0" w:line="276" w:lineRule="auto"/>
            </w:pPr>
            <w:r>
              <w:rPr>
                <w:rFonts w:ascii="Times New Roman" w:hAnsi="Times New Roman" w:eastAsia="Times New Roman"/>
                <w:sz w:val="22"/>
              </w:rPr>
              <w:t>Evidence types used</w:t>
            </w:r>
          </w:p>
        </w:tc>
        <w:tc>
          <w:tcPr>
            <w:tcW w:type="dxa" w:w="4195"/>
            <w:shd w:fill="D9EAF7"/>
            <w:vAlign w:val="center"/>
          </w:tcPr>
          <w:p>
            <w:pPr>
              <w:spacing w:after="0" w:line="276" w:lineRule="auto"/>
            </w:pPr>
            <w:r>
              <w:rPr>
                <w:rFonts w:ascii="Times New Roman" w:hAnsi="Times New Roman" w:eastAsia="Times New Roman"/>
                <w:sz w:val="22"/>
              </w:rPr>
              <w:t>Purpose</w:t>
            </w:r>
          </w:p>
        </w:tc>
      </w:tr>
      <w:tr>
        <w:tc>
          <w:tcPr>
            <w:tcW w:type="dxa" w:w="1587"/>
            <w:vAlign w:val="center"/>
          </w:tcPr>
          <w:p>
            <w:pPr>
              <w:spacing w:after="0" w:line="276" w:lineRule="auto"/>
            </w:pPr>
            <w:r>
              <w:rPr>
                <w:rFonts w:ascii="Times New Roman" w:hAnsi="Times New Roman" w:eastAsia="Times New Roman"/>
                <w:sz w:val="22"/>
              </w:rPr>
              <w:t>BUG-20260406-001</w:t>
            </w:r>
          </w:p>
        </w:tc>
        <w:tc>
          <w:tcPr>
            <w:tcW w:type="dxa" w:w="3288"/>
            <w:vAlign w:val="center"/>
          </w:tcPr>
          <w:p>
            <w:pPr>
              <w:spacing w:after="0" w:line="276" w:lineRule="auto"/>
            </w:pPr>
            <w:r>
              <w:rPr>
                <w:rFonts w:ascii="Times New Roman" w:hAnsi="Times New Roman" w:eastAsia="Times New Roman"/>
                <w:sz w:val="22"/>
              </w:rPr>
              <w:t>UI screenshots, TRX, server log excerpt, GitHub Issue screenshot</w:t>
            </w:r>
          </w:p>
        </w:tc>
        <w:tc>
          <w:tcPr>
            <w:tcW w:type="dxa" w:w="4195"/>
            <w:vAlign w:val="center"/>
          </w:tcPr>
          <w:p>
            <w:pPr>
              <w:spacing w:after="0" w:line="276" w:lineRule="auto"/>
            </w:pPr>
            <w:r>
              <w:rPr>
                <w:rFonts w:ascii="Times New Roman" w:hAnsi="Times New Roman" w:eastAsia="Times New Roman"/>
                <w:sz w:val="22"/>
              </w:rPr>
              <w:t>Proves invoice-create failure is reproducible and not limited to one scenario</w:t>
            </w:r>
          </w:p>
        </w:tc>
      </w:tr>
      <w:tr>
        <w:tc>
          <w:tcPr>
            <w:tcW w:type="dxa" w:w="1587"/>
            <w:vAlign w:val="center"/>
          </w:tcPr>
          <w:p>
            <w:pPr>
              <w:spacing w:after="0" w:line="276" w:lineRule="auto"/>
            </w:pPr>
            <w:r>
              <w:rPr>
                <w:rFonts w:ascii="Times New Roman" w:hAnsi="Times New Roman" w:eastAsia="Times New Roman"/>
                <w:sz w:val="22"/>
              </w:rPr>
              <w:t>BUG-20260411-002</w:t>
            </w:r>
          </w:p>
        </w:tc>
        <w:tc>
          <w:tcPr>
            <w:tcW w:type="dxa" w:w="3288"/>
            <w:vAlign w:val="center"/>
          </w:tcPr>
          <w:p>
            <w:pPr>
              <w:spacing w:after="0" w:line="276" w:lineRule="auto"/>
            </w:pPr>
            <w:r>
              <w:rPr>
                <w:rFonts w:ascii="Times New Roman" w:hAnsi="Times New Roman" w:eastAsia="Times New Roman"/>
                <w:sz w:val="22"/>
              </w:rPr>
              <w:t>UI screenshots, focused rerun TRX, GitHub Issue screenshot</w:t>
            </w:r>
          </w:p>
        </w:tc>
        <w:tc>
          <w:tcPr>
            <w:tcW w:type="dxa" w:w="4195"/>
            <w:vAlign w:val="center"/>
          </w:tcPr>
          <w:p>
            <w:pPr>
              <w:spacing w:after="0" w:line="276" w:lineRule="auto"/>
            </w:pPr>
            <w:r>
              <w:rPr>
                <w:rFonts w:ascii="Times New Roman" w:hAnsi="Times New Roman" w:eastAsia="Times New Roman"/>
                <w:sz w:val="22"/>
              </w:rPr>
              <w:t>Proves purchase validation banner defect is reproducible</w:t>
            </w:r>
          </w:p>
        </w:tc>
      </w:tr>
      <w:tr>
        <w:tc>
          <w:tcPr>
            <w:tcW w:type="dxa" w:w="1587"/>
            <w:vAlign w:val="center"/>
          </w:tcPr>
          <w:p>
            <w:pPr>
              <w:spacing w:after="0" w:line="276" w:lineRule="auto"/>
            </w:pPr>
            <w:r>
              <w:rPr>
                <w:rFonts w:ascii="Times New Roman" w:hAnsi="Times New Roman" w:eastAsia="Times New Roman"/>
                <w:sz w:val="22"/>
              </w:rPr>
              <w:t>BUG-20260411-003</w:t>
            </w:r>
          </w:p>
        </w:tc>
        <w:tc>
          <w:tcPr>
            <w:tcW w:type="dxa" w:w="3288"/>
            <w:vAlign w:val="center"/>
          </w:tcPr>
          <w:p>
            <w:pPr>
              <w:spacing w:after="0" w:line="276" w:lineRule="auto"/>
            </w:pPr>
            <w:r>
              <w:rPr>
                <w:rFonts w:ascii="Times New Roman" w:hAnsi="Times New Roman" w:eastAsia="Times New Roman"/>
                <w:sz w:val="22"/>
              </w:rPr>
              <w:t>UI screenshots, focused rerun TRX, GitHub Issue screenshot</w:t>
            </w:r>
          </w:p>
        </w:tc>
        <w:tc>
          <w:tcPr>
            <w:tcW w:type="dxa" w:w="4195"/>
            <w:vAlign w:val="center"/>
          </w:tcPr>
          <w:p>
            <w:pPr>
              <w:spacing w:after="0" w:line="276" w:lineRule="auto"/>
            </w:pPr>
            <w:r>
              <w:rPr>
                <w:rFonts w:ascii="Times New Roman" w:hAnsi="Times New Roman" w:eastAsia="Times New Roman"/>
                <w:sz w:val="22"/>
              </w:rPr>
              <w:t>Proves import confirmation still fails after valid preview</w:t>
            </w:r>
          </w:p>
        </w:tc>
      </w:tr>
      <w:tr>
        <w:tc>
          <w:tcPr>
            <w:tcW w:type="dxa" w:w="1587"/>
            <w:vAlign w:val="center"/>
          </w:tcPr>
          <w:p>
            <w:pPr>
              <w:spacing w:after="0" w:line="276" w:lineRule="auto"/>
            </w:pPr>
            <w:r>
              <w:rPr>
                <w:rFonts w:ascii="Times New Roman" w:hAnsi="Times New Roman" w:eastAsia="Times New Roman"/>
                <w:sz w:val="22"/>
              </w:rPr>
              <w:t>BUG-20260411-004</w:t>
            </w:r>
          </w:p>
        </w:tc>
        <w:tc>
          <w:tcPr>
            <w:tcW w:type="dxa" w:w="3288"/>
            <w:vAlign w:val="center"/>
          </w:tcPr>
          <w:p>
            <w:pPr>
              <w:spacing w:after="0" w:line="276" w:lineRule="auto"/>
            </w:pPr>
            <w:r>
              <w:rPr>
                <w:rFonts w:ascii="Times New Roman" w:hAnsi="Times New Roman" w:eastAsia="Times New Roman"/>
                <w:sz w:val="22"/>
              </w:rPr>
              <w:t>UI screenshots, focused rerun TRX, GitHub Issue screenshot</w:t>
            </w:r>
          </w:p>
        </w:tc>
        <w:tc>
          <w:tcPr>
            <w:tcW w:type="dxa" w:w="4195"/>
            <w:vAlign w:val="center"/>
          </w:tcPr>
          <w:p>
            <w:pPr>
              <w:spacing w:after="0" w:line="276" w:lineRule="auto"/>
            </w:pPr>
            <w:r>
              <w:rPr>
                <w:rFonts w:ascii="Times New Roman" w:hAnsi="Times New Roman" w:eastAsia="Times New Roman"/>
                <w:sz w:val="22"/>
              </w:rPr>
              <w:t>Proves invoice cancellation still fails and stock return does not occur</w:t>
            </w:r>
          </w:p>
        </w:tc>
      </w:tr>
    </w:tbl>
    <w:p/>
    <w:p>
      <w:pPr>
        <w:jc w:val="center"/>
      </w:pPr>
      <w:r>
        <w:drawing>
          <wp:inline xmlns:a="http://schemas.openxmlformats.org/drawingml/2006/main" xmlns:pic="http://schemas.openxmlformats.org/drawingml/2006/picture">
            <wp:extent cx="5303520" cy="4419600"/>
            <wp:docPr id="5" name="Picture 5"/>
            <wp:cNvGraphicFramePr>
              <a:graphicFrameLocks noChangeAspect="1"/>
            </wp:cNvGraphicFramePr>
            <a:graphic>
              <a:graphicData uri="http://schemas.openxmlformats.org/drawingml/2006/picture">
                <pic:pic>
                  <pic:nvPicPr>
                    <pic:cNvPr id="0" name="BUG-20260411-003-github-issue.png"/>
                    <pic:cNvPicPr/>
                  </pic:nvPicPr>
                  <pic:blipFill>
                    <a:blip r:embed="rId13"/>
                    <a:stretch>
                      <a:fillRect/>
                    </a:stretch>
                  </pic:blipFill>
                  <pic:spPr>
                    <a:xfrm>
                      <a:off x="0" y="0"/>
                      <a:ext cx="5303520" cy="4419600"/>
                    </a:xfrm>
                    <a:prstGeom prst="rect"/>
                  </pic:spPr>
                </pic:pic>
              </a:graphicData>
            </a:graphic>
          </wp:inline>
        </w:drawing>
      </w:r>
    </w:p>
    <w:p>
      <w:pPr>
        <w:jc w:val="center"/>
      </w:pPr>
      <w:r>
        <w:rPr>
          <w:rFonts w:ascii="Times New Roman" w:hAnsi="Times New Roman" w:eastAsia="Times New Roman"/>
          <w:i/>
          <w:sz w:val="22"/>
        </w:rPr>
        <w:t>Figure 4.5. GitHub Issue evidence for the product-import confirmed defect.</w:t>
      </w:r>
    </w:p>
    <w:p/>
    <w:p>
      <w:pPr>
        <w:pStyle w:val="Heading2"/>
      </w:pPr>
      <w:r>
        <w:rPr>
          <w:b/>
        </w:rPr>
        <w:t>4.3. Test Summary Metrics</w:t>
      </w:r>
    </w:p>
    <w:p>
      <w:r>
        <w:rPr>
          <w:rFonts w:ascii="Times New Roman" w:hAnsi="Times New Roman" w:eastAsia="Times New Roman"/>
          <w:sz w:val="24"/>
        </w:rPr>
        <w:t>The test summary metrics describe the final execution state of the current baseline. It is important to distinguish between failing test cases and unique confirmed defects. In this project, 7 test cases currently report Fail, but those failures map to 4 unique confirmed defects because multiple failing cases are caused by the same underlying issue.</w:t>
      </w:r>
    </w:p>
    <w:p>
      <w:pPr>
        <w:pStyle w:val="Heading3"/>
      </w:pPr>
      <w:r>
        <w:rPr>
          <w:b/>
        </w:rPr>
        <w:t>4.3.1. Total test cases executed</w:t>
      </w:r>
    </w:p>
    <w:p>
      <w:r>
        <w:rPr>
          <w:rFonts w:ascii="Times New Roman" w:hAnsi="Times New Roman" w:eastAsia="Times New Roman"/>
          <w:sz w:val="24"/>
        </w:rPr>
        <w:t>The current baseline contains 63 executed test cases. According to the synchronized final-results workbook, all designed UI and API cases in the baseline have recorded execution results, which means execution completeness is 100%.</w:t>
      </w:r>
    </w:p>
    <w:p>
      <w:pPr>
        <w:jc w:val="center"/>
      </w:pPr>
      <w:r>
        <w:rPr>
          <w:rFonts w:ascii="Times New Roman" w:hAnsi="Times New Roman" w:eastAsia="Times New Roman"/>
          <w:i/>
          <w:sz w:val="22"/>
        </w:rPr>
        <w:t>Table 4.7. Execution totals</w:t>
      </w:r>
    </w:p>
    <w:tbl>
      <w:tblPr>
        <w:tblStyle w:val="TableGrid"/>
        <w:tblW w:type="auto" w:w="0"/>
        <w:jc w:val="center"/>
        <w:tblLook w:firstColumn="1" w:firstRow="1" w:lastColumn="0" w:lastRow="0" w:noHBand="0" w:noVBand="1" w:val="04A0"/>
      </w:tblPr>
      <w:tblGrid>
        <w:gridCol w:w="4680"/>
        <w:gridCol w:w="4680"/>
      </w:tblGrid>
      <w:tr>
        <w:tc>
          <w:tcPr>
            <w:tcW w:type="dxa" w:w="3402"/>
            <w:shd w:fill="D9EAF7"/>
            <w:vAlign w:val="center"/>
          </w:tcPr>
          <w:p>
            <w:pPr>
              <w:spacing w:after="0" w:line="276" w:lineRule="auto"/>
            </w:pPr>
            <w:r>
              <w:rPr>
                <w:rFonts w:ascii="Times New Roman" w:hAnsi="Times New Roman" w:eastAsia="Times New Roman"/>
                <w:sz w:val="22"/>
              </w:rPr>
              <w:t>Metric</w:t>
            </w:r>
          </w:p>
        </w:tc>
        <w:tc>
          <w:tcPr>
            <w:tcW w:type="dxa" w:w="5669"/>
            <w:shd w:fill="D9EAF7"/>
            <w:vAlign w:val="center"/>
          </w:tcPr>
          <w:p>
            <w:pPr>
              <w:spacing w:after="0" w:line="276" w:lineRule="auto"/>
            </w:pPr>
            <w:r>
              <w:rPr>
                <w:rFonts w:ascii="Times New Roman" w:hAnsi="Times New Roman" w:eastAsia="Times New Roman"/>
                <w:sz w:val="22"/>
              </w:rPr>
              <w:t>Value</w:t>
            </w:r>
          </w:p>
        </w:tc>
      </w:tr>
      <w:tr>
        <w:tc>
          <w:tcPr>
            <w:tcW w:type="dxa" w:w="3402"/>
            <w:vAlign w:val="center"/>
          </w:tcPr>
          <w:p>
            <w:pPr>
              <w:spacing w:after="0" w:line="276" w:lineRule="auto"/>
            </w:pPr>
            <w:r>
              <w:rPr>
                <w:rFonts w:ascii="Times New Roman" w:hAnsi="Times New Roman" w:eastAsia="Times New Roman"/>
                <w:sz w:val="22"/>
              </w:rPr>
              <w:t>Total test cases</w:t>
            </w:r>
          </w:p>
        </w:tc>
        <w:tc>
          <w:tcPr>
            <w:tcW w:type="dxa" w:w="5669"/>
            <w:vAlign w:val="center"/>
          </w:tcPr>
          <w:p>
            <w:pPr>
              <w:spacing w:after="0" w:line="276" w:lineRule="auto"/>
            </w:pPr>
            <w:r>
              <w:rPr>
                <w:rFonts w:ascii="Times New Roman" w:hAnsi="Times New Roman" w:eastAsia="Times New Roman"/>
                <w:sz w:val="22"/>
              </w:rPr>
              <w:t>63</w:t>
            </w:r>
          </w:p>
        </w:tc>
      </w:tr>
      <w:tr>
        <w:tc>
          <w:tcPr>
            <w:tcW w:type="dxa" w:w="3402"/>
            <w:vAlign w:val="center"/>
          </w:tcPr>
          <w:p>
            <w:pPr>
              <w:spacing w:after="0" w:line="276" w:lineRule="auto"/>
            </w:pPr>
            <w:r>
              <w:rPr>
                <w:rFonts w:ascii="Times New Roman" w:hAnsi="Times New Roman" w:eastAsia="Times New Roman"/>
                <w:sz w:val="22"/>
              </w:rPr>
              <w:t>Executed test cases</w:t>
            </w:r>
          </w:p>
        </w:tc>
        <w:tc>
          <w:tcPr>
            <w:tcW w:type="dxa" w:w="5669"/>
            <w:vAlign w:val="center"/>
          </w:tcPr>
          <w:p>
            <w:pPr>
              <w:spacing w:after="0" w:line="276" w:lineRule="auto"/>
            </w:pPr>
            <w:r>
              <w:rPr>
                <w:rFonts w:ascii="Times New Roman" w:hAnsi="Times New Roman" w:eastAsia="Times New Roman"/>
                <w:sz w:val="22"/>
              </w:rPr>
              <w:t>63</w:t>
            </w:r>
          </w:p>
        </w:tc>
      </w:tr>
      <w:tr>
        <w:tc>
          <w:tcPr>
            <w:tcW w:type="dxa" w:w="3402"/>
            <w:vAlign w:val="center"/>
          </w:tcPr>
          <w:p>
            <w:pPr>
              <w:spacing w:after="0" w:line="276" w:lineRule="auto"/>
            </w:pPr>
            <w:r>
              <w:rPr>
                <w:rFonts w:ascii="Times New Roman" w:hAnsi="Times New Roman" w:eastAsia="Times New Roman"/>
                <w:sz w:val="22"/>
              </w:rPr>
              <w:t>Execution progress</w:t>
            </w:r>
          </w:p>
        </w:tc>
        <w:tc>
          <w:tcPr>
            <w:tcW w:type="dxa" w:w="5669"/>
            <w:vAlign w:val="center"/>
          </w:tcPr>
          <w:p>
            <w:pPr>
              <w:spacing w:after="0" w:line="276" w:lineRule="auto"/>
            </w:pPr>
            <w:r>
              <w:rPr>
                <w:rFonts w:ascii="Times New Roman" w:hAnsi="Times New Roman" w:eastAsia="Times New Roman"/>
                <w:sz w:val="22"/>
              </w:rPr>
              <w:t>100%</w:t>
            </w:r>
          </w:p>
        </w:tc>
      </w:tr>
    </w:tbl>
    <w:p/>
    <w:p>
      <w:pPr>
        <w:pStyle w:val="Heading3"/>
      </w:pPr>
      <w:r>
        <w:rPr>
          <w:b/>
        </w:rPr>
        <w:t>4.3.2. Pass/Fail/Blocked statistics</w:t>
      </w:r>
    </w:p>
    <w:p>
      <w:r>
        <w:rPr>
          <w:rFonts w:ascii="Times New Roman" w:hAnsi="Times New Roman" w:eastAsia="Times New Roman"/>
          <w:sz w:val="24"/>
        </w:rPr>
        <w:t>The current execution baseline contains 56 passing test cases, 7 failing test cases, and 0 blocked test cases. This gives a pass rate of 88.89% and a fail rate of 11.11%.</w:t>
      </w:r>
    </w:p>
    <w:p>
      <w:pPr>
        <w:jc w:val="center"/>
      </w:pPr>
      <w:r>
        <w:rPr>
          <w:rFonts w:ascii="Times New Roman" w:hAnsi="Times New Roman" w:eastAsia="Times New Roman"/>
          <w:i/>
          <w:sz w:val="22"/>
        </w:rPr>
        <w:t>Table 4.8. Pass / Fail / Blocked statistics</w:t>
      </w:r>
    </w:p>
    <w:tbl>
      <w:tblPr>
        <w:tblStyle w:val="TableGrid"/>
        <w:tblW w:type="auto" w:w="0"/>
        <w:jc w:val="center"/>
        <w:tblLook w:firstColumn="1" w:firstRow="1" w:lastColumn="0" w:lastRow="0" w:noHBand="0" w:noVBand="1" w:val="04A0"/>
      </w:tblPr>
      <w:tblGrid>
        <w:gridCol w:w="3120"/>
        <w:gridCol w:w="3120"/>
        <w:gridCol w:w="3120"/>
      </w:tblGrid>
      <w:tr>
        <w:tc>
          <w:tcPr>
            <w:tcW w:type="dxa" w:w="1814"/>
            <w:shd w:fill="D9EAF7"/>
            <w:vAlign w:val="center"/>
          </w:tcPr>
          <w:p>
            <w:pPr>
              <w:spacing w:after="0" w:line="276" w:lineRule="auto"/>
            </w:pPr>
            <w:r>
              <w:rPr>
                <w:rFonts w:ascii="Times New Roman" w:hAnsi="Times New Roman" w:eastAsia="Times New Roman"/>
                <w:sz w:val="22"/>
              </w:rPr>
              <w:t>Status</w:t>
            </w:r>
          </w:p>
        </w:tc>
        <w:tc>
          <w:tcPr>
            <w:tcW w:type="dxa" w:w="1134"/>
            <w:shd w:fill="D9EAF7"/>
            <w:vAlign w:val="center"/>
          </w:tcPr>
          <w:p>
            <w:pPr>
              <w:spacing w:after="0" w:line="276" w:lineRule="auto"/>
            </w:pPr>
            <w:r>
              <w:rPr>
                <w:rFonts w:ascii="Times New Roman" w:hAnsi="Times New Roman" w:eastAsia="Times New Roman"/>
                <w:sz w:val="22"/>
              </w:rPr>
              <w:t>Count</w:t>
            </w:r>
          </w:p>
        </w:tc>
        <w:tc>
          <w:tcPr>
            <w:tcW w:type="dxa" w:w="6123"/>
            <w:shd w:fill="D9EAF7"/>
            <w:vAlign w:val="center"/>
          </w:tcPr>
          <w:p>
            <w:pPr>
              <w:spacing w:after="0" w:line="276" w:lineRule="auto"/>
            </w:pPr>
            <w:r>
              <w:rPr>
                <w:rFonts w:ascii="Times New Roman" w:hAnsi="Times New Roman" w:eastAsia="Times New Roman"/>
                <w:sz w:val="22"/>
              </w:rPr>
              <w:t>Interpretation</w:t>
            </w:r>
          </w:p>
        </w:tc>
      </w:tr>
      <w:tr>
        <w:tc>
          <w:tcPr>
            <w:tcW w:type="dxa" w:w="1814"/>
            <w:vAlign w:val="center"/>
          </w:tcPr>
          <w:p>
            <w:pPr>
              <w:spacing w:after="0" w:line="276" w:lineRule="auto"/>
            </w:pPr>
            <w:r>
              <w:rPr>
                <w:rFonts w:ascii="Times New Roman" w:hAnsi="Times New Roman" w:eastAsia="Times New Roman"/>
                <w:sz w:val="22"/>
              </w:rPr>
              <w:t>Pass</w:t>
            </w:r>
          </w:p>
        </w:tc>
        <w:tc>
          <w:tcPr>
            <w:tcW w:type="dxa" w:w="1134"/>
            <w:vAlign w:val="center"/>
          </w:tcPr>
          <w:p>
            <w:pPr>
              <w:spacing w:after="0" w:line="276" w:lineRule="auto"/>
            </w:pPr>
            <w:r>
              <w:rPr>
                <w:rFonts w:ascii="Times New Roman" w:hAnsi="Times New Roman" w:eastAsia="Times New Roman"/>
                <w:sz w:val="22"/>
              </w:rPr>
              <w:t>56</w:t>
            </w:r>
          </w:p>
        </w:tc>
        <w:tc>
          <w:tcPr>
            <w:tcW w:type="dxa" w:w="6123"/>
            <w:vAlign w:val="center"/>
          </w:tcPr>
          <w:p>
            <w:pPr>
              <w:spacing w:after="0" w:line="276" w:lineRule="auto"/>
            </w:pPr>
            <w:r>
              <w:rPr>
                <w:rFonts w:ascii="Times New Roman" w:hAnsi="Times New Roman" w:eastAsia="Times New Roman"/>
                <w:sz w:val="22"/>
              </w:rPr>
              <w:t>Expected behavior matched real execution evidence</w:t>
            </w:r>
          </w:p>
        </w:tc>
      </w:tr>
      <w:tr>
        <w:tc>
          <w:tcPr>
            <w:tcW w:type="dxa" w:w="1814"/>
            <w:vAlign w:val="center"/>
          </w:tcPr>
          <w:p>
            <w:pPr>
              <w:spacing w:after="0" w:line="276" w:lineRule="auto"/>
            </w:pPr>
            <w:r>
              <w:rPr>
                <w:rFonts w:ascii="Times New Roman" w:hAnsi="Times New Roman" w:eastAsia="Times New Roman"/>
                <w:sz w:val="22"/>
              </w:rPr>
              <w:t>Fail</w:t>
            </w:r>
          </w:p>
        </w:tc>
        <w:tc>
          <w:tcPr>
            <w:tcW w:type="dxa" w:w="1134"/>
            <w:vAlign w:val="center"/>
          </w:tcPr>
          <w:p>
            <w:pPr>
              <w:spacing w:after="0" w:line="276" w:lineRule="auto"/>
            </w:pPr>
            <w:r>
              <w:rPr>
                <w:rFonts w:ascii="Times New Roman" w:hAnsi="Times New Roman" w:eastAsia="Times New Roman"/>
                <w:sz w:val="22"/>
              </w:rPr>
              <w:t>7</w:t>
            </w:r>
          </w:p>
        </w:tc>
        <w:tc>
          <w:tcPr>
            <w:tcW w:type="dxa" w:w="6123"/>
            <w:vAlign w:val="center"/>
          </w:tcPr>
          <w:p>
            <w:pPr>
              <w:spacing w:after="0" w:line="276" w:lineRule="auto"/>
            </w:pPr>
            <w:r>
              <w:rPr>
                <w:rFonts w:ascii="Times New Roman" w:hAnsi="Times New Roman" w:eastAsia="Times New Roman"/>
                <w:sz w:val="22"/>
              </w:rPr>
              <w:t>Observed behavior did not match the expected result</w:t>
            </w:r>
          </w:p>
        </w:tc>
      </w:tr>
      <w:tr>
        <w:tc>
          <w:tcPr>
            <w:tcW w:type="dxa" w:w="1814"/>
            <w:vAlign w:val="center"/>
          </w:tcPr>
          <w:p>
            <w:pPr>
              <w:spacing w:after="0" w:line="276" w:lineRule="auto"/>
            </w:pPr>
            <w:r>
              <w:rPr>
                <w:rFonts w:ascii="Times New Roman" w:hAnsi="Times New Roman" w:eastAsia="Times New Roman"/>
                <w:sz w:val="22"/>
              </w:rPr>
              <w:t>Blocked</w:t>
            </w:r>
          </w:p>
        </w:tc>
        <w:tc>
          <w:tcPr>
            <w:tcW w:type="dxa" w:w="1134"/>
            <w:vAlign w:val="center"/>
          </w:tcPr>
          <w:p>
            <w:pPr>
              <w:spacing w:after="0" w:line="276" w:lineRule="auto"/>
            </w:pPr>
            <w:r>
              <w:rPr>
                <w:rFonts w:ascii="Times New Roman" w:hAnsi="Times New Roman" w:eastAsia="Times New Roman"/>
                <w:sz w:val="22"/>
              </w:rPr>
              <w:t>0</w:t>
            </w:r>
          </w:p>
        </w:tc>
        <w:tc>
          <w:tcPr>
            <w:tcW w:type="dxa" w:w="6123"/>
            <w:vAlign w:val="center"/>
          </w:tcPr>
          <w:p>
            <w:pPr>
              <w:spacing w:after="0" w:line="276" w:lineRule="auto"/>
            </w:pPr>
            <w:r>
              <w:rPr>
                <w:rFonts w:ascii="Times New Roman" w:hAnsi="Times New Roman" w:eastAsia="Times New Roman"/>
                <w:sz w:val="22"/>
              </w:rPr>
              <w:t>No blocked cases remain in the current baseline</w:t>
            </w:r>
          </w:p>
        </w:tc>
      </w:tr>
    </w:tbl>
    <w:p/>
    <w:p>
      <w:pPr>
        <w:pStyle w:val="Heading3"/>
      </w:pPr>
      <w:r>
        <w:rPr>
          <w:b/>
        </w:rPr>
        <w:t>4.3.3. Defect count by severity</w:t>
      </w:r>
    </w:p>
    <w:p>
      <w:r>
        <w:rPr>
          <w:rFonts w:ascii="Times New Roman" w:hAnsi="Times New Roman" w:eastAsia="Times New Roman"/>
          <w:sz w:val="24"/>
        </w:rPr>
        <w:t>Severity distribution should be interpreted using confirmed defects only, not raw failing test cases. The current confirmed-defect profile shows concentration in high-severity business workflows, especially invoice and product-import related behavior.</w:t>
      </w:r>
    </w:p>
    <w:p>
      <w:pPr>
        <w:jc w:val="center"/>
      </w:pPr>
      <w:r>
        <w:rPr>
          <w:rFonts w:ascii="Times New Roman" w:hAnsi="Times New Roman" w:eastAsia="Times New Roman"/>
          <w:i/>
          <w:sz w:val="22"/>
        </w:rPr>
        <w:t>Table 4.9. Confirmed defect count by severity</w:t>
      </w:r>
    </w:p>
    <w:tbl>
      <w:tblPr>
        <w:tblStyle w:val="TableGrid"/>
        <w:tblW w:type="auto" w:w="0"/>
        <w:jc w:val="center"/>
        <w:tblLook w:firstColumn="1" w:firstRow="1" w:lastColumn="0" w:lastRow="0" w:noHBand="0" w:noVBand="1" w:val="04A0"/>
      </w:tblPr>
      <w:tblGrid>
        <w:gridCol w:w="4680"/>
        <w:gridCol w:w="4680"/>
      </w:tblGrid>
      <w:tr>
        <w:tc>
          <w:tcPr>
            <w:tcW w:type="dxa" w:w="3402"/>
            <w:shd w:fill="D9EAF7"/>
            <w:vAlign w:val="center"/>
          </w:tcPr>
          <w:p>
            <w:pPr>
              <w:spacing w:after="0" w:line="276" w:lineRule="auto"/>
            </w:pPr>
            <w:r>
              <w:rPr>
                <w:rFonts w:ascii="Times New Roman" w:hAnsi="Times New Roman" w:eastAsia="Times New Roman"/>
                <w:sz w:val="22"/>
              </w:rPr>
              <w:t>Severity</w:t>
            </w:r>
          </w:p>
        </w:tc>
        <w:tc>
          <w:tcPr>
            <w:tcW w:type="dxa" w:w="5669"/>
            <w:shd w:fill="D9EAF7"/>
            <w:vAlign w:val="center"/>
          </w:tcPr>
          <w:p>
            <w:pPr>
              <w:spacing w:after="0" w:line="276" w:lineRule="auto"/>
            </w:pPr>
            <w:r>
              <w:rPr>
                <w:rFonts w:ascii="Times New Roman" w:hAnsi="Times New Roman" w:eastAsia="Times New Roman"/>
                <w:sz w:val="22"/>
              </w:rPr>
              <w:t>Confirmed defect count</w:t>
            </w:r>
          </w:p>
        </w:tc>
      </w:tr>
      <w:tr>
        <w:tc>
          <w:tcPr>
            <w:tcW w:type="dxa" w:w="3402"/>
            <w:vAlign w:val="center"/>
          </w:tcPr>
          <w:p>
            <w:pPr>
              <w:spacing w:after="0" w:line="276" w:lineRule="auto"/>
            </w:pPr>
            <w:r>
              <w:rPr>
                <w:rFonts w:ascii="Times New Roman" w:hAnsi="Times New Roman" w:eastAsia="Times New Roman"/>
                <w:sz w:val="22"/>
              </w:rPr>
              <w:t>Critical</w:t>
            </w:r>
          </w:p>
        </w:tc>
        <w:tc>
          <w:tcPr>
            <w:tcW w:type="dxa" w:w="5669"/>
            <w:vAlign w:val="center"/>
          </w:tcPr>
          <w:p>
            <w:pPr>
              <w:spacing w:after="0" w:line="276" w:lineRule="auto"/>
            </w:pPr>
            <w:r>
              <w:rPr>
                <w:rFonts w:ascii="Times New Roman" w:hAnsi="Times New Roman" w:eastAsia="Times New Roman"/>
                <w:sz w:val="22"/>
              </w:rPr>
              <w:t>0</w:t>
            </w:r>
          </w:p>
        </w:tc>
      </w:tr>
      <w:tr>
        <w:tc>
          <w:tcPr>
            <w:tcW w:type="dxa" w:w="3402"/>
            <w:vAlign w:val="center"/>
          </w:tcPr>
          <w:p>
            <w:pPr>
              <w:spacing w:after="0" w:line="276" w:lineRule="auto"/>
            </w:pPr>
            <w:r>
              <w:rPr>
                <w:rFonts w:ascii="Times New Roman" w:hAnsi="Times New Roman" w:eastAsia="Times New Roman"/>
                <w:sz w:val="22"/>
              </w:rPr>
              <w:t>High</w:t>
            </w:r>
          </w:p>
        </w:tc>
        <w:tc>
          <w:tcPr>
            <w:tcW w:type="dxa" w:w="5669"/>
            <w:vAlign w:val="center"/>
          </w:tcPr>
          <w:p>
            <w:pPr>
              <w:spacing w:after="0" w:line="276" w:lineRule="auto"/>
            </w:pPr>
            <w:r>
              <w:rPr>
                <w:rFonts w:ascii="Times New Roman" w:hAnsi="Times New Roman" w:eastAsia="Times New Roman"/>
                <w:sz w:val="22"/>
              </w:rPr>
              <w:t>3</w:t>
            </w:r>
          </w:p>
        </w:tc>
      </w:tr>
      <w:tr>
        <w:tc>
          <w:tcPr>
            <w:tcW w:type="dxa" w:w="3402"/>
            <w:vAlign w:val="center"/>
          </w:tcPr>
          <w:p>
            <w:pPr>
              <w:spacing w:after="0" w:line="276" w:lineRule="auto"/>
            </w:pPr>
            <w:r>
              <w:rPr>
                <w:rFonts w:ascii="Times New Roman" w:hAnsi="Times New Roman" w:eastAsia="Times New Roman"/>
                <w:sz w:val="22"/>
              </w:rPr>
              <w:t>Medium</w:t>
            </w:r>
          </w:p>
        </w:tc>
        <w:tc>
          <w:tcPr>
            <w:tcW w:type="dxa" w:w="5669"/>
            <w:vAlign w:val="center"/>
          </w:tcPr>
          <w:p>
            <w:pPr>
              <w:spacing w:after="0" w:line="276" w:lineRule="auto"/>
            </w:pPr>
            <w:r>
              <w:rPr>
                <w:rFonts w:ascii="Times New Roman" w:hAnsi="Times New Roman" w:eastAsia="Times New Roman"/>
                <w:sz w:val="22"/>
              </w:rPr>
              <w:t>1</w:t>
            </w:r>
          </w:p>
        </w:tc>
      </w:tr>
      <w:tr>
        <w:tc>
          <w:tcPr>
            <w:tcW w:type="dxa" w:w="3402"/>
            <w:vAlign w:val="center"/>
          </w:tcPr>
          <w:p>
            <w:pPr>
              <w:spacing w:after="0" w:line="276" w:lineRule="auto"/>
            </w:pPr>
            <w:r>
              <w:rPr>
                <w:rFonts w:ascii="Times New Roman" w:hAnsi="Times New Roman" w:eastAsia="Times New Roman"/>
                <w:sz w:val="22"/>
              </w:rPr>
              <w:t>Low</w:t>
            </w:r>
          </w:p>
        </w:tc>
        <w:tc>
          <w:tcPr>
            <w:tcW w:type="dxa" w:w="5669"/>
            <w:vAlign w:val="center"/>
          </w:tcPr>
          <w:p>
            <w:pPr>
              <w:spacing w:after="0" w:line="276" w:lineRule="auto"/>
            </w:pPr>
            <w:r>
              <w:rPr>
                <w:rFonts w:ascii="Times New Roman" w:hAnsi="Times New Roman" w:eastAsia="Times New Roman"/>
                <w:sz w:val="22"/>
              </w:rPr>
              <w:t>0</w:t>
            </w:r>
          </w:p>
        </w:tc>
      </w:tr>
    </w:tbl>
    <w:p/>
    <w:p>
      <w:pPr>
        <w:pStyle w:val="Heading3"/>
      </w:pPr>
      <w:r>
        <w:rPr>
          <w:b/>
        </w:rPr>
        <w:t>4.3.4. Defect ratio and observations</w:t>
      </w:r>
    </w:p>
    <w:p>
      <w:r>
        <w:rPr>
          <w:rFonts w:ascii="Times New Roman" w:hAnsi="Times New Roman" w:eastAsia="Times New Roman"/>
          <w:sz w:val="24"/>
        </w:rPr>
        <w:t>The confirmed-defect ratio in the current baseline is 6.35%, calculated as 4 confirmed defects out of 63 executed test cases. This ratio is lower than the fail-case rate of 11.11% because several failing test cases map to the same underlying defect record. This distinction is important for accurate quality reporting.</w:t>
      </w:r>
    </w:p>
    <w:p>
      <w:r>
        <w:rPr>
          <w:rFonts w:ascii="Times New Roman" w:hAnsi="Times New Roman" w:eastAsia="Times New Roman"/>
          <w:sz w:val="24"/>
        </w:rPr>
        <w:t>In addition to the confirmed defects, the defect register also records 2 observations that were closed after rerun analysis. These records remain useful because they show that the team did not automatically classify every unexpected behavior as a product defect. Instead, each mismatch was reviewed and reclassified based on reproducible evidence.</w:t>
      </w:r>
    </w:p>
    <w:p>
      <w:pPr>
        <w:jc w:val="center"/>
      </w:pPr>
      <w:r>
        <w:rPr>
          <w:rFonts w:ascii="Times New Roman" w:hAnsi="Times New Roman" w:eastAsia="Times New Roman"/>
          <w:i/>
          <w:sz w:val="22"/>
        </w:rPr>
        <w:t>Table 4.10. Defect ratio and observations</w:t>
      </w:r>
    </w:p>
    <w:tbl>
      <w:tblPr>
        <w:tblStyle w:val="TableGrid"/>
        <w:tblW w:type="auto" w:w="0"/>
        <w:jc w:val="center"/>
        <w:tblLook w:firstColumn="1" w:firstRow="1" w:lastColumn="0" w:lastRow="0" w:noHBand="0" w:noVBand="1" w:val="04A0"/>
      </w:tblPr>
      <w:tblGrid>
        <w:gridCol w:w="3120"/>
        <w:gridCol w:w="3120"/>
        <w:gridCol w:w="3120"/>
      </w:tblGrid>
      <w:tr>
        <w:tc>
          <w:tcPr>
            <w:tcW w:type="dxa" w:w="2551"/>
            <w:shd w:fill="D9EAF7"/>
            <w:vAlign w:val="center"/>
          </w:tcPr>
          <w:p>
            <w:pPr>
              <w:spacing w:after="0" w:line="276" w:lineRule="auto"/>
            </w:pPr>
            <w:r>
              <w:rPr>
                <w:rFonts w:ascii="Times New Roman" w:hAnsi="Times New Roman" w:eastAsia="Times New Roman"/>
                <w:sz w:val="22"/>
              </w:rPr>
              <w:t>Metric</w:t>
            </w:r>
          </w:p>
        </w:tc>
        <w:tc>
          <w:tcPr>
            <w:tcW w:type="dxa" w:w="1417"/>
            <w:shd w:fill="D9EAF7"/>
            <w:vAlign w:val="center"/>
          </w:tcPr>
          <w:p>
            <w:pPr>
              <w:spacing w:after="0" w:line="276" w:lineRule="auto"/>
            </w:pPr>
            <w:r>
              <w:rPr>
                <w:rFonts w:ascii="Times New Roman" w:hAnsi="Times New Roman" w:eastAsia="Times New Roman"/>
                <w:sz w:val="22"/>
              </w:rPr>
              <w:t>Value</w:t>
            </w:r>
          </w:p>
        </w:tc>
        <w:tc>
          <w:tcPr>
            <w:tcW w:type="dxa" w:w="5102"/>
            <w:shd w:fill="D9EAF7"/>
            <w:vAlign w:val="center"/>
          </w:tcPr>
          <w:p>
            <w:pPr>
              <w:spacing w:after="0" w:line="276" w:lineRule="auto"/>
            </w:pPr>
            <w:r>
              <w:rPr>
                <w:rFonts w:ascii="Times New Roman" w:hAnsi="Times New Roman" w:eastAsia="Times New Roman"/>
                <w:sz w:val="22"/>
              </w:rPr>
              <w:t>Note</w:t>
            </w:r>
          </w:p>
        </w:tc>
      </w:tr>
      <w:tr>
        <w:tc>
          <w:tcPr>
            <w:tcW w:type="dxa" w:w="2551"/>
            <w:vAlign w:val="center"/>
          </w:tcPr>
          <w:p>
            <w:pPr>
              <w:spacing w:after="0" w:line="276" w:lineRule="auto"/>
            </w:pPr>
            <w:r>
              <w:rPr>
                <w:rFonts w:ascii="Times New Roman" w:hAnsi="Times New Roman" w:eastAsia="Times New Roman"/>
                <w:sz w:val="22"/>
              </w:rPr>
              <w:t>Confirmed defects</w:t>
            </w:r>
          </w:p>
        </w:tc>
        <w:tc>
          <w:tcPr>
            <w:tcW w:type="dxa" w:w="1417"/>
            <w:vAlign w:val="center"/>
          </w:tcPr>
          <w:p>
            <w:pPr>
              <w:spacing w:after="0" w:line="276" w:lineRule="auto"/>
            </w:pPr>
            <w:r>
              <w:rPr>
                <w:rFonts w:ascii="Times New Roman" w:hAnsi="Times New Roman" w:eastAsia="Times New Roman"/>
                <w:sz w:val="22"/>
              </w:rPr>
              <w:t>4</w:t>
            </w:r>
          </w:p>
        </w:tc>
        <w:tc>
          <w:tcPr>
            <w:tcW w:type="dxa" w:w="5102"/>
            <w:vAlign w:val="center"/>
          </w:tcPr>
          <w:p>
            <w:pPr>
              <w:spacing w:after="0" w:line="276" w:lineRule="auto"/>
            </w:pPr>
            <w:r>
              <w:rPr>
                <w:rFonts w:ascii="Times New Roman" w:hAnsi="Times New Roman" w:eastAsia="Times New Roman"/>
                <w:sz w:val="22"/>
              </w:rPr>
              <w:t>Unique product defects currently open</w:t>
            </w:r>
          </w:p>
        </w:tc>
      </w:tr>
      <w:tr>
        <w:tc>
          <w:tcPr>
            <w:tcW w:type="dxa" w:w="2551"/>
            <w:vAlign w:val="center"/>
          </w:tcPr>
          <w:p>
            <w:pPr>
              <w:spacing w:after="0" w:line="276" w:lineRule="auto"/>
            </w:pPr>
            <w:r>
              <w:rPr>
                <w:rFonts w:ascii="Times New Roman" w:hAnsi="Times New Roman" w:eastAsia="Times New Roman"/>
                <w:sz w:val="22"/>
              </w:rPr>
              <w:t>Failing test cases</w:t>
            </w:r>
          </w:p>
        </w:tc>
        <w:tc>
          <w:tcPr>
            <w:tcW w:type="dxa" w:w="1417"/>
            <w:vAlign w:val="center"/>
          </w:tcPr>
          <w:p>
            <w:pPr>
              <w:spacing w:after="0" w:line="276" w:lineRule="auto"/>
            </w:pPr>
            <w:r>
              <w:rPr>
                <w:rFonts w:ascii="Times New Roman" w:hAnsi="Times New Roman" w:eastAsia="Times New Roman"/>
                <w:sz w:val="22"/>
              </w:rPr>
              <w:t>7</w:t>
            </w:r>
          </w:p>
        </w:tc>
        <w:tc>
          <w:tcPr>
            <w:tcW w:type="dxa" w:w="5102"/>
            <w:vAlign w:val="center"/>
          </w:tcPr>
          <w:p>
            <w:pPr>
              <w:spacing w:after="0" w:line="276" w:lineRule="auto"/>
            </w:pPr>
            <w:r>
              <w:rPr>
                <w:rFonts w:ascii="Times New Roman" w:hAnsi="Times New Roman" w:eastAsia="Times New Roman"/>
                <w:sz w:val="22"/>
              </w:rPr>
              <w:t>Some failures share the same root cause</w:t>
            </w:r>
          </w:p>
        </w:tc>
      </w:tr>
      <w:tr>
        <w:tc>
          <w:tcPr>
            <w:tcW w:type="dxa" w:w="2551"/>
            <w:vAlign w:val="center"/>
          </w:tcPr>
          <w:p>
            <w:pPr>
              <w:spacing w:after="0" w:line="276" w:lineRule="auto"/>
            </w:pPr>
            <w:r>
              <w:rPr>
                <w:rFonts w:ascii="Times New Roman" w:hAnsi="Times New Roman" w:eastAsia="Times New Roman"/>
                <w:sz w:val="22"/>
              </w:rPr>
              <w:t>Defect ratio</w:t>
            </w:r>
          </w:p>
        </w:tc>
        <w:tc>
          <w:tcPr>
            <w:tcW w:type="dxa" w:w="1417"/>
            <w:vAlign w:val="center"/>
          </w:tcPr>
          <w:p>
            <w:pPr>
              <w:spacing w:after="0" w:line="276" w:lineRule="auto"/>
            </w:pPr>
            <w:r>
              <w:rPr>
                <w:rFonts w:ascii="Times New Roman" w:hAnsi="Times New Roman" w:eastAsia="Times New Roman"/>
                <w:sz w:val="22"/>
              </w:rPr>
              <w:t>6.35%</w:t>
            </w:r>
          </w:p>
        </w:tc>
        <w:tc>
          <w:tcPr>
            <w:tcW w:type="dxa" w:w="5102"/>
            <w:vAlign w:val="center"/>
          </w:tcPr>
          <w:p>
            <w:pPr>
              <w:spacing w:after="0" w:line="276" w:lineRule="auto"/>
            </w:pPr>
            <w:r>
              <w:rPr>
                <w:rFonts w:ascii="Times New Roman" w:hAnsi="Times New Roman" w:eastAsia="Times New Roman"/>
                <w:sz w:val="22"/>
              </w:rPr>
              <w:t>Confirmed defects / executed test cases</w:t>
            </w:r>
          </w:p>
        </w:tc>
      </w:tr>
      <w:tr>
        <w:tc>
          <w:tcPr>
            <w:tcW w:type="dxa" w:w="2551"/>
            <w:vAlign w:val="center"/>
          </w:tcPr>
          <w:p>
            <w:pPr>
              <w:spacing w:after="0" w:line="276" w:lineRule="auto"/>
            </w:pPr>
            <w:r>
              <w:rPr>
                <w:rFonts w:ascii="Times New Roman" w:hAnsi="Times New Roman" w:eastAsia="Times New Roman"/>
                <w:sz w:val="22"/>
              </w:rPr>
              <w:t>Fail-case rate</w:t>
            </w:r>
          </w:p>
        </w:tc>
        <w:tc>
          <w:tcPr>
            <w:tcW w:type="dxa" w:w="1417"/>
            <w:vAlign w:val="center"/>
          </w:tcPr>
          <w:p>
            <w:pPr>
              <w:spacing w:after="0" w:line="276" w:lineRule="auto"/>
            </w:pPr>
            <w:r>
              <w:rPr>
                <w:rFonts w:ascii="Times New Roman" w:hAnsi="Times New Roman" w:eastAsia="Times New Roman"/>
                <w:sz w:val="22"/>
              </w:rPr>
              <w:t>11.11%</w:t>
            </w:r>
          </w:p>
        </w:tc>
        <w:tc>
          <w:tcPr>
            <w:tcW w:type="dxa" w:w="5102"/>
            <w:vAlign w:val="center"/>
          </w:tcPr>
          <w:p>
            <w:pPr>
              <w:spacing w:after="0" w:line="276" w:lineRule="auto"/>
            </w:pPr>
            <w:r>
              <w:rPr>
                <w:rFonts w:ascii="Times New Roman" w:hAnsi="Times New Roman" w:eastAsia="Times New Roman"/>
                <w:sz w:val="22"/>
              </w:rPr>
              <w:t>Failing cases / executed test cases</w:t>
            </w:r>
          </w:p>
        </w:tc>
      </w:tr>
      <w:tr>
        <w:tc>
          <w:tcPr>
            <w:tcW w:type="dxa" w:w="2551"/>
            <w:vAlign w:val="center"/>
          </w:tcPr>
          <w:p>
            <w:pPr>
              <w:spacing w:after="0" w:line="276" w:lineRule="auto"/>
            </w:pPr>
            <w:r>
              <w:rPr>
                <w:rFonts w:ascii="Times New Roman" w:hAnsi="Times New Roman" w:eastAsia="Times New Roman"/>
                <w:sz w:val="22"/>
              </w:rPr>
              <w:t>Closed observations</w:t>
            </w:r>
          </w:p>
        </w:tc>
        <w:tc>
          <w:tcPr>
            <w:tcW w:type="dxa" w:w="1417"/>
            <w:vAlign w:val="center"/>
          </w:tcPr>
          <w:p>
            <w:pPr>
              <w:spacing w:after="0" w:line="276" w:lineRule="auto"/>
            </w:pPr>
            <w:r>
              <w:rPr>
                <w:rFonts w:ascii="Times New Roman" w:hAnsi="Times New Roman" w:eastAsia="Times New Roman"/>
                <w:sz w:val="22"/>
              </w:rPr>
              <w:t>2</w:t>
            </w:r>
          </w:p>
        </w:tc>
        <w:tc>
          <w:tcPr>
            <w:tcW w:type="dxa" w:w="5102"/>
            <w:vAlign w:val="center"/>
          </w:tcPr>
          <w:p>
            <w:pPr>
              <w:spacing w:after="0" w:line="276" w:lineRule="auto"/>
            </w:pPr>
            <w:r>
              <w:rPr>
                <w:rFonts w:ascii="Times New Roman" w:hAnsi="Times New Roman" w:eastAsia="Times New Roman"/>
                <w:sz w:val="22"/>
              </w:rPr>
              <w:t>Historical mismatch records resolved by rerun analysis</w:t>
            </w:r>
          </w:p>
        </w:tc>
      </w:tr>
    </w:tbl>
    <w:p/>
    <w:p>
      <w:pPr>
        <w:jc w:val="center"/>
      </w:pPr>
      <w:r>
        <w:drawing>
          <wp:inline xmlns:a="http://schemas.openxmlformats.org/drawingml/2006/main" xmlns:pic="http://schemas.openxmlformats.org/drawingml/2006/picture">
            <wp:extent cx="5303520" cy="3409406"/>
            <wp:docPr id="6" name="Picture 6"/>
            <wp:cNvGraphicFramePr>
              <a:graphicFrameLocks noChangeAspect="1"/>
            </wp:cNvGraphicFramePr>
            <a:graphic>
              <a:graphicData uri="http://schemas.openxmlformats.org/drawingml/2006/picture">
                <pic:pic>
                  <pic:nvPicPr>
                    <pic:cNvPr id="0" name="OSMS-Test-Metrics-Summary.png"/>
                    <pic:cNvPicPr/>
                  </pic:nvPicPr>
                  <pic:blipFill>
                    <a:blip r:embed="rId14"/>
                    <a:stretch>
                      <a:fillRect/>
                    </a:stretch>
                  </pic:blipFill>
                  <pic:spPr>
                    <a:xfrm>
                      <a:off x="0" y="0"/>
                      <a:ext cx="5303520" cy="3409406"/>
                    </a:xfrm>
                    <a:prstGeom prst="rect"/>
                  </pic:spPr>
                </pic:pic>
              </a:graphicData>
            </a:graphic>
          </wp:inline>
        </w:drawing>
      </w:r>
    </w:p>
    <w:p>
      <w:pPr>
        <w:jc w:val="center"/>
      </w:pPr>
      <w:r>
        <w:rPr>
          <w:rFonts w:ascii="Times New Roman" w:hAnsi="Times New Roman" w:eastAsia="Times New Roman"/>
          <w:i/>
          <w:sz w:val="22"/>
        </w:rPr>
        <w:t>Figure 4.6. Metrics summary exported from the synchronized results workbook.</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