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CHAPTER 5. CONCLUSION AND FUTURE WORK</w:t>
      </w:r>
    </w:p>
    <w:p>
      <w:pPr>
        <w:pStyle w:val="Heading2"/>
      </w:pPr>
      <w:r>
        <w:rPr>
          <w:b/>
        </w:rPr>
        <w:t>5.1. Achievements and compliance with requirements</w:t>
      </w:r>
    </w:p>
    <w:p>
      <w:r>
        <w:rPr>
          <w:rFonts w:ascii="Times New Roman" w:hAnsi="Times New Roman" w:eastAsia="Times New Roman"/>
          <w:sz w:val="24"/>
        </w:rPr>
        <w:t>The final submission achieved the main academic and practical goals of the Software Testing project. The team produced a full testing package that includes a structured report, presentation slides, scenario and test-case workbooks, final execution results, metrics, defect records, automation assets, supporting screenshots, runner outputs, and an automation demo video. These artifacts were synchronized so that major claims in the report can be traced back to an execution file, an evidence screenshot, or a live defect record.</w:t>
      </w:r>
    </w:p>
    <w:p>
      <w:r>
        <w:rPr>
          <w:rFonts w:ascii="Times New Roman" w:hAnsi="Times New Roman" w:eastAsia="Times New Roman"/>
          <w:sz w:val="24"/>
        </w:rPr>
        <w:t>From an execution perspective, the project reached a complete recorded baseline with 63/63 executed test cases, 56 passing cases, 7 failing cases, 0 blocked cases, and 0 cases left as Not Run. Scenario coverage also reached 42/42, which means the documented scenario set was fully mapped and executed in the current evidence baseline.</w:t>
      </w:r>
    </w:p>
    <w:p>
      <w:r>
        <w:rPr>
          <w:rFonts w:ascii="Times New Roman" w:hAnsi="Times New Roman" w:eastAsia="Times New Roman"/>
          <w:sz w:val="24"/>
        </w:rPr>
        <w:t>The team also met the mandatory course requirements regarding individual contribution and defect handling. UI test-case ownership remained non-overlapping across members, each member contributed more than ten UI test cases, and confirmed defects were managed through a real GitHub Issues workflow with severity, priority, screenshots, and reproducible steps.</w:t>
      </w:r>
    </w:p>
    <w:p>
      <w:pPr>
        <w:jc w:val="center"/>
      </w:pPr>
      <w:r>
        <w:rPr>
          <w:rFonts w:ascii="Times New Roman" w:hAnsi="Times New Roman" w:eastAsia="Times New Roman"/>
          <w:i/>
          <w:sz w:val="22"/>
        </w:rPr>
        <w:t>Table 5.1. Final requirement compliance summary</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D9EAF7"/>
            <w:vAlign w:val="center"/>
          </w:tcPr>
          <w:p>
            <w:pPr>
              <w:spacing w:after="0" w:line="276" w:lineRule="auto"/>
            </w:pPr>
            <w:r>
              <w:rPr>
                <w:rFonts w:ascii="Times New Roman" w:hAnsi="Times New Roman" w:eastAsia="Times New Roman"/>
                <w:sz w:val="22"/>
              </w:rPr>
              <w:t>Requirement area</w:t>
            </w:r>
          </w:p>
        </w:tc>
        <w:tc>
          <w:tcPr>
            <w:tcW w:type="dxa" w:w="1928"/>
            <w:shd w:fill="D9EAF7"/>
            <w:vAlign w:val="center"/>
          </w:tcPr>
          <w:p>
            <w:pPr>
              <w:spacing w:after="0" w:line="276" w:lineRule="auto"/>
            </w:pPr>
            <w:r>
              <w:rPr>
                <w:rFonts w:ascii="Times New Roman" w:hAnsi="Times New Roman" w:eastAsia="Times New Roman"/>
                <w:sz w:val="22"/>
              </w:rPr>
              <w:t>Current status</w:t>
            </w:r>
          </w:p>
        </w:tc>
        <w:tc>
          <w:tcPr>
            <w:tcW w:type="dxa" w:w="4876"/>
            <w:shd w:fill="D9EAF7"/>
            <w:vAlign w:val="center"/>
          </w:tcPr>
          <w:p>
            <w:pPr>
              <w:spacing w:after="0" w:line="276" w:lineRule="auto"/>
            </w:pPr>
            <w:r>
              <w:rPr>
                <w:rFonts w:ascii="Times New Roman" w:hAnsi="Times New Roman" w:eastAsia="Times New Roman"/>
                <w:sz w:val="22"/>
              </w:rPr>
              <w:t>Supporting evidence</w:t>
            </w:r>
          </w:p>
        </w:tc>
      </w:tr>
      <w:tr>
        <w:tc>
          <w:tcPr>
            <w:tcW w:type="dxa" w:w="2835"/>
            <w:vAlign w:val="center"/>
          </w:tcPr>
          <w:p>
            <w:pPr>
              <w:spacing w:after="0" w:line="276" w:lineRule="auto"/>
            </w:pPr>
            <w:r>
              <w:rPr>
                <w:rFonts w:ascii="Times New Roman" w:hAnsi="Times New Roman" w:eastAsia="Times New Roman"/>
                <w:sz w:val="22"/>
              </w:rPr>
              <w:t>Group-based final testing project</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Team allocation tables and shared submission package</w:t>
            </w:r>
          </w:p>
        </w:tc>
      </w:tr>
      <w:tr>
        <w:tc>
          <w:tcPr>
            <w:tcW w:type="dxa" w:w="2835"/>
            <w:vAlign w:val="center"/>
          </w:tcPr>
          <w:p>
            <w:pPr>
              <w:spacing w:after="0" w:line="276" w:lineRule="auto"/>
            </w:pPr>
            <w:r>
              <w:rPr>
                <w:rFonts w:ascii="Times New Roman" w:hAnsi="Times New Roman" w:eastAsia="Times New Roman"/>
                <w:sz w:val="22"/>
              </w:rPr>
              <w:t>At least 10 non-overlapping test cases per member</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UI ownership counts: Hoang Van Thien=17, Nguyen Thanh Dat=13, Le Quang Duy=14</w:t>
            </w:r>
          </w:p>
        </w:tc>
      </w:tr>
      <w:tr>
        <w:tc>
          <w:tcPr>
            <w:tcW w:type="dxa" w:w="2835"/>
            <w:vAlign w:val="center"/>
          </w:tcPr>
          <w:p>
            <w:pPr>
              <w:spacing w:after="0" w:line="276" w:lineRule="auto"/>
            </w:pPr>
            <w:r>
              <w:rPr>
                <w:rFonts w:ascii="Times New Roman" w:hAnsi="Times New Roman" w:eastAsia="Times New Roman"/>
                <w:sz w:val="22"/>
              </w:rPr>
              <w:t>Industry-style test case fields</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UI and API Excel/CSV test-case files</w:t>
            </w:r>
          </w:p>
        </w:tc>
      </w:tr>
      <w:tr>
        <w:tc>
          <w:tcPr>
            <w:tcW w:type="dxa" w:w="2835"/>
            <w:vAlign w:val="center"/>
          </w:tcPr>
          <w:p>
            <w:pPr>
              <w:spacing w:after="0" w:line="276" w:lineRule="auto"/>
            </w:pPr>
            <w:r>
              <w:rPr>
                <w:rFonts w:ascii="Times New Roman" w:hAnsi="Times New Roman" w:eastAsia="Times New Roman"/>
                <w:sz w:val="22"/>
              </w:rPr>
              <w:t>Execution evidence</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Screenshots, TRX, TXT, XML, and final result workbook</w:t>
            </w:r>
          </w:p>
        </w:tc>
      </w:tr>
      <w:tr>
        <w:tc>
          <w:tcPr>
            <w:tcW w:type="dxa" w:w="2835"/>
            <w:vAlign w:val="center"/>
          </w:tcPr>
          <w:p>
            <w:pPr>
              <w:spacing w:after="0" w:line="276" w:lineRule="auto"/>
            </w:pPr>
            <w:r>
              <w:rPr>
                <w:rFonts w:ascii="Times New Roman" w:hAnsi="Times New Roman" w:eastAsia="Times New Roman"/>
                <w:sz w:val="22"/>
              </w:rPr>
              <w:t>Real bug-management tool</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4 live GitHub Issues linked from the defect register</w:t>
            </w:r>
          </w:p>
        </w:tc>
      </w:tr>
      <w:tr>
        <w:tc>
          <w:tcPr>
            <w:tcW w:type="dxa" w:w="2835"/>
            <w:vAlign w:val="center"/>
          </w:tcPr>
          <w:p>
            <w:pPr>
              <w:spacing w:after="0" w:line="276" w:lineRule="auto"/>
            </w:pPr>
            <w:r>
              <w:rPr>
                <w:rFonts w:ascii="Times New Roman" w:hAnsi="Times New Roman" w:eastAsia="Times New Roman"/>
                <w:sz w:val="22"/>
              </w:rPr>
              <w:t>Automation bonus support</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Selenium UI runs, Newman outputs, and MP4 demo video</w:t>
            </w:r>
          </w:p>
        </w:tc>
      </w:tr>
      <w:tr>
        <w:tc>
          <w:tcPr>
            <w:tcW w:type="dxa" w:w="2835"/>
            <w:vAlign w:val="center"/>
          </w:tcPr>
          <w:p>
            <w:pPr>
              <w:spacing w:after="0" w:line="276" w:lineRule="auto"/>
            </w:pPr>
            <w:r>
              <w:rPr>
                <w:rFonts w:ascii="Times New Roman" w:hAnsi="Times New Roman" w:eastAsia="Times New Roman"/>
                <w:sz w:val="22"/>
              </w:rPr>
              <w:t>Submission packaging</w:t>
            </w:r>
          </w:p>
        </w:tc>
        <w:tc>
          <w:tcPr>
            <w:tcW w:type="dxa" w:w="1928"/>
            <w:vAlign w:val="center"/>
          </w:tcPr>
          <w:p>
            <w:pPr>
              <w:spacing w:after="0" w:line="276" w:lineRule="auto"/>
            </w:pPr>
            <w:r>
              <w:rPr>
                <w:rFonts w:ascii="Times New Roman" w:hAnsi="Times New Roman" w:eastAsia="Times New Roman"/>
                <w:sz w:val="22"/>
              </w:rPr>
              <w:t>Satisfied</w:t>
            </w:r>
          </w:p>
        </w:tc>
        <w:tc>
          <w:tcPr>
            <w:tcW w:type="dxa" w:w="4876"/>
            <w:vAlign w:val="center"/>
          </w:tcPr>
          <w:p>
            <w:pPr>
              <w:spacing w:after="0" w:line="276" w:lineRule="auto"/>
            </w:pPr>
            <w:r>
              <w:rPr>
                <w:rFonts w:ascii="Times New Roman" w:hAnsi="Times New Roman" w:eastAsia="Times New Roman"/>
                <w:sz w:val="22"/>
              </w:rPr>
              <w:t>MainReport, README.md, TestCases, TestResults, TestScript-Data, Videos</w:t>
            </w:r>
          </w:p>
        </w:tc>
      </w:tr>
    </w:tbl>
    <w:p/>
    <w:p>
      <w:pPr>
        <w:jc w:val="center"/>
      </w:pPr>
      <w:r>
        <w:rPr>
          <w:rFonts w:ascii="Times New Roman" w:hAnsi="Times New Roman" w:eastAsia="Times New Roman"/>
          <w:i/>
          <w:sz w:val="22"/>
        </w:rPr>
        <w:t>Table 5.2. Final delivery baseline</w:t>
      </w:r>
    </w:p>
    <w:tbl>
      <w:tblPr>
        <w:tblStyle w:val="TableGrid"/>
        <w:tblW w:type="auto" w:w="0"/>
        <w:jc w:val="center"/>
        <w:tblLook w:firstColumn="1" w:firstRow="1" w:lastColumn="0" w:lastRow="0" w:noHBand="0" w:noVBand="1" w:val="04A0"/>
      </w:tblPr>
      <w:tblGrid>
        <w:gridCol w:w="3120"/>
        <w:gridCol w:w="3120"/>
        <w:gridCol w:w="3120"/>
      </w:tblGrid>
      <w:tr>
        <w:tc>
          <w:tcPr>
            <w:tcW w:type="dxa" w:w="2438"/>
            <w:shd w:fill="D9EAF7"/>
            <w:vAlign w:val="center"/>
          </w:tcPr>
          <w:p>
            <w:pPr>
              <w:spacing w:after="0" w:line="276" w:lineRule="auto"/>
            </w:pPr>
            <w:r>
              <w:rPr>
                <w:rFonts w:ascii="Times New Roman" w:hAnsi="Times New Roman" w:eastAsia="Times New Roman"/>
                <w:sz w:val="22"/>
              </w:rPr>
              <w:t>Measure</w:t>
            </w:r>
          </w:p>
        </w:tc>
        <w:tc>
          <w:tcPr>
            <w:tcW w:type="dxa" w:w="1701"/>
            <w:shd w:fill="D9EAF7"/>
            <w:vAlign w:val="center"/>
          </w:tcPr>
          <w:p>
            <w:pPr>
              <w:spacing w:after="0" w:line="276" w:lineRule="auto"/>
            </w:pPr>
            <w:r>
              <w:rPr>
                <w:rFonts w:ascii="Times New Roman" w:hAnsi="Times New Roman" w:eastAsia="Times New Roman"/>
                <w:sz w:val="22"/>
              </w:rPr>
              <w:t>Value</w:t>
            </w:r>
          </w:p>
        </w:tc>
        <w:tc>
          <w:tcPr>
            <w:tcW w:type="dxa" w:w="5499"/>
            <w:shd w:fill="D9EAF7"/>
            <w:vAlign w:val="center"/>
          </w:tcPr>
          <w:p>
            <w:pPr>
              <w:spacing w:after="0" w:line="276" w:lineRule="auto"/>
            </w:pPr>
            <w:r>
              <w:rPr>
                <w:rFonts w:ascii="Times New Roman" w:hAnsi="Times New Roman" w:eastAsia="Times New Roman"/>
                <w:sz w:val="22"/>
              </w:rPr>
              <w:t>Interpretation</w:t>
            </w:r>
          </w:p>
        </w:tc>
      </w:tr>
      <w:tr>
        <w:tc>
          <w:tcPr>
            <w:tcW w:type="dxa" w:w="2438"/>
            <w:vAlign w:val="center"/>
          </w:tcPr>
          <w:p>
            <w:pPr>
              <w:spacing w:after="0" w:line="276" w:lineRule="auto"/>
            </w:pPr>
            <w:r>
              <w:rPr>
                <w:rFonts w:ascii="Times New Roman" w:hAnsi="Times New Roman" w:eastAsia="Times New Roman"/>
                <w:sz w:val="22"/>
              </w:rPr>
              <w:t>Total test cases</w:t>
            </w:r>
          </w:p>
        </w:tc>
        <w:tc>
          <w:tcPr>
            <w:tcW w:type="dxa" w:w="1701"/>
            <w:vAlign w:val="center"/>
          </w:tcPr>
          <w:p>
            <w:pPr>
              <w:spacing w:after="0" w:line="276" w:lineRule="auto"/>
            </w:pPr>
            <w:r>
              <w:rPr>
                <w:rFonts w:ascii="Times New Roman" w:hAnsi="Times New Roman" w:eastAsia="Times New Roman"/>
                <w:sz w:val="22"/>
              </w:rPr>
              <w:t>63</w:t>
            </w:r>
          </w:p>
        </w:tc>
        <w:tc>
          <w:tcPr>
            <w:tcW w:type="dxa" w:w="5499"/>
            <w:vAlign w:val="center"/>
          </w:tcPr>
          <w:p>
            <w:pPr>
              <w:spacing w:after="0" w:line="276" w:lineRule="auto"/>
            </w:pPr>
            <w:r>
              <w:rPr>
                <w:rFonts w:ascii="Times New Roman" w:hAnsi="Times New Roman" w:eastAsia="Times New Roman"/>
                <w:sz w:val="22"/>
              </w:rPr>
              <w:t>Combined UI and API baseline</w:t>
            </w:r>
          </w:p>
        </w:tc>
      </w:tr>
      <w:tr>
        <w:tc>
          <w:tcPr>
            <w:tcW w:type="dxa" w:w="2438"/>
            <w:vAlign w:val="center"/>
          </w:tcPr>
          <w:p>
            <w:pPr>
              <w:spacing w:after="0" w:line="276" w:lineRule="auto"/>
            </w:pPr>
            <w:r>
              <w:rPr>
                <w:rFonts w:ascii="Times New Roman" w:hAnsi="Times New Roman" w:eastAsia="Times New Roman"/>
                <w:sz w:val="22"/>
              </w:rPr>
              <w:t>Executed test cases</w:t>
            </w:r>
          </w:p>
        </w:tc>
        <w:tc>
          <w:tcPr>
            <w:tcW w:type="dxa" w:w="1701"/>
            <w:vAlign w:val="center"/>
          </w:tcPr>
          <w:p>
            <w:pPr>
              <w:spacing w:after="0" w:line="276" w:lineRule="auto"/>
            </w:pPr>
            <w:r>
              <w:rPr>
                <w:rFonts w:ascii="Times New Roman" w:hAnsi="Times New Roman" w:eastAsia="Times New Roman"/>
                <w:sz w:val="22"/>
              </w:rPr>
              <w:t>63</w:t>
            </w:r>
          </w:p>
        </w:tc>
        <w:tc>
          <w:tcPr>
            <w:tcW w:type="dxa" w:w="5499"/>
            <w:vAlign w:val="center"/>
          </w:tcPr>
          <w:p>
            <w:pPr>
              <w:spacing w:after="0" w:line="276" w:lineRule="auto"/>
            </w:pPr>
            <w:r>
              <w:rPr>
                <w:rFonts w:ascii="Times New Roman" w:hAnsi="Times New Roman" w:eastAsia="Times New Roman"/>
                <w:sz w:val="22"/>
              </w:rPr>
              <w:t>Execution progress 100%</w:t>
            </w:r>
          </w:p>
        </w:tc>
      </w:tr>
      <w:tr>
        <w:tc>
          <w:tcPr>
            <w:tcW w:type="dxa" w:w="2438"/>
            <w:vAlign w:val="center"/>
          </w:tcPr>
          <w:p>
            <w:pPr>
              <w:spacing w:after="0" w:line="276" w:lineRule="auto"/>
            </w:pPr>
            <w:r>
              <w:rPr>
                <w:rFonts w:ascii="Times New Roman" w:hAnsi="Times New Roman" w:eastAsia="Times New Roman"/>
                <w:sz w:val="22"/>
              </w:rPr>
              <w:t>Pass / Fail / Blocked</w:t>
            </w:r>
          </w:p>
        </w:tc>
        <w:tc>
          <w:tcPr>
            <w:tcW w:type="dxa" w:w="1701"/>
            <w:vAlign w:val="center"/>
          </w:tcPr>
          <w:p>
            <w:pPr>
              <w:spacing w:after="0" w:line="276" w:lineRule="auto"/>
            </w:pPr>
            <w:r>
              <w:rPr>
                <w:rFonts w:ascii="Times New Roman" w:hAnsi="Times New Roman" w:eastAsia="Times New Roman"/>
                <w:sz w:val="22"/>
              </w:rPr>
              <w:t>56 / 7 / 0</w:t>
            </w:r>
          </w:p>
        </w:tc>
        <w:tc>
          <w:tcPr>
            <w:tcW w:type="dxa" w:w="5499"/>
            <w:vAlign w:val="center"/>
          </w:tcPr>
          <w:p>
            <w:pPr>
              <w:spacing w:after="0" w:line="276" w:lineRule="auto"/>
            </w:pPr>
            <w:r>
              <w:rPr>
                <w:rFonts w:ascii="Times New Roman" w:hAnsi="Times New Roman" w:eastAsia="Times New Roman"/>
                <w:sz w:val="22"/>
              </w:rPr>
              <w:t>Pass rate 88.89%, fail rate 11.11%</w:t>
            </w:r>
          </w:p>
        </w:tc>
      </w:tr>
      <w:tr>
        <w:tc>
          <w:tcPr>
            <w:tcW w:type="dxa" w:w="2438"/>
            <w:vAlign w:val="center"/>
          </w:tcPr>
          <w:p>
            <w:pPr>
              <w:spacing w:after="0" w:line="276" w:lineRule="auto"/>
            </w:pPr>
            <w:r>
              <w:rPr>
                <w:rFonts w:ascii="Times New Roman" w:hAnsi="Times New Roman" w:eastAsia="Times New Roman"/>
                <w:sz w:val="22"/>
              </w:rPr>
              <w:t>Scenario mapping</w:t>
            </w:r>
          </w:p>
        </w:tc>
        <w:tc>
          <w:tcPr>
            <w:tcW w:type="dxa" w:w="1701"/>
            <w:vAlign w:val="center"/>
          </w:tcPr>
          <w:p>
            <w:pPr>
              <w:spacing w:after="0" w:line="276" w:lineRule="auto"/>
            </w:pPr>
            <w:r>
              <w:rPr>
                <w:rFonts w:ascii="Times New Roman" w:hAnsi="Times New Roman" w:eastAsia="Times New Roman"/>
                <w:sz w:val="22"/>
              </w:rPr>
              <w:t>42/42</w:t>
            </w:r>
          </w:p>
        </w:tc>
        <w:tc>
          <w:tcPr>
            <w:tcW w:type="dxa" w:w="5499"/>
            <w:vAlign w:val="center"/>
          </w:tcPr>
          <w:p>
            <w:pPr>
              <w:spacing w:after="0" w:line="276" w:lineRule="auto"/>
            </w:pPr>
            <w:r>
              <w:rPr>
                <w:rFonts w:ascii="Times New Roman" w:hAnsi="Times New Roman" w:eastAsia="Times New Roman"/>
                <w:sz w:val="22"/>
              </w:rPr>
              <w:t>All documented scenarios mapped to test cases</w:t>
            </w:r>
          </w:p>
        </w:tc>
      </w:tr>
      <w:tr>
        <w:tc>
          <w:tcPr>
            <w:tcW w:type="dxa" w:w="2438"/>
            <w:vAlign w:val="center"/>
          </w:tcPr>
          <w:p>
            <w:pPr>
              <w:spacing w:after="0" w:line="276" w:lineRule="auto"/>
            </w:pPr>
            <w:r>
              <w:rPr>
                <w:rFonts w:ascii="Times New Roman" w:hAnsi="Times New Roman" w:eastAsia="Times New Roman"/>
                <w:sz w:val="22"/>
              </w:rPr>
              <w:t>Executed scenarios</w:t>
            </w:r>
          </w:p>
        </w:tc>
        <w:tc>
          <w:tcPr>
            <w:tcW w:type="dxa" w:w="1701"/>
            <w:vAlign w:val="center"/>
          </w:tcPr>
          <w:p>
            <w:pPr>
              <w:spacing w:after="0" w:line="276" w:lineRule="auto"/>
            </w:pPr>
            <w:r>
              <w:rPr>
                <w:rFonts w:ascii="Times New Roman" w:hAnsi="Times New Roman" w:eastAsia="Times New Roman"/>
                <w:sz w:val="22"/>
              </w:rPr>
              <w:t>42/42</w:t>
            </w:r>
          </w:p>
        </w:tc>
        <w:tc>
          <w:tcPr>
            <w:tcW w:type="dxa" w:w="5499"/>
            <w:vAlign w:val="center"/>
          </w:tcPr>
          <w:p>
            <w:pPr>
              <w:spacing w:after="0" w:line="276" w:lineRule="auto"/>
            </w:pPr>
            <w:r>
              <w:rPr>
                <w:rFonts w:ascii="Times New Roman" w:hAnsi="Times New Roman" w:eastAsia="Times New Roman"/>
                <w:sz w:val="22"/>
              </w:rPr>
              <w:t>Scenario execution coverage 100%</w:t>
            </w:r>
          </w:p>
        </w:tc>
      </w:tr>
      <w:tr>
        <w:tc>
          <w:tcPr>
            <w:tcW w:type="dxa" w:w="2438"/>
            <w:vAlign w:val="center"/>
          </w:tcPr>
          <w:p>
            <w:pPr>
              <w:spacing w:after="0" w:line="276" w:lineRule="auto"/>
            </w:pPr>
            <w:r>
              <w:rPr>
                <w:rFonts w:ascii="Times New Roman" w:hAnsi="Times New Roman" w:eastAsia="Times New Roman"/>
                <w:sz w:val="22"/>
              </w:rPr>
              <w:t>Confirmed defects</w:t>
            </w:r>
          </w:p>
        </w:tc>
        <w:tc>
          <w:tcPr>
            <w:tcW w:type="dxa" w:w="1701"/>
            <w:vAlign w:val="center"/>
          </w:tcPr>
          <w:p>
            <w:pPr>
              <w:spacing w:after="0" w:line="276" w:lineRule="auto"/>
            </w:pPr>
            <w:r>
              <w:rPr>
                <w:rFonts w:ascii="Times New Roman" w:hAnsi="Times New Roman" w:eastAsia="Times New Roman"/>
                <w:sz w:val="22"/>
              </w:rPr>
              <w:t>4</w:t>
            </w:r>
          </w:p>
        </w:tc>
        <w:tc>
          <w:tcPr>
            <w:tcW w:type="dxa" w:w="5499"/>
            <w:vAlign w:val="center"/>
          </w:tcPr>
          <w:p>
            <w:pPr>
              <w:spacing w:after="0" w:line="276" w:lineRule="auto"/>
            </w:pPr>
            <w:r>
              <w:rPr>
                <w:rFonts w:ascii="Times New Roman" w:hAnsi="Times New Roman" w:eastAsia="Times New Roman"/>
                <w:sz w:val="22"/>
              </w:rPr>
              <w:t>Backed by GitHub Issues and screenshots</w:t>
            </w:r>
          </w:p>
        </w:tc>
      </w:tr>
    </w:tbl>
    <w:p/>
    <w:p>
      <w:pPr>
        <w:jc w:val="center"/>
      </w:pPr>
      <w:r>
        <w:drawing>
          <wp:inline xmlns:a="http://schemas.openxmlformats.org/drawingml/2006/main" xmlns:pic="http://schemas.openxmlformats.org/drawingml/2006/picture">
            <wp:extent cx="5394960" cy="3468189"/>
            <wp:docPr id="1" name="Picture 1"/>
            <wp:cNvGraphicFramePr>
              <a:graphicFrameLocks noChangeAspect="1"/>
            </wp:cNvGraphicFramePr>
            <a:graphic>
              <a:graphicData uri="http://schemas.openxmlformats.org/drawingml/2006/picture">
                <pic:pic>
                  <pic:nvPicPr>
                    <pic:cNvPr id="0" name="OSMS-Test-Metrics-Summary.png"/>
                    <pic:cNvPicPr/>
                  </pic:nvPicPr>
                  <pic:blipFill>
                    <a:blip r:embed="rId9"/>
                    <a:stretch>
                      <a:fillRect/>
                    </a:stretch>
                  </pic:blipFill>
                  <pic:spPr>
                    <a:xfrm>
                      <a:off x="0" y="0"/>
                      <a:ext cx="5394960" cy="3468189"/>
                    </a:xfrm>
                    <a:prstGeom prst="rect"/>
                  </pic:spPr>
                </pic:pic>
              </a:graphicData>
            </a:graphic>
          </wp:inline>
        </w:drawing>
      </w:r>
    </w:p>
    <w:p>
      <w:pPr>
        <w:jc w:val="center"/>
      </w:pPr>
      <w:r>
        <w:rPr>
          <w:rFonts w:ascii="Times New Roman" w:hAnsi="Times New Roman" w:eastAsia="Times New Roman"/>
          <w:i/>
          <w:sz w:val="22"/>
        </w:rPr>
        <w:t>Figure 5.1. Final execution and metrics summary used to support the conclusion of the testing project.</w:t>
      </w:r>
    </w:p>
    <w:p/>
    <w:p>
      <w:pPr>
        <w:pStyle w:val="Heading2"/>
      </w:pPr>
      <w:r>
        <w:rPr>
          <w:b/>
        </w:rPr>
        <w:t>5.2. Challenges and limitations</w:t>
      </w:r>
    </w:p>
    <w:p>
      <w:r>
        <w:rPr>
          <w:rFonts w:ascii="Times New Roman" w:hAnsi="Times New Roman" w:eastAsia="Times New Roman"/>
          <w:sz w:val="24"/>
        </w:rPr>
        <w:t>Although the submission achieved full execution coverage for the documented test-case baseline, several limitations remain. These limitations do not invalidate the test results, but they explain why the current package should be described as a strong and evidence-backed submission rather than as proof that the product is defect-free.</w:t>
      </w:r>
    </w:p>
    <w:p>
      <w:pPr>
        <w:ind w:left="357" w:hanging="170"/>
      </w:pPr>
      <w:r>
        <w:rPr>
          <w:rFonts w:ascii="Times New Roman" w:hAnsi="Times New Roman" w:eastAsia="Times New Roman"/>
          <w:sz w:val="24"/>
        </w:rPr>
        <w:t>- 4 confirmed defects remain open at the reporting point, including 3 high-severity defects and 1 medium-severity defects.</w:t>
      </w:r>
    </w:p>
    <w:p>
      <w:pPr>
        <w:ind w:left="357" w:hanging="170"/>
      </w:pPr>
      <w:r>
        <w:rPr>
          <w:rFonts w:ascii="Times New Roman" w:hAnsi="Times New Roman" w:eastAsia="Times New Roman"/>
          <w:sz w:val="24"/>
        </w:rPr>
        <w:t>- The project captured defect discovery and live issue tracking, but post-fix retest evidence is still unavailable because the underlying product defects were not fixed within the current cycle.</w:t>
      </w:r>
    </w:p>
    <w:p>
      <w:pPr>
        <w:ind w:left="357" w:hanging="170"/>
      </w:pPr>
      <w:r>
        <w:rPr>
          <w:rFonts w:ascii="Times New Roman" w:hAnsi="Times New Roman" w:eastAsia="Times New Roman"/>
          <w:sz w:val="24"/>
        </w:rPr>
        <w:t>- Cross-browser evidence exists only at a basic smoke level on Microsoft Edge; it is not a full compatibility certification matrix.</w:t>
      </w:r>
    </w:p>
    <w:p>
      <w:pPr>
        <w:ind w:left="357" w:hanging="170"/>
      </w:pPr>
      <w:r>
        <w:rPr>
          <w:rFonts w:ascii="Times New Roman" w:hAnsi="Times New Roman" w:eastAsia="Times New Roman"/>
          <w:sz w:val="24"/>
        </w:rPr>
        <w:t>- The environment is a controlled local execution baseline rather than a production-like staging environment.</w:t>
      </w:r>
    </w:p>
    <w:p>
      <w:pPr>
        <w:ind w:left="357" w:hanging="170"/>
      </w:pPr>
      <w:r>
        <w:rPr>
          <w:rFonts w:ascii="Times New Roman" w:hAnsi="Times New Roman" w:eastAsia="Times New Roman"/>
          <w:sz w:val="24"/>
        </w:rPr>
        <w:t>- Non-functional areas such as load, penetration, accessibility, and recovery testing were intentionally excluded from scope.</w:t>
      </w:r>
    </w:p>
    <w:p>
      <w:r>
        <w:rPr>
          <w:rFonts w:ascii="Times New Roman" w:hAnsi="Times New Roman" w:eastAsia="Times New Roman"/>
          <w:sz w:val="24"/>
        </w:rPr>
        <w:t>The most important practical limitation is that the defect lifecycle is not fully closed. The team successfully identified, documented, and classified defects, but closure-level verification still depends on future product fixes followed by a controlled retest cycle.</w:t>
      </w:r>
    </w:p>
    <w:p>
      <w:pPr>
        <w:jc w:val="center"/>
      </w:pPr>
      <w:r>
        <w:rPr>
          <w:rFonts w:ascii="Times New Roman" w:hAnsi="Times New Roman" w:eastAsia="Times New Roman"/>
          <w:i/>
          <w:sz w:val="22"/>
        </w:rPr>
        <w:t>Table 5.3. Current limitations and impact</w:t>
      </w:r>
    </w:p>
    <w:tbl>
      <w:tblPr>
        <w:tblStyle w:val="TableGrid"/>
        <w:tblW w:type="auto" w:w="0"/>
        <w:jc w:val="center"/>
        <w:tblLook w:firstColumn="1" w:firstRow="1" w:lastColumn="0" w:lastRow="0" w:noHBand="0" w:noVBand="1" w:val="04A0"/>
      </w:tblPr>
      <w:tblGrid>
        <w:gridCol w:w="3120"/>
        <w:gridCol w:w="3120"/>
        <w:gridCol w:w="3120"/>
      </w:tblGrid>
      <w:tr>
        <w:tc>
          <w:tcPr>
            <w:tcW w:type="dxa" w:w="2721"/>
            <w:shd w:fill="D9EAF7"/>
            <w:vAlign w:val="center"/>
          </w:tcPr>
          <w:p>
            <w:pPr>
              <w:spacing w:after="0" w:line="276" w:lineRule="auto"/>
            </w:pPr>
            <w:r>
              <w:rPr>
                <w:rFonts w:ascii="Times New Roman" w:hAnsi="Times New Roman" w:eastAsia="Times New Roman"/>
                <w:sz w:val="22"/>
              </w:rPr>
              <w:t>Limitation</w:t>
            </w:r>
          </w:p>
        </w:tc>
        <w:tc>
          <w:tcPr>
            <w:tcW w:type="dxa" w:w="3288"/>
            <w:shd w:fill="D9EAF7"/>
            <w:vAlign w:val="center"/>
          </w:tcPr>
          <w:p>
            <w:pPr>
              <w:spacing w:after="0" w:line="276" w:lineRule="auto"/>
            </w:pPr>
            <w:r>
              <w:rPr>
                <w:rFonts w:ascii="Times New Roman" w:hAnsi="Times New Roman" w:eastAsia="Times New Roman"/>
                <w:sz w:val="22"/>
              </w:rPr>
              <w:t>Current impact</w:t>
            </w:r>
          </w:p>
        </w:tc>
        <w:tc>
          <w:tcPr>
            <w:tcW w:type="dxa" w:w="3628"/>
            <w:shd w:fill="D9EAF7"/>
            <w:vAlign w:val="center"/>
          </w:tcPr>
          <w:p>
            <w:pPr>
              <w:spacing w:after="0" w:line="276" w:lineRule="auto"/>
            </w:pPr>
            <w:r>
              <w:rPr>
                <w:rFonts w:ascii="Times New Roman" w:hAnsi="Times New Roman" w:eastAsia="Times New Roman"/>
                <w:sz w:val="22"/>
              </w:rPr>
              <w:t>Reason it remains open</w:t>
            </w:r>
          </w:p>
        </w:tc>
      </w:tr>
      <w:tr>
        <w:tc>
          <w:tcPr>
            <w:tcW w:type="dxa" w:w="2721"/>
            <w:vAlign w:val="center"/>
          </w:tcPr>
          <w:p>
            <w:pPr>
              <w:spacing w:after="0" w:line="276" w:lineRule="auto"/>
            </w:pPr>
            <w:r>
              <w:rPr>
                <w:rFonts w:ascii="Times New Roman" w:hAnsi="Times New Roman" w:eastAsia="Times New Roman"/>
                <w:sz w:val="22"/>
              </w:rPr>
              <w:t>Open confirmed defects</w:t>
            </w:r>
          </w:p>
        </w:tc>
        <w:tc>
          <w:tcPr>
            <w:tcW w:type="dxa" w:w="3288"/>
            <w:vAlign w:val="center"/>
          </w:tcPr>
          <w:p>
            <w:pPr>
              <w:spacing w:after="0" w:line="276" w:lineRule="auto"/>
            </w:pPr>
            <w:r>
              <w:rPr>
                <w:rFonts w:ascii="Times New Roman" w:hAnsi="Times New Roman" w:eastAsia="Times New Roman"/>
                <w:sz w:val="22"/>
              </w:rPr>
              <w:t>Product cannot be claimed defect-free</w:t>
            </w:r>
          </w:p>
        </w:tc>
        <w:tc>
          <w:tcPr>
            <w:tcW w:type="dxa" w:w="3628"/>
            <w:vAlign w:val="center"/>
          </w:tcPr>
          <w:p>
            <w:pPr>
              <w:spacing w:after="0" w:line="276" w:lineRule="auto"/>
            </w:pPr>
            <w:r>
              <w:rPr>
                <w:rFonts w:ascii="Times New Roman" w:hAnsi="Times New Roman" w:eastAsia="Times New Roman"/>
                <w:sz w:val="22"/>
              </w:rPr>
              <w:t>Fixes were not completed before the final reporting point</w:t>
            </w:r>
          </w:p>
        </w:tc>
      </w:tr>
      <w:tr>
        <w:tc>
          <w:tcPr>
            <w:tcW w:type="dxa" w:w="2721"/>
            <w:vAlign w:val="center"/>
          </w:tcPr>
          <w:p>
            <w:pPr>
              <w:spacing w:after="0" w:line="276" w:lineRule="auto"/>
            </w:pPr>
            <w:r>
              <w:rPr>
                <w:rFonts w:ascii="Times New Roman" w:hAnsi="Times New Roman" w:eastAsia="Times New Roman"/>
                <w:sz w:val="22"/>
              </w:rPr>
              <w:t>No post-fix pass retest</w:t>
            </w:r>
          </w:p>
        </w:tc>
        <w:tc>
          <w:tcPr>
            <w:tcW w:type="dxa" w:w="3288"/>
            <w:vAlign w:val="center"/>
          </w:tcPr>
          <w:p>
            <w:pPr>
              <w:spacing w:after="0" w:line="276" w:lineRule="auto"/>
            </w:pPr>
            <w:r>
              <w:rPr>
                <w:rFonts w:ascii="Times New Roman" w:hAnsi="Times New Roman" w:eastAsia="Times New Roman"/>
                <w:sz w:val="22"/>
              </w:rPr>
              <w:t>Defect lifecycle is not fully closed</w:t>
            </w:r>
          </w:p>
        </w:tc>
        <w:tc>
          <w:tcPr>
            <w:tcW w:type="dxa" w:w="3628"/>
            <w:vAlign w:val="center"/>
          </w:tcPr>
          <w:p>
            <w:pPr>
              <w:spacing w:after="0" w:line="276" w:lineRule="auto"/>
            </w:pPr>
            <w:r>
              <w:rPr>
                <w:rFonts w:ascii="Times New Roman" w:hAnsi="Times New Roman" w:eastAsia="Times New Roman"/>
                <w:sz w:val="22"/>
              </w:rPr>
              <w:t>No new build with verified fixes was available</w:t>
            </w:r>
          </w:p>
        </w:tc>
      </w:tr>
      <w:tr>
        <w:tc>
          <w:tcPr>
            <w:tcW w:type="dxa" w:w="2721"/>
            <w:vAlign w:val="center"/>
          </w:tcPr>
          <w:p>
            <w:pPr>
              <w:spacing w:after="0" w:line="276" w:lineRule="auto"/>
            </w:pPr>
            <w:r>
              <w:rPr>
                <w:rFonts w:ascii="Times New Roman" w:hAnsi="Times New Roman" w:eastAsia="Times New Roman"/>
                <w:sz w:val="22"/>
              </w:rPr>
              <w:t>Limited browser matrix</w:t>
            </w:r>
          </w:p>
        </w:tc>
        <w:tc>
          <w:tcPr>
            <w:tcW w:type="dxa" w:w="3288"/>
            <w:vAlign w:val="center"/>
          </w:tcPr>
          <w:p>
            <w:pPr>
              <w:spacing w:after="0" w:line="276" w:lineRule="auto"/>
            </w:pPr>
            <w:r>
              <w:rPr>
                <w:rFonts w:ascii="Times New Roman" w:hAnsi="Times New Roman" w:eastAsia="Times New Roman"/>
                <w:sz w:val="22"/>
              </w:rPr>
              <w:t>Compatibility claims must remain conservative</w:t>
            </w:r>
          </w:p>
        </w:tc>
        <w:tc>
          <w:tcPr>
            <w:tcW w:type="dxa" w:w="3628"/>
            <w:vAlign w:val="center"/>
          </w:tcPr>
          <w:p>
            <w:pPr>
              <w:spacing w:after="0" w:line="276" w:lineRule="auto"/>
            </w:pPr>
            <w:r>
              <w:rPr>
                <w:rFonts w:ascii="Times New Roman" w:hAnsi="Times New Roman" w:eastAsia="Times New Roman"/>
                <w:sz w:val="22"/>
              </w:rPr>
              <w:t>Only Chrome baseline plus Edge smoke were executed</w:t>
            </w:r>
          </w:p>
        </w:tc>
      </w:tr>
      <w:tr>
        <w:tc>
          <w:tcPr>
            <w:tcW w:type="dxa" w:w="2721"/>
            <w:vAlign w:val="center"/>
          </w:tcPr>
          <w:p>
            <w:pPr>
              <w:spacing w:after="0" w:line="276" w:lineRule="auto"/>
            </w:pPr>
            <w:r>
              <w:rPr>
                <w:rFonts w:ascii="Times New Roman" w:hAnsi="Times New Roman" w:eastAsia="Times New Roman"/>
                <w:sz w:val="22"/>
              </w:rPr>
              <w:t>Local environment only</w:t>
            </w:r>
          </w:p>
        </w:tc>
        <w:tc>
          <w:tcPr>
            <w:tcW w:type="dxa" w:w="3288"/>
            <w:vAlign w:val="center"/>
          </w:tcPr>
          <w:p>
            <w:pPr>
              <w:spacing w:after="0" w:line="276" w:lineRule="auto"/>
            </w:pPr>
            <w:r>
              <w:rPr>
                <w:rFonts w:ascii="Times New Roman" w:hAnsi="Times New Roman" w:eastAsia="Times New Roman"/>
                <w:sz w:val="22"/>
              </w:rPr>
              <w:t>Deployment-specific behavior was not certified</w:t>
            </w:r>
          </w:p>
        </w:tc>
        <w:tc>
          <w:tcPr>
            <w:tcW w:type="dxa" w:w="3628"/>
            <w:vAlign w:val="center"/>
          </w:tcPr>
          <w:p>
            <w:pPr>
              <w:spacing w:after="0" w:line="276" w:lineRule="auto"/>
            </w:pPr>
            <w:r>
              <w:rPr>
                <w:rFonts w:ascii="Times New Roman" w:hAnsi="Times New Roman" w:eastAsia="Times New Roman"/>
                <w:sz w:val="22"/>
              </w:rPr>
              <w:t>The course project was executed in a local environment</w:t>
            </w:r>
          </w:p>
        </w:tc>
      </w:tr>
      <w:tr>
        <w:tc>
          <w:tcPr>
            <w:tcW w:type="dxa" w:w="2721"/>
            <w:vAlign w:val="center"/>
          </w:tcPr>
          <w:p>
            <w:pPr>
              <w:spacing w:after="0" w:line="276" w:lineRule="auto"/>
            </w:pPr>
            <w:r>
              <w:rPr>
                <w:rFonts w:ascii="Times New Roman" w:hAnsi="Times New Roman" w:eastAsia="Times New Roman"/>
                <w:sz w:val="22"/>
              </w:rPr>
              <w:t>Out-of-scope non-functional testing</w:t>
            </w:r>
          </w:p>
        </w:tc>
        <w:tc>
          <w:tcPr>
            <w:tcW w:type="dxa" w:w="3288"/>
            <w:vAlign w:val="center"/>
          </w:tcPr>
          <w:p>
            <w:pPr>
              <w:spacing w:after="0" w:line="276" w:lineRule="auto"/>
            </w:pPr>
            <w:r>
              <w:rPr>
                <w:rFonts w:ascii="Times New Roman" w:hAnsi="Times New Roman" w:eastAsia="Times New Roman"/>
                <w:sz w:val="22"/>
              </w:rPr>
              <w:t>Performance and security conclusions are limited</w:t>
            </w:r>
          </w:p>
        </w:tc>
        <w:tc>
          <w:tcPr>
            <w:tcW w:type="dxa" w:w="3628"/>
            <w:vAlign w:val="center"/>
          </w:tcPr>
          <w:p>
            <w:pPr>
              <w:spacing w:after="0" w:line="276" w:lineRule="auto"/>
            </w:pPr>
            <w:r>
              <w:rPr>
                <w:rFonts w:ascii="Times New Roman" w:hAnsi="Times New Roman" w:eastAsia="Times New Roman"/>
                <w:sz w:val="22"/>
              </w:rPr>
              <w:t>These areas were outside the official functional scope</w:t>
            </w:r>
          </w:p>
        </w:tc>
      </w:tr>
    </w:tbl>
    <w:p/>
    <w:p>
      <w:pPr>
        <w:jc w:val="center"/>
      </w:pPr>
      <w:r>
        <w:drawing>
          <wp:inline xmlns:a="http://schemas.openxmlformats.org/drawingml/2006/main" xmlns:pic="http://schemas.openxmlformats.org/drawingml/2006/picture">
            <wp:extent cx="5394960" cy="4495800"/>
            <wp:docPr id="2" name="Picture 2"/>
            <wp:cNvGraphicFramePr>
              <a:graphicFrameLocks noChangeAspect="1"/>
            </wp:cNvGraphicFramePr>
            <a:graphic>
              <a:graphicData uri="http://schemas.openxmlformats.org/drawingml/2006/picture">
                <pic:pic>
                  <pic:nvPicPr>
                    <pic:cNvPr id="0" name="BUG-20260406-001-github-issue.png"/>
                    <pic:cNvPicPr/>
                  </pic:nvPicPr>
                  <pic:blipFill>
                    <a:blip r:embed="rId10"/>
                    <a:stretch>
                      <a:fillRect/>
                    </a:stretch>
                  </pic:blipFill>
                  <pic:spPr>
                    <a:xfrm>
                      <a:off x="0" y="0"/>
                      <a:ext cx="5394960" cy="4495800"/>
                    </a:xfrm>
                    <a:prstGeom prst="rect"/>
                  </pic:spPr>
                </pic:pic>
              </a:graphicData>
            </a:graphic>
          </wp:inline>
        </w:drawing>
      </w:r>
    </w:p>
    <w:p>
      <w:pPr>
        <w:jc w:val="center"/>
      </w:pPr>
      <w:r>
        <w:rPr>
          <w:rFonts w:ascii="Times New Roman" w:hAnsi="Times New Roman" w:eastAsia="Times New Roman"/>
          <w:i/>
          <w:sz w:val="22"/>
        </w:rPr>
        <w:t>Figure 5.2. Example of a confirmed open defect that remains unresolved at the final reporting point.</w:t>
      </w:r>
    </w:p>
    <w:p/>
    <w:p>
      <w:pPr>
        <w:pStyle w:val="Heading2"/>
      </w:pPr>
      <w:r>
        <w:rPr>
          <w:b/>
        </w:rPr>
        <w:t>5.3. Suggestions for future enhancements</w:t>
      </w:r>
    </w:p>
    <w:p>
      <w:r>
        <w:rPr>
          <w:rFonts w:ascii="Times New Roman" w:hAnsi="Times New Roman" w:eastAsia="Times New Roman"/>
          <w:sz w:val="24"/>
        </w:rPr>
        <w:t>Future work should focus first on product risk reduction and then on process maturity. The next cycle should prioritize defect fixing and closure, because this is the shortest path to improving actual software quality rather than only improving documentation quality.</w:t>
      </w:r>
    </w:p>
    <w:p>
      <w:pPr>
        <w:ind w:left="357" w:hanging="170"/>
      </w:pPr>
      <w:r>
        <w:rPr>
          <w:rFonts w:ascii="Times New Roman" w:hAnsi="Times New Roman" w:eastAsia="Times New Roman"/>
          <w:sz w:val="24"/>
        </w:rPr>
        <w:t>- Fix the four confirmed open defects and perform controlled post-fix retests with updated evidence.</w:t>
      </w:r>
    </w:p>
    <w:p>
      <w:pPr>
        <w:ind w:left="357" w:hanging="170"/>
      </w:pPr>
      <w:r>
        <w:rPr>
          <w:rFonts w:ascii="Times New Roman" w:hAnsi="Times New Roman" w:eastAsia="Times New Roman"/>
          <w:sz w:val="24"/>
        </w:rPr>
        <w:t>- Expand browser coverage beyond Chrome and Edge smoke to include a more defendable compatibility baseline.</w:t>
      </w:r>
    </w:p>
    <w:p>
      <w:pPr>
        <w:ind w:left="357" w:hanging="170"/>
      </w:pPr>
      <w:r>
        <w:rPr>
          <w:rFonts w:ascii="Times New Roman" w:hAnsi="Times New Roman" w:eastAsia="Times New Roman"/>
          <w:sz w:val="24"/>
        </w:rPr>
        <w:t>- Add more negative and resilience-oriented API tests, especially for invalid filters, unsupported values, and boundary conditions.</w:t>
      </w:r>
    </w:p>
    <w:p>
      <w:pPr>
        <w:ind w:left="357" w:hanging="170"/>
      </w:pPr>
      <w:r>
        <w:rPr>
          <w:rFonts w:ascii="Times New Roman" w:hAnsi="Times New Roman" w:eastAsia="Times New Roman"/>
          <w:sz w:val="24"/>
        </w:rPr>
        <w:t>- Broaden automation coverage for high-value regression flows while keeping outputs mapped to the official test-case IDs.</w:t>
      </w:r>
    </w:p>
    <w:p>
      <w:pPr>
        <w:ind w:left="357" w:hanging="170"/>
      </w:pPr>
      <w:r>
        <w:rPr>
          <w:rFonts w:ascii="Times New Roman" w:hAnsi="Times New Roman" w:eastAsia="Times New Roman"/>
          <w:sz w:val="24"/>
        </w:rPr>
        <w:t>- Introduce CI-based automation execution so that UI and API smoke runs can be reproduced more consistently after future changes.</w:t>
      </w:r>
    </w:p>
    <w:p>
      <w:r>
        <w:rPr>
          <w:rFonts w:ascii="Times New Roman" w:hAnsi="Times New Roman" w:eastAsia="Times New Roman"/>
          <w:sz w:val="24"/>
        </w:rPr>
        <w:t>From an academic perspective, the submission already demonstrates structured planning, evidence-based execution, real defect management, and practical automation support. From an engineering perspective, the next iteration should move from defect discovery maturity to defect-closure maturity.</w:t>
      </w:r>
    </w:p>
    <w:p>
      <w:pPr>
        <w:jc w:val="center"/>
      </w:pPr>
      <w:r>
        <w:rPr>
          <w:rFonts w:ascii="Times New Roman" w:hAnsi="Times New Roman" w:eastAsia="Times New Roman"/>
          <w:i/>
          <w:sz w:val="22"/>
        </w:rPr>
        <w:t>Table 5.4. Recommended future enhancement roadmap</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D9EAF7"/>
            <w:vAlign w:val="center"/>
          </w:tcPr>
          <w:p>
            <w:pPr>
              <w:spacing w:after="0" w:line="276" w:lineRule="auto"/>
            </w:pPr>
            <w:r>
              <w:rPr>
                <w:rFonts w:ascii="Times New Roman" w:hAnsi="Times New Roman" w:eastAsia="Times New Roman"/>
                <w:sz w:val="22"/>
              </w:rPr>
              <w:t>Priority</w:t>
            </w:r>
          </w:p>
        </w:tc>
        <w:tc>
          <w:tcPr>
            <w:tcW w:type="dxa" w:w="4252"/>
            <w:shd w:fill="D9EAF7"/>
            <w:vAlign w:val="center"/>
          </w:tcPr>
          <w:p>
            <w:pPr>
              <w:spacing w:after="0" w:line="276" w:lineRule="auto"/>
            </w:pPr>
            <w:r>
              <w:rPr>
                <w:rFonts w:ascii="Times New Roman" w:hAnsi="Times New Roman" w:eastAsia="Times New Roman"/>
                <w:sz w:val="22"/>
              </w:rPr>
              <w:t>Enhancement</w:t>
            </w:r>
          </w:p>
        </w:tc>
        <w:tc>
          <w:tcPr>
            <w:tcW w:type="dxa" w:w="3969"/>
            <w:shd w:fill="D9EAF7"/>
            <w:vAlign w:val="center"/>
          </w:tcPr>
          <w:p>
            <w:pPr>
              <w:spacing w:after="0" w:line="276" w:lineRule="auto"/>
            </w:pPr>
            <w:r>
              <w:rPr>
                <w:rFonts w:ascii="Times New Roman" w:hAnsi="Times New Roman" w:eastAsia="Times New Roman"/>
                <w:sz w:val="22"/>
              </w:rPr>
              <w:t>Expected benefit</w:t>
            </w:r>
          </w:p>
        </w:tc>
      </w:tr>
      <w:tr>
        <w:tc>
          <w:tcPr>
            <w:tcW w:type="dxa" w:w="1134"/>
            <w:vAlign w:val="center"/>
          </w:tcPr>
          <w:p>
            <w:pPr>
              <w:spacing w:after="0" w:line="276" w:lineRule="auto"/>
            </w:pPr>
            <w:r>
              <w:rPr>
                <w:rFonts w:ascii="Times New Roman" w:hAnsi="Times New Roman" w:eastAsia="Times New Roman"/>
                <w:sz w:val="22"/>
              </w:rPr>
              <w:t>1</w:t>
            </w:r>
          </w:p>
        </w:tc>
        <w:tc>
          <w:tcPr>
            <w:tcW w:type="dxa" w:w="4252"/>
            <w:vAlign w:val="center"/>
          </w:tcPr>
          <w:p>
            <w:pPr>
              <w:spacing w:after="0" w:line="276" w:lineRule="auto"/>
            </w:pPr>
            <w:r>
              <w:rPr>
                <w:rFonts w:ascii="Times New Roman" w:hAnsi="Times New Roman" w:eastAsia="Times New Roman"/>
                <w:sz w:val="22"/>
              </w:rPr>
              <w:t>Fix open confirmed defects and rerun retests</w:t>
            </w:r>
          </w:p>
        </w:tc>
        <w:tc>
          <w:tcPr>
            <w:tcW w:type="dxa" w:w="3969"/>
            <w:vAlign w:val="center"/>
          </w:tcPr>
          <w:p>
            <w:pPr>
              <w:spacing w:after="0" w:line="276" w:lineRule="auto"/>
            </w:pPr>
            <w:r>
              <w:rPr>
                <w:rFonts w:ascii="Times New Roman" w:hAnsi="Times New Roman" w:eastAsia="Times New Roman"/>
                <w:sz w:val="22"/>
              </w:rPr>
              <w:t>Closes the defect lifecycle and improves product stability</w:t>
            </w:r>
          </w:p>
        </w:tc>
      </w:tr>
      <w:tr>
        <w:tc>
          <w:tcPr>
            <w:tcW w:type="dxa" w:w="1134"/>
            <w:vAlign w:val="center"/>
          </w:tcPr>
          <w:p>
            <w:pPr>
              <w:spacing w:after="0" w:line="276" w:lineRule="auto"/>
            </w:pPr>
            <w:r>
              <w:rPr>
                <w:rFonts w:ascii="Times New Roman" w:hAnsi="Times New Roman" w:eastAsia="Times New Roman"/>
                <w:sz w:val="22"/>
              </w:rPr>
              <w:t>2</w:t>
            </w:r>
          </w:p>
        </w:tc>
        <w:tc>
          <w:tcPr>
            <w:tcW w:type="dxa" w:w="4252"/>
            <w:vAlign w:val="center"/>
          </w:tcPr>
          <w:p>
            <w:pPr>
              <w:spacing w:after="0" w:line="276" w:lineRule="auto"/>
            </w:pPr>
            <w:r>
              <w:rPr>
                <w:rFonts w:ascii="Times New Roman" w:hAnsi="Times New Roman" w:eastAsia="Times New Roman"/>
                <w:sz w:val="22"/>
              </w:rPr>
              <w:t>Extend browser compatibility verification</w:t>
            </w:r>
          </w:p>
        </w:tc>
        <w:tc>
          <w:tcPr>
            <w:tcW w:type="dxa" w:w="3969"/>
            <w:vAlign w:val="center"/>
          </w:tcPr>
          <w:p>
            <w:pPr>
              <w:spacing w:after="0" w:line="276" w:lineRule="auto"/>
            </w:pPr>
            <w:r>
              <w:rPr>
                <w:rFonts w:ascii="Times New Roman" w:hAnsi="Times New Roman" w:eastAsia="Times New Roman"/>
                <w:sz w:val="22"/>
              </w:rPr>
              <w:t>Improves confidence in UI consistency across browsers</w:t>
            </w:r>
          </w:p>
        </w:tc>
      </w:tr>
      <w:tr>
        <w:tc>
          <w:tcPr>
            <w:tcW w:type="dxa" w:w="1134"/>
            <w:vAlign w:val="center"/>
          </w:tcPr>
          <w:p>
            <w:pPr>
              <w:spacing w:after="0" w:line="276" w:lineRule="auto"/>
            </w:pPr>
            <w:r>
              <w:rPr>
                <w:rFonts w:ascii="Times New Roman" w:hAnsi="Times New Roman" w:eastAsia="Times New Roman"/>
                <w:sz w:val="22"/>
              </w:rPr>
              <w:t>3</w:t>
            </w:r>
          </w:p>
        </w:tc>
        <w:tc>
          <w:tcPr>
            <w:tcW w:type="dxa" w:w="4252"/>
            <w:vAlign w:val="center"/>
          </w:tcPr>
          <w:p>
            <w:pPr>
              <w:spacing w:after="0" w:line="276" w:lineRule="auto"/>
            </w:pPr>
            <w:r>
              <w:rPr>
                <w:rFonts w:ascii="Times New Roman" w:hAnsi="Times New Roman" w:eastAsia="Times New Roman"/>
                <w:sz w:val="22"/>
              </w:rPr>
              <w:t>Increase API negative-path automation</w:t>
            </w:r>
          </w:p>
        </w:tc>
        <w:tc>
          <w:tcPr>
            <w:tcW w:type="dxa" w:w="3969"/>
            <w:vAlign w:val="center"/>
          </w:tcPr>
          <w:p>
            <w:pPr>
              <w:spacing w:after="0" w:line="276" w:lineRule="auto"/>
            </w:pPr>
            <w:r>
              <w:rPr>
                <w:rFonts w:ascii="Times New Roman" w:hAnsi="Times New Roman" w:eastAsia="Times New Roman"/>
                <w:sz w:val="22"/>
              </w:rPr>
              <w:t>Strengthens backend validation coverage</w:t>
            </w:r>
          </w:p>
        </w:tc>
      </w:tr>
      <w:tr>
        <w:tc>
          <w:tcPr>
            <w:tcW w:type="dxa" w:w="1134"/>
            <w:vAlign w:val="center"/>
          </w:tcPr>
          <w:p>
            <w:pPr>
              <w:spacing w:after="0" w:line="276" w:lineRule="auto"/>
            </w:pPr>
            <w:r>
              <w:rPr>
                <w:rFonts w:ascii="Times New Roman" w:hAnsi="Times New Roman" w:eastAsia="Times New Roman"/>
                <w:sz w:val="22"/>
              </w:rPr>
              <w:t>4</w:t>
            </w:r>
          </w:p>
        </w:tc>
        <w:tc>
          <w:tcPr>
            <w:tcW w:type="dxa" w:w="4252"/>
            <w:vAlign w:val="center"/>
          </w:tcPr>
          <w:p>
            <w:pPr>
              <w:spacing w:after="0" w:line="276" w:lineRule="auto"/>
            </w:pPr>
            <w:r>
              <w:rPr>
                <w:rFonts w:ascii="Times New Roman" w:hAnsi="Times New Roman" w:eastAsia="Times New Roman"/>
                <w:sz w:val="22"/>
              </w:rPr>
              <w:t>Expand UI regression automation</w:t>
            </w:r>
          </w:p>
        </w:tc>
        <w:tc>
          <w:tcPr>
            <w:tcW w:type="dxa" w:w="3969"/>
            <w:vAlign w:val="center"/>
          </w:tcPr>
          <w:p>
            <w:pPr>
              <w:spacing w:after="0" w:line="276" w:lineRule="auto"/>
            </w:pPr>
            <w:r>
              <w:rPr>
                <w:rFonts w:ascii="Times New Roman" w:hAnsi="Times New Roman" w:eastAsia="Times New Roman"/>
                <w:sz w:val="22"/>
              </w:rPr>
              <w:t>Improves repeatability for critical business flows</w:t>
            </w:r>
          </w:p>
        </w:tc>
      </w:tr>
      <w:tr>
        <w:tc>
          <w:tcPr>
            <w:tcW w:type="dxa" w:w="1134"/>
            <w:vAlign w:val="center"/>
          </w:tcPr>
          <w:p>
            <w:pPr>
              <w:spacing w:after="0" w:line="276" w:lineRule="auto"/>
            </w:pPr>
            <w:r>
              <w:rPr>
                <w:rFonts w:ascii="Times New Roman" w:hAnsi="Times New Roman" w:eastAsia="Times New Roman"/>
                <w:sz w:val="22"/>
              </w:rPr>
              <w:t>5</w:t>
            </w:r>
          </w:p>
        </w:tc>
        <w:tc>
          <w:tcPr>
            <w:tcW w:type="dxa" w:w="4252"/>
            <w:vAlign w:val="center"/>
          </w:tcPr>
          <w:p>
            <w:pPr>
              <w:spacing w:after="0" w:line="276" w:lineRule="auto"/>
            </w:pPr>
            <w:r>
              <w:rPr>
                <w:rFonts w:ascii="Times New Roman" w:hAnsi="Times New Roman" w:eastAsia="Times New Roman"/>
                <w:sz w:val="22"/>
              </w:rPr>
              <w:t>Move automation to CI or scheduled reruns</w:t>
            </w:r>
          </w:p>
        </w:tc>
        <w:tc>
          <w:tcPr>
            <w:tcW w:type="dxa" w:w="3969"/>
            <w:vAlign w:val="center"/>
          </w:tcPr>
          <w:p>
            <w:pPr>
              <w:spacing w:after="0" w:line="276" w:lineRule="auto"/>
            </w:pPr>
            <w:r>
              <w:rPr>
                <w:rFonts w:ascii="Times New Roman" w:hAnsi="Times New Roman" w:eastAsia="Times New Roman"/>
                <w:sz w:val="22"/>
              </w:rPr>
              <w:t>Improves repeatable verification after changes</w:t>
            </w:r>
          </w:p>
        </w:tc>
      </w:tr>
    </w:tbl>
    <w:p/>
    <w:p>
      <w:pPr>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OSMS-Newman-Full-Run-Snippet.png"/>
                    <pic:cNvPicPr/>
                  </pic:nvPicPr>
                  <pic:blipFill>
                    <a:blip r:embed="rId11"/>
                    <a:stretch>
                      <a:fillRect/>
                    </a:stretch>
                  </pic:blipFill>
                  <pic:spPr>
                    <a:xfrm>
                      <a:off x="0" y="0"/>
                      <a:ext cx="5394960" cy="3236976"/>
                    </a:xfrm>
                    <a:prstGeom prst="rect"/>
                  </pic:spPr>
                </pic:pic>
              </a:graphicData>
            </a:graphic>
          </wp:inline>
        </w:drawing>
      </w:r>
    </w:p>
    <w:p>
      <w:pPr>
        <w:jc w:val="center"/>
      </w:pPr>
      <w:r>
        <w:rPr>
          <w:rFonts w:ascii="Times New Roman" w:hAnsi="Times New Roman" w:eastAsia="Times New Roman"/>
          <w:i/>
          <w:sz w:val="22"/>
        </w:rPr>
        <w:t>Figure 5.3. Existing automation evidence that can be expanded in future iterations to increase regression strength.</w:t>
      </w:r>
    </w:p>
    <w:p/>
    <w:p>
      <w:r>
        <w:rPr>
          <w:rFonts w:ascii="Times New Roman" w:hAnsi="Times New Roman" w:eastAsia="Times New Roman"/>
          <w:sz w:val="24"/>
        </w:rPr>
        <w:t>Overall, the final submission meets the required deliverables and demonstrates a credible software-testing process with strong traceability between scenarios, test cases, execution evidence, metrics, and GitHub-based defect records. The package is submission-ready and academically defensible. The remaining improvement opportunities are primarily product-fix and regression-depth tasks, not missing-report or missing-artifact problems.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