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false"/>
        <w:spacing w:lineRule="auto" w:line="240" w:before="0" w:after="0"/>
        <w:jc w:val="right"/>
        <w:rPr>
          <w:sz w:val="26"/>
          <w:szCs w:val="26"/>
        </w:rPr>
      </w:pPr>
      <w:r>
        <w:rPr>
          <w:rFonts w:eastAsia="Times New Roman" w:cs="Times New Roman" w:ascii="Times New Roman" w:hAnsi="Times New Roman"/>
          <w:b/>
          <w:color w:val="000000"/>
          <w:sz w:val="26"/>
          <w:szCs w:val="26"/>
          <w:lang w:eastAsia="ru-RU"/>
        </w:rPr>
        <w:t>Приложение № 3</w:t>
      </w:r>
    </w:p>
    <w:p>
      <w:pPr>
        <w:pStyle w:val="Normal"/>
        <w:suppressAutoHyphens w:val="false"/>
        <w:spacing w:lineRule="auto" w:line="240" w:before="0" w:after="0"/>
        <w:jc w:val="right"/>
        <w:rPr>
          <w:sz w:val="26"/>
          <w:szCs w:val="26"/>
        </w:rPr>
      </w:pPr>
      <w:r>
        <w:rPr>
          <w:rFonts w:eastAsia="Times New Roman" w:cs="Times New Roman" w:ascii="Times New Roman" w:hAnsi="Times New Roman"/>
          <w:b/>
          <w:color w:val="000000"/>
          <w:sz w:val="26"/>
          <w:szCs w:val="26"/>
          <w:lang w:eastAsia="ru-RU"/>
        </w:rPr>
        <w:t>к Извещению об осуществлении закупки</w:t>
      </w:r>
    </w:p>
    <w:p>
      <w:pPr>
        <w:pStyle w:val="Normal"/>
        <w:spacing w:before="0" w:after="0"/>
        <w:jc w:val="both"/>
        <w:rPr>
          <w:rFonts w:ascii="Times New Roman" w:hAnsi="Times New Roman"/>
          <w:sz w:val="26"/>
          <w:szCs w:val="26"/>
        </w:rPr>
      </w:pPr>
      <w:r>
        <w:rPr>
          <w:rFonts w:ascii="Times New Roman" w:hAnsi="Times New Roman"/>
          <w:sz w:val="26"/>
          <w:szCs w:val="26"/>
        </w:rPr>
      </w:r>
    </w:p>
    <w:p>
      <w:pPr>
        <w:pStyle w:val="Normal"/>
        <w:spacing w:before="0" w:after="0"/>
        <w:jc w:val="both"/>
        <w:rPr>
          <w:rFonts w:ascii="Times New Roman" w:hAnsi="Times New Roman"/>
          <w:b/>
          <w:bCs/>
          <w:sz w:val="26"/>
          <w:szCs w:val="26"/>
        </w:rPr>
      </w:pPr>
      <w:r>
        <w:rPr>
          <w:rFonts w:ascii="Times New Roman" w:hAnsi="Times New Roman"/>
          <w:b/>
          <w:bCs/>
          <w:sz w:val="26"/>
          <w:szCs w:val="26"/>
          <w:lang w:val="en-US"/>
        </w:rPr>
        <w:t>I</w:t>
      </w:r>
      <w:r>
        <w:rPr>
          <w:rFonts w:ascii="Times New Roman" w:hAnsi="Times New Roman"/>
          <w:b/>
          <w:bCs/>
          <w:sz w:val="26"/>
          <w:szCs w:val="26"/>
        </w:rPr>
        <w:t>. Требования к участникам закупки и необходимый перечень документов для участия в закупке. Подача заявки на участие в электронном аукционе.</w:t>
      </w:r>
    </w:p>
    <w:p>
      <w:pPr>
        <w:pStyle w:val="Normal"/>
        <w:spacing w:before="0" w:after="0"/>
        <w:jc w:val="both"/>
        <w:rPr>
          <w:rFonts w:ascii="Times New Roman" w:hAnsi="Times New Roman" w:cs="Times New Roman"/>
          <w:b/>
          <w:bCs/>
          <w:sz w:val="26"/>
          <w:szCs w:val="26"/>
        </w:rPr>
      </w:pPr>
      <w:r>
        <w:rPr>
          <w:rFonts w:cs="Times New Roman" w:ascii="Times New Roman" w:hAnsi="Times New Roman"/>
          <w:b/>
          <w:bCs/>
          <w:sz w:val="26"/>
          <w:szCs w:val="26"/>
        </w:rPr>
        <w:t>1. Общие</w:t>
      </w:r>
      <w:r>
        <w:rPr>
          <w:rFonts w:cs="Times New Roman" w:ascii="Times New Roman" w:hAnsi="Times New Roman"/>
          <w:b/>
          <w:bCs/>
          <w:spacing w:val="-11"/>
          <w:sz w:val="26"/>
          <w:szCs w:val="26"/>
        </w:rPr>
        <w:t xml:space="preserve"> </w:t>
      </w:r>
      <w:r>
        <w:rPr>
          <w:rFonts w:cs="Times New Roman" w:ascii="Times New Roman" w:hAnsi="Times New Roman"/>
          <w:b/>
          <w:bCs/>
          <w:sz w:val="26"/>
          <w:szCs w:val="26"/>
        </w:rPr>
        <w:t>требования,</w:t>
      </w:r>
      <w:r>
        <w:rPr>
          <w:rFonts w:cs="Times New Roman" w:ascii="Times New Roman" w:hAnsi="Times New Roman"/>
          <w:b/>
          <w:bCs/>
          <w:spacing w:val="-10"/>
          <w:sz w:val="26"/>
          <w:szCs w:val="26"/>
        </w:rPr>
        <w:t xml:space="preserve"> </w:t>
      </w:r>
      <w:r>
        <w:rPr>
          <w:rFonts w:cs="Times New Roman" w:ascii="Times New Roman" w:hAnsi="Times New Roman"/>
          <w:b/>
          <w:bCs/>
          <w:sz w:val="26"/>
          <w:szCs w:val="26"/>
        </w:rPr>
        <w:t>предъявляемые</w:t>
      </w:r>
      <w:r>
        <w:rPr>
          <w:rFonts w:cs="Times New Roman" w:ascii="Times New Roman" w:hAnsi="Times New Roman"/>
          <w:b/>
          <w:bCs/>
          <w:spacing w:val="-11"/>
          <w:sz w:val="26"/>
          <w:szCs w:val="26"/>
        </w:rPr>
        <w:t xml:space="preserve"> </w:t>
      </w:r>
      <w:r>
        <w:rPr>
          <w:rFonts w:cs="Times New Roman" w:ascii="Times New Roman" w:hAnsi="Times New Roman"/>
          <w:b/>
          <w:bCs/>
          <w:sz w:val="26"/>
          <w:szCs w:val="26"/>
        </w:rPr>
        <w:t>к участникам</w:t>
      </w:r>
      <w:r>
        <w:rPr>
          <w:rFonts w:cs="Times New Roman" w:ascii="Times New Roman" w:hAnsi="Times New Roman"/>
          <w:b/>
          <w:bCs/>
          <w:spacing w:val="-14"/>
          <w:sz w:val="26"/>
          <w:szCs w:val="26"/>
        </w:rPr>
        <w:t xml:space="preserve"> </w:t>
      </w:r>
      <w:r>
        <w:rPr>
          <w:rFonts w:cs="Times New Roman" w:ascii="Times New Roman" w:hAnsi="Times New Roman"/>
          <w:b/>
          <w:bCs/>
          <w:sz w:val="26"/>
          <w:szCs w:val="26"/>
        </w:rPr>
        <w:t>аукциона</w:t>
      </w:r>
      <w:r>
        <w:rPr>
          <w:rFonts w:cs="Times New Roman" w:ascii="Times New Roman" w:hAnsi="Times New Roman"/>
          <w:b/>
          <w:bCs/>
          <w:spacing w:val="-14"/>
          <w:sz w:val="26"/>
          <w:szCs w:val="26"/>
        </w:rPr>
        <w:t xml:space="preserve"> </w:t>
      </w:r>
      <w:r>
        <w:rPr>
          <w:rFonts w:cs="Times New Roman" w:ascii="Times New Roman" w:hAnsi="Times New Roman"/>
          <w:b/>
          <w:bCs/>
          <w:sz w:val="26"/>
          <w:szCs w:val="26"/>
        </w:rPr>
        <w:t>в соответствии со ст. 24.2</w:t>
      </w:r>
      <w:r>
        <w:rPr>
          <w:rFonts w:cs="Times New Roman" w:ascii="Times New Roman" w:hAnsi="Times New Roman"/>
          <w:b/>
          <w:bCs/>
          <w:spacing w:val="40"/>
          <w:sz w:val="26"/>
          <w:szCs w:val="26"/>
        </w:rPr>
        <w:t xml:space="preserve"> </w:t>
      </w:r>
      <w:r>
        <w:rPr>
          <w:rFonts w:cs="Times New Roman" w:ascii="Times New Roman" w:hAnsi="Times New Roman"/>
          <w:b/>
          <w:bCs/>
          <w:sz w:val="26"/>
          <w:szCs w:val="26"/>
        </w:rPr>
        <w:t>Закона о контрактной системе.</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 xml:space="preserve">В реестре участников электронного аукциона, получивших аккредитацию на электронной площадке, в отношении каждого участника такого аукциона должны содержаться документы и информация в соответствии с Законом о контрактной системе, которые должны быть актуальны на дату подачи заявки для участия в электронном аукционе. </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 xml:space="preserve">Подача заявок на участие в электронном аукционе осуществляется только лицами, зарегистрированными в единой информационной системе и аккредитованными на электронной площадке. </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При этом подача заявок на участие в закупках отдельных видов товаров, работ, услуг, в отношении участников которых установлены дополнительные требования, осуществляется только участниками закупки, электронные документы (или их копии) которых размещены в соответствии с частями 12 и 12.1 статьи 24.2 Закона о контрактной системе оператором электронной площадки в реестре участников закупок, аккредитованных на электронной площадке.</w:t>
      </w:r>
    </w:p>
    <w:p>
      <w:pPr>
        <w:pStyle w:val="Normal"/>
        <w:spacing w:before="0" w:after="0"/>
        <w:jc w:val="both"/>
        <w:rPr>
          <w:rFonts w:ascii="Times New Roman" w:hAnsi="Times New Roman" w:cs="Times New Roman"/>
          <w:b/>
          <w:bCs/>
          <w:sz w:val="26"/>
          <w:szCs w:val="26"/>
        </w:rPr>
      </w:pPr>
      <w:r>
        <w:rPr>
          <w:rFonts w:cs="Times New Roman" w:ascii="Times New Roman" w:hAnsi="Times New Roman"/>
          <w:b/>
          <w:bCs/>
          <w:sz w:val="26"/>
          <w:szCs w:val="26"/>
        </w:rPr>
        <w:t>2. Общие требования, предъявляемые к участникам электронного аукциона в соответствии со ст. 31 Закона о контрактной системе.</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При осуществлении закупки заказчик устанавливает следующие единые требования к участникам закупки:</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2.1.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предусмотренные п. 1 ч. 1 ст. 31 Закона о контрактной системе:</w:t>
      </w:r>
    </w:p>
    <w:p>
      <w:pPr>
        <w:pStyle w:val="Normal"/>
        <w:spacing w:before="0" w:after="0"/>
        <w:jc w:val="both"/>
        <w:rPr>
          <w:sz w:val="26"/>
          <w:szCs w:val="26"/>
        </w:rPr>
      </w:pPr>
      <w:r>
        <w:rPr>
          <w:rFonts w:cs="Times New Roman" w:ascii="Times New Roman" w:hAnsi="Times New Roman"/>
          <w:color w:val="000000"/>
          <w:sz w:val="26"/>
          <w:szCs w:val="26"/>
        </w:rPr>
        <w:t>1) На основании пункта 1 части 1 статьи 12 Федерального закона от 04.05.2011   № 99-ФЗ «О лицензировании отдельных видов деятельности» действующую лицензию, выданную Федеральной службой безопасности Российской Федерации, позволяющую осуществлять деятельность по разработке, производству, распространению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выполнение работ, оказание услуг в области шифрования информации, техническое обслуживание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(за исключением случая, если техническое обслуживание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осуществляется для обеспечения собственных нужд юридического лица или индивидуального предпринимателя), в которой согласно п. 12, 21 Перечня выполняемых работ и оказываемых услуг, составляющих лицензируемую деятельность, в отношении шифровальных (криптографических) средств, утвержденных Постановлением Правительства Российской Федерации от 16.04.2012 № 313 «Об утверждении Положения о лицензировании деятельности по разработке, производству, распространению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выполнение работ, оказание услуг в области шифрования информации, техническое обслуживание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(за исключением случая, если техническое обслуживание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осуществляется для обеспечения собственных нужд юридического лица или индивидуального предпринимателя)» в составе лицензируемого вида деятельности указаны следующие виды работ (услуг):</w:t>
      </w:r>
    </w:p>
    <w:p>
      <w:pPr>
        <w:pStyle w:val="Normal"/>
        <w:spacing w:before="0" w:after="0"/>
        <w:jc w:val="both"/>
        <w:rPr>
          <w:sz w:val="26"/>
          <w:szCs w:val="26"/>
        </w:rPr>
      </w:pPr>
      <w:r>
        <w:rPr>
          <w:rFonts w:cs="Times New Roman" w:ascii="Times New Roman" w:hAnsi="Times New Roman"/>
          <w:color w:val="000000"/>
          <w:sz w:val="26"/>
          <w:szCs w:val="26"/>
        </w:rPr>
        <w:t xml:space="preserve">• </w:t>
      </w:r>
      <w:r>
        <w:rPr>
          <w:rFonts w:cs="Times New Roman" w:ascii="Times New Roman" w:hAnsi="Times New Roman"/>
          <w:color w:val="000000"/>
          <w:sz w:val="26"/>
          <w:szCs w:val="26"/>
        </w:rPr>
        <w:t xml:space="preserve">монтаж, установка (инсталляция), наладка шифровальных (криптографических) средств, за исключением шифровальных (криптографических) средств защиты фискальных данных, разработанных для применения в составе контрольно-кассовой техники, сертифицированных Федеральной службой безопасности Российской Федерации; </w:t>
      </w:r>
    </w:p>
    <w:p>
      <w:pPr>
        <w:pStyle w:val="Normal"/>
        <w:spacing w:before="0" w:after="0"/>
        <w:jc w:val="both"/>
        <w:rPr>
          <w:sz w:val="26"/>
          <w:szCs w:val="26"/>
        </w:rPr>
      </w:pPr>
      <w:r>
        <w:rPr>
          <w:rFonts w:cs="Times New Roman" w:ascii="Times New Roman" w:hAnsi="Times New Roman"/>
          <w:color w:val="000000"/>
          <w:sz w:val="26"/>
          <w:szCs w:val="26"/>
        </w:rPr>
        <w:t xml:space="preserve">• </w:t>
      </w:r>
      <w:r>
        <w:rPr>
          <w:rFonts w:cs="Times New Roman" w:ascii="Times New Roman" w:hAnsi="Times New Roman"/>
          <w:color w:val="000000"/>
          <w:sz w:val="26"/>
          <w:szCs w:val="26"/>
        </w:rPr>
        <w:t xml:space="preserve">передача шифровальных (криптографических) средств, за исключением шифровальных (криптографических) средств защиты фискальных данных, разработанных для применения в составе контрольно-кассовой техники, сертифицированных Федеральной службой безопасности Российской Федерации. </w:t>
      </w:r>
    </w:p>
    <w:p>
      <w:pPr>
        <w:pStyle w:val="Normal"/>
        <w:spacing w:before="0" w:after="0"/>
        <w:jc w:val="both"/>
        <w:rPr>
          <w:sz w:val="26"/>
          <w:szCs w:val="26"/>
        </w:rPr>
      </w:pPr>
      <w:r>
        <w:rPr>
          <w:rFonts w:cs="Times New Roman" w:ascii="Times New Roman" w:hAnsi="Times New Roman"/>
          <w:color w:val="000000"/>
          <w:sz w:val="26"/>
          <w:szCs w:val="26"/>
        </w:rPr>
        <w:t>2) На основании пункта 5 части 1 статьи 12 Федерального от 04.05.2011 № 99-ФЗ «О лицензировании отдельных видов деятельности» действующую лицензию, выданную Федеральной службой по техническому и экспортному контролю, позволяющую осуществлять деятельность по технической защите конфиденциальной информации, в которой согласно подпункта е) пункта 4 Положения о лицензировании деятельности по технической защите конфиденциальной информации, утвержденного Постановлением Правительства Российской Федерации от 03.02.2012 № 79 «О лицензировании деятельности по технической защите конфиденциальной информации» в составе лицензируемого вида деятельности указаны следующие виды работ (услуг):</w:t>
      </w:r>
    </w:p>
    <w:p>
      <w:pPr>
        <w:pStyle w:val="Normal"/>
        <w:spacing w:before="0" w:after="0"/>
        <w:jc w:val="both"/>
        <w:rPr>
          <w:sz w:val="26"/>
          <w:szCs w:val="26"/>
        </w:rPr>
      </w:pPr>
      <w:r>
        <w:rPr>
          <w:rFonts w:cs="Times New Roman" w:ascii="Times New Roman" w:hAnsi="Times New Roman"/>
          <w:color w:val="000000"/>
          <w:sz w:val="26"/>
          <w:szCs w:val="26"/>
        </w:rPr>
        <w:t xml:space="preserve">• </w:t>
      </w:r>
      <w:r>
        <w:rPr>
          <w:rFonts w:cs="Times New Roman" w:ascii="Times New Roman" w:hAnsi="Times New Roman"/>
          <w:color w:val="000000"/>
          <w:sz w:val="26"/>
          <w:szCs w:val="26"/>
        </w:rPr>
        <w:t>наладка, ремонт средств защиты информации программных (программно-технических) средств защиты информации, защищенных программных (программно-технических) средств обработки информации, программных (программно-технических) средств контроля эффективности защиты информации).</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2.2.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2.3. Неприостановление деятельности участника закупки в порядке, установленном Кодексом Российской Федерации об административных правонарушениях.</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2.4.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2.5.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2.5.1.</w:t>
      </w:r>
      <w:r>
        <w:rPr/>
        <w:t xml:space="preserve"> </w:t>
      </w:r>
      <w:r>
        <w:rPr>
          <w:rFonts w:cs="Times New Roman" w:ascii="Times New Roman" w:hAnsi="Times New Roman"/>
          <w:sz w:val="26"/>
          <w:szCs w:val="26"/>
        </w:rPr>
        <w:t>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2.6.</w:t>
      </w:r>
      <w:r>
        <w:rPr/>
        <w:t xml:space="preserve"> </w:t>
      </w:r>
      <w:r>
        <w:rPr>
          <w:rFonts w:cs="Times New Roman" w:ascii="Times New Roman" w:hAnsi="Times New Roman"/>
          <w:sz w:val="26"/>
          <w:szCs w:val="26"/>
        </w:rPr>
        <w:t>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2.7.</w:t>
      </w:r>
      <w:r>
        <w:rPr/>
        <w:t xml:space="preserve"> </w:t>
      </w:r>
      <w:r>
        <w:rPr>
          <w:rFonts w:cs="Times New Roman" w:ascii="Times New Roman" w:hAnsi="Times New Roman"/>
          <w:sz w:val="26"/>
          <w:szCs w:val="26"/>
        </w:rPr>
        <w:t>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w:t>
      </w:r>
      <w:r>
        <w:rPr/>
        <w:t xml:space="preserve"> </w:t>
      </w:r>
      <w:r>
        <w:rPr>
          <w:rFonts w:cs="Times New Roman" w:ascii="Times New Roman" w:hAnsi="Times New Roman"/>
          <w:sz w:val="26"/>
          <w:szCs w:val="26"/>
        </w:rPr>
        <w:t>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 а) физическим лицом (в том числе зарегистрированным в качестве индивидуального предпринимателя), являющимся участником закупки; 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 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2.8. Отсутствие в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"в" пункта 1 части 1 статьи 43 Закона о контрактной системе, если Правительством Российской Федерации не установлено иное.</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2.9.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2.9.1. Участник закупки не является иностранным агентом.</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2.10. Отсутствие у участника закупки ограничений для участия в закупках, установленных законодательством Российской Федерации.</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2.11.</w:t>
      </w:r>
      <w:r>
        <w:rPr/>
        <w:t xml:space="preserve"> </w:t>
      </w:r>
      <w:r>
        <w:rPr>
          <w:rFonts w:cs="Times New Roman" w:ascii="Times New Roman" w:hAnsi="Times New Roman"/>
          <w:sz w:val="26"/>
          <w:szCs w:val="26"/>
        </w:rPr>
        <w:t>Отстранение участника закупки от участия в определении поставщика (подрядчика, исполнителя) или отказ от заключения контракта с победителем определения поставщика (подрядчика, исполнителя) осуществляется в любой момент до заключения контракта, если заказчик или комиссия по осуществлению закупок обнаружит, что участник закупки не соответствует требованиям или предоставил недостоверную информацию в отношении своего соответствия указанным требованиям.</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2.12. Дополнительные требования к участникам закупки отдельных видов товаров, работ, услуг для обеспечения государственных и муниципальных нужд.</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2.1.12.1. Дополнительные  требования  к  участникам  закупки  согласно  ч.  2  ст.  31 Закона о контрактной системе (ПП РФ от 29.12.2021 № 2571): не требуется.</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2.12.2.</w:t>
      </w:r>
      <w:r>
        <w:rPr/>
        <w:t xml:space="preserve"> </w:t>
      </w:r>
      <w:r>
        <w:rPr>
          <w:rFonts w:cs="Times New Roman" w:ascii="Times New Roman" w:hAnsi="Times New Roman"/>
          <w:sz w:val="26"/>
          <w:szCs w:val="26"/>
        </w:rPr>
        <w:t>Дополнительное требование к участникам закупки согласно ч. 2.1 ст. 31 Закона о контрактной системе: установлено дополнительное требование об исполнении участником закупки (с учетом правопреемства) в течение трех лет до даты подачи заявки на участие в закупке контракта, заключенного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или договора, заключенного в соответствии с Федеральным законом от 18 июля 2011 года № 223-ФЗ «О закупках товаров, работ, услуг отдельными видами юридических лиц» при условии исполнения таким участником закупки требований об уплате неустоек (штрафов, пеней), предъявленных при исполнении таких контракта, договора. Стоимость исполненных обязательств по таким контракту, договору должна  составлять  не  менее  двадцати  процентов  начальной  (максимальной)  цены контракта.</w:t>
      </w:r>
    </w:p>
    <w:p>
      <w:pPr>
        <w:pStyle w:val="Normal"/>
        <w:spacing w:before="0" w:after="0"/>
        <w:jc w:val="both"/>
        <w:rPr>
          <w:rFonts w:ascii="Times New Roman" w:hAnsi="Times New Roman" w:cs="Times New Roman"/>
          <w:b/>
          <w:bCs/>
          <w:spacing w:val="-2"/>
          <w:sz w:val="26"/>
          <w:szCs w:val="26"/>
        </w:rPr>
      </w:pPr>
      <w:r>
        <w:rPr>
          <w:rFonts w:cs="Times New Roman" w:ascii="Times New Roman" w:hAnsi="Times New Roman"/>
          <w:b/>
          <w:bCs/>
          <w:sz w:val="26"/>
          <w:szCs w:val="26"/>
        </w:rPr>
        <w:t>3. Порядок</w:t>
      </w:r>
      <w:r>
        <w:rPr>
          <w:rFonts w:cs="Times New Roman" w:ascii="Times New Roman" w:hAnsi="Times New Roman"/>
          <w:b/>
          <w:bCs/>
          <w:spacing w:val="-8"/>
          <w:sz w:val="26"/>
          <w:szCs w:val="26"/>
        </w:rPr>
        <w:t xml:space="preserve"> </w:t>
      </w:r>
      <w:r>
        <w:rPr>
          <w:rFonts w:cs="Times New Roman" w:ascii="Times New Roman" w:hAnsi="Times New Roman"/>
          <w:b/>
          <w:bCs/>
          <w:sz w:val="26"/>
          <w:szCs w:val="26"/>
        </w:rPr>
        <w:t>подачи</w:t>
      </w:r>
      <w:r>
        <w:rPr>
          <w:rFonts w:cs="Times New Roman" w:ascii="Times New Roman" w:hAnsi="Times New Roman"/>
          <w:b/>
          <w:bCs/>
          <w:spacing w:val="-6"/>
          <w:sz w:val="26"/>
          <w:szCs w:val="26"/>
        </w:rPr>
        <w:t xml:space="preserve"> </w:t>
      </w:r>
      <w:r>
        <w:rPr>
          <w:rFonts w:cs="Times New Roman" w:ascii="Times New Roman" w:hAnsi="Times New Roman"/>
          <w:b/>
          <w:bCs/>
          <w:sz w:val="26"/>
          <w:szCs w:val="26"/>
        </w:rPr>
        <w:t>заявок</w:t>
      </w:r>
      <w:r>
        <w:rPr>
          <w:rFonts w:cs="Times New Roman" w:ascii="Times New Roman" w:hAnsi="Times New Roman"/>
          <w:b/>
          <w:bCs/>
          <w:spacing w:val="-6"/>
          <w:sz w:val="26"/>
          <w:szCs w:val="26"/>
        </w:rPr>
        <w:t xml:space="preserve"> </w:t>
      </w:r>
      <w:r>
        <w:rPr>
          <w:rFonts w:cs="Times New Roman" w:ascii="Times New Roman" w:hAnsi="Times New Roman"/>
          <w:b/>
          <w:bCs/>
          <w:sz w:val="26"/>
          <w:szCs w:val="26"/>
        </w:rPr>
        <w:t>на</w:t>
      </w:r>
      <w:r>
        <w:rPr>
          <w:rFonts w:cs="Times New Roman" w:ascii="Times New Roman" w:hAnsi="Times New Roman"/>
          <w:b/>
          <w:bCs/>
          <w:spacing w:val="-5"/>
          <w:sz w:val="26"/>
          <w:szCs w:val="26"/>
        </w:rPr>
        <w:t xml:space="preserve"> </w:t>
      </w:r>
      <w:r>
        <w:rPr>
          <w:rFonts w:cs="Times New Roman" w:ascii="Times New Roman" w:hAnsi="Times New Roman"/>
          <w:b/>
          <w:bCs/>
          <w:sz w:val="26"/>
          <w:szCs w:val="26"/>
        </w:rPr>
        <w:t>участие</w:t>
      </w:r>
      <w:r>
        <w:rPr>
          <w:rFonts w:cs="Times New Roman" w:ascii="Times New Roman" w:hAnsi="Times New Roman"/>
          <w:b/>
          <w:bCs/>
          <w:spacing w:val="-6"/>
          <w:sz w:val="26"/>
          <w:szCs w:val="26"/>
        </w:rPr>
        <w:t xml:space="preserve"> </w:t>
      </w:r>
      <w:r>
        <w:rPr>
          <w:rFonts w:cs="Times New Roman" w:ascii="Times New Roman" w:hAnsi="Times New Roman"/>
          <w:b/>
          <w:bCs/>
          <w:sz w:val="26"/>
          <w:szCs w:val="26"/>
        </w:rPr>
        <w:t>в</w:t>
      </w:r>
      <w:r>
        <w:rPr>
          <w:rFonts w:cs="Times New Roman" w:ascii="Times New Roman" w:hAnsi="Times New Roman"/>
          <w:b/>
          <w:bCs/>
          <w:spacing w:val="-6"/>
          <w:sz w:val="26"/>
          <w:szCs w:val="26"/>
        </w:rPr>
        <w:t xml:space="preserve"> </w:t>
      </w:r>
      <w:r>
        <w:rPr>
          <w:rFonts w:cs="Times New Roman" w:ascii="Times New Roman" w:hAnsi="Times New Roman"/>
          <w:b/>
          <w:bCs/>
          <w:sz w:val="26"/>
          <w:szCs w:val="26"/>
        </w:rPr>
        <w:t>электронном</w:t>
      </w:r>
      <w:r>
        <w:rPr>
          <w:rFonts w:cs="Times New Roman" w:ascii="Times New Roman" w:hAnsi="Times New Roman"/>
          <w:b/>
          <w:bCs/>
          <w:spacing w:val="-5"/>
          <w:sz w:val="26"/>
          <w:szCs w:val="26"/>
        </w:rPr>
        <w:t xml:space="preserve"> </w:t>
      </w:r>
      <w:r>
        <w:rPr>
          <w:rFonts w:cs="Times New Roman" w:ascii="Times New Roman" w:hAnsi="Times New Roman"/>
          <w:b/>
          <w:bCs/>
          <w:spacing w:val="-2"/>
          <w:sz w:val="26"/>
          <w:szCs w:val="26"/>
        </w:rPr>
        <w:t>аукционе.</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3.1. Подача заявок на участие в электронном аукционе осуществляется только лицами, зарегистрированными в единой информационной системе и аккредитованными на электронной площадке в соответствии с Законом о контрактной системе.</w:t>
      </w:r>
    </w:p>
    <w:p>
      <w:pPr>
        <w:pStyle w:val="Normal"/>
        <w:spacing w:before="0" w:after="0"/>
        <w:jc w:val="both"/>
        <w:rPr>
          <w:rFonts w:ascii="Times New Roman" w:hAnsi="Times New Roman" w:cs="Times New Roman"/>
          <w:b/>
          <w:bCs/>
          <w:sz w:val="26"/>
          <w:szCs w:val="26"/>
        </w:rPr>
      </w:pPr>
      <w:r>
        <w:rPr>
          <w:rFonts w:cs="Times New Roman" w:ascii="Times New Roman" w:hAnsi="Times New Roman"/>
          <w:b/>
          <w:bCs/>
          <w:sz w:val="26"/>
          <w:szCs w:val="26"/>
        </w:rPr>
        <w:t>4. Требования к содержанию, составу заявки на участие в электронном аукционе.</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4.1.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pPr>
        <w:pStyle w:val="Normal"/>
        <w:spacing w:before="0" w:after="0"/>
        <w:jc w:val="both"/>
        <w:rPr>
          <w:rFonts w:ascii="Times New Roman" w:hAnsi="Times New Roman"/>
          <w:sz w:val="26"/>
          <w:szCs w:val="26"/>
        </w:rPr>
      </w:pPr>
      <w:r>
        <w:rPr>
          <w:rFonts w:cs="Times New Roman" w:ascii="Times New Roman" w:hAnsi="Times New Roman"/>
          <w:sz w:val="26"/>
          <w:szCs w:val="26"/>
        </w:rPr>
        <w:t>4.2. Декларация о соответствии участника закупки требованиям, установленным пунктами 3 - 5, 7 - 11 части 1 статьи 31 Закона о контрактной системе (если информация и документы, которые подтверждают соответствие участника закупки требованиям, установленным пунктом 1 части 1 статьи 31 Закона о контрактной системе,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о контрактной системе,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pPr>
        <w:pStyle w:val="Normal"/>
        <w:spacing w:before="0" w:after="0"/>
        <w:jc w:val="both"/>
        <w:rPr>
          <w:rFonts w:ascii="Times New Roman" w:hAnsi="Times New Roman"/>
          <w:sz w:val="26"/>
          <w:szCs w:val="26"/>
        </w:rPr>
      </w:pPr>
      <w:r>
        <w:rPr>
          <w:rFonts w:cs="Times New Roman" w:ascii="Times New Roman" w:hAnsi="Times New Roman"/>
          <w:sz w:val="26"/>
          <w:szCs w:val="26"/>
        </w:rPr>
        <w:t>4.3.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pPr>
        <w:pStyle w:val="Normal"/>
        <w:spacing w:before="0" w:after="0"/>
        <w:jc w:val="both"/>
        <w:rPr>
          <w:rFonts w:ascii="Times New Roman" w:hAnsi="Times New Roman"/>
          <w:sz w:val="26"/>
          <w:szCs w:val="26"/>
        </w:rPr>
      </w:pPr>
      <w:r>
        <w:rPr>
          <w:rFonts w:cs="Times New Roman" w:ascii="Times New Roman" w:hAnsi="Times New Roman"/>
          <w:sz w:val="26"/>
          <w:szCs w:val="26"/>
        </w:rPr>
        <w:t>4.4.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Закона о контрактной системе.</w:t>
      </w:r>
    </w:p>
    <w:p>
      <w:pPr>
        <w:pStyle w:val="Normal"/>
        <w:spacing w:before="0" w:after="0"/>
        <w:jc w:val="both"/>
        <w:rPr>
          <w:rFonts w:ascii="Times New Roman" w:hAnsi="Times New Roman"/>
          <w:sz w:val="26"/>
          <w:szCs w:val="26"/>
        </w:rPr>
      </w:pPr>
      <w:r>
        <w:rPr>
          <w:rFonts w:cs="Times New Roman" w:ascii="Times New Roman" w:hAnsi="Times New Roman"/>
          <w:sz w:val="26"/>
          <w:szCs w:val="26"/>
        </w:rPr>
        <w:t>4.5.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Закона о контрактной системе.</w:t>
      </w:r>
    </w:p>
    <w:p>
      <w:pPr>
        <w:pStyle w:val="Normal"/>
        <w:spacing w:before="0" w:after="0"/>
        <w:jc w:val="both"/>
        <w:rPr>
          <w:rFonts w:ascii="Times New Roman" w:hAnsi="Times New Roman"/>
          <w:sz w:val="26"/>
          <w:szCs w:val="26"/>
        </w:rPr>
      </w:pPr>
      <w:r>
        <w:rPr>
          <w:rFonts w:cs="Times New Roman" w:ascii="Times New Roman" w:hAnsi="Times New Roman"/>
          <w:sz w:val="26"/>
          <w:szCs w:val="26"/>
        </w:rPr>
        <w:t>4.6. Товарный знак (при наличии).</w:t>
      </w:r>
    </w:p>
    <w:p>
      <w:pPr>
        <w:pStyle w:val="Normal"/>
        <w:spacing w:before="0" w:after="0"/>
        <w:jc w:val="both"/>
        <w:rPr>
          <w:rFonts w:ascii="Times New Roman" w:hAnsi="Times New Roman"/>
          <w:sz w:val="26"/>
          <w:szCs w:val="26"/>
        </w:rPr>
      </w:pPr>
      <w:r>
        <w:rPr>
          <w:rFonts w:cs="Times New Roman" w:ascii="Times New Roman" w:hAnsi="Times New Roman"/>
          <w:sz w:val="26"/>
          <w:szCs w:val="26"/>
        </w:rPr>
        <w:t>4.7. Информация и документы, определенные в соответствии с пунктом 2 части 2 статьи 14 Закона о контрактной системе (в случае, если в извещении об осуществлении закупки, документации о закупке (если Законом о контрактной системе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pPr>
        <w:pStyle w:val="Normal"/>
        <w:spacing w:before="0" w:after="0"/>
        <w:jc w:val="both"/>
        <w:rPr>
          <w:rFonts w:ascii="Times New Roman" w:hAnsi="Times New Roman"/>
          <w:sz w:val="26"/>
          <w:szCs w:val="26"/>
        </w:rPr>
      </w:pPr>
      <w:r>
        <w:rPr>
          <w:rFonts w:cs="Times New Roman" w:ascii="Times New Roman" w:hAnsi="Times New Roman"/>
          <w:sz w:val="26"/>
          <w:szCs w:val="26"/>
        </w:rPr>
        <w:t xml:space="preserve">Информацией и документами, подтверждающими страну происхождения товара для целей постановления Правительства РФ от 23.12.2024 № 1875, являются: </w:t>
      </w:r>
    </w:p>
    <w:p>
      <w:pPr>
        <w:pStyle w:val="Normal"/>
        <w:spacing w:before="0" w:after="0"/>
        <w:jc w:val="both"/>
        <w:rPr>
          <w:rFonts w:ascii="Times New Roman" w:hAnsi="Times New Roman"/>
          <w:sz w:val="26"/>
          <w:szCs w:val="26"/>
        </w:rPr>
      </w:pPr>
      <w:r>
        <w:rPr>
          <w:rFonts w:cs="Times New Roman" w:ascii="Times New Roman" w:hAnsi="Times New Roman"/>
          <w:sz w:val="26"/>
          <w:szCs w:val="26"/>
        </w:rPr>
        <w:t xml:space="preserve">а) для подтверждения происхождения программ для электронных вычислительных машин и (или) баз данных (далее - программное обеспечение) из Российской Федерации -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 </w:t>
      </w:r>
    </w:p>
    <w:p>
      <w:pPr>
        <w:pStyle w:val="Normal"/>
        <w:spacing w:before="0" w:after="0"/>
        <w:jc w:val="both"/>
        <w:rPr>
          <w:rFonts w:ascii="Times New Roman" w:hAnsi="Times New Roman"/>
          <w:sz w:val="26"/>
          <w:szCs w:val="26"/>
        </w:rPr>
      </w:pPr>
      <w:r>
        <w:rPr>
          <w:rFonts w:cs="Times New Roman" w:ascii="Times New Roman" w:hAnsi="Times New Roman"/>
          <w:sz w:val="26"/>
          <w:szCs w:val="26"/>
        </w:rPr>
        <w:t xml:space="preserve">б) для подтверждения происхождения программного обеспечения из Российской Федерации и его соответствия требованиям, установленным частями 3.7 и 3.9 статьи 2 Федерального закона "О внесении изменений в Федеральный закон "О безопасности критической информационной инфраструктуры Российской Федерации" (далее - требования к доверенному программному обеспечению), - порядковый номер реестровой записи из реестра российского программного обеспечения, содержащей информацию о соответствии программного обеспечения требованиям к доверенному программному обеспечению; </w:t>
      </w:r>
    </w:p>
    <w:p>
      <w:pPr>
        <w:pStyle w:val="Normal"/>
        <w:spacing w:before="0" w:after="0"/>
        <w:jc w:val="both"/>
        <w:rPr>
          <w:rFonts w:ascii="Times New Roman" w:hAnsi="Times New Roman"/>
          <w:sz w:val="26"/>
          <w:szCs w:val="26"/>
        </w:rPr>
      </w:pPr>
      <w:r>
        <w:rPr>
          <w:rFonts w:cs="Times New Roman" w:ascii="Times New Roman" w:hAnsi="Times New Roman"/>
          <w:sz w:val="26"/>
          <w:szCs w:val="26"/>
        </w:rPr>
        <w:t xml:space="preserve">в) для подтверждения происхождения программного обеспечения из государств - членов Евразийского экономического союза, за исключением Российской Федерации, -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 </w:t>
      </w:r>
    </w:p>
    <w:p>
      <w:pPr>
        <w:pStyle w:val="Normal"/>
        <w:spacing w:before="0" w:after="0"/>
        <w:jc w:val="both"/>
        <w:rPr>
          <w:rFonts w:ascii="Times New Roman" w:hAnsi="Times New Roman"/>
          <w:sz w:val="26"/>
          <w:szCs w:val="26"/>
        </w:rPr>
      </w:pPr>
      <w:r>
        <w:rPr>
          <w:rFonts w:cs="Times New Roman" w:ascii="Times New Roman" w:hAnsi="Times New Roman"/>
          <w:sz w:val="26"/>
          <w:szCs w:val="26"/>
        </w:rPr>
        <w:t>г) для подтверждения происхождения программного обеспечения из государств - членов Евразийского экономического союза, за исключением Российской Федерации, и его соответствия требованиям к доверенному программному обеспечению - порядковый номер реестровой записи из реестра евразийского программного обеспечения, содержащей информацию о соответствии программного обеспечения требованиям к доверенному программному обеспечению.</w:t>
      </w:r>
    </w:p>
    <w:p>
      <w:pPr>
        <w:pStyle w:val="Normal"/>
        <w:spacing w:before="0" w:after="0"/>
        <w:jc w:val="both"/>
        <w:rPr>
          <w:rFonts w:ascii="Times New Roman" w:hAnsi="Times New Roman"/>
          <w:sz w:val="26"/>
          <w:szCs w:val="26"/>
        </w:rPr>
      </w:pPr>
      <w:r>
        <w:rPr>
          <w:rFonts w:cs="Times New Roman" w:ascii="Times New Roman" w:hAnsi="Times New Roman"/>
          <w:color w:val="000000"/>
          <w:sz w:val="26"/>
          <w:szCs w:val="26"/>
        </w:rPr>
        <w:t>4.8. Заявка может содержать иные информацию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В случае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необходимо представить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(Постановление Правительства РФ от 10.04.2023 № 579).</w:t>
      </w:r>
    </w:p>
    <w:p>
      <w:pPr>
        <w:pStyle w:val="Normal"/>
        <w:spacing w:before="0" w:after="0"/>
        <w:jc w:val="both"/>
        <w:rPr>
          <w:rFonts w:ascii="Times New Roman" w:hAnsi="Times New Roman" w:cs="Times New Roman"/>
          <w:sz w:val="26"/>
          <w:szCs w:val="26"/>
        </w:rPr>
      </w:pPr>
      <w:r>
        <w:rPr>
          <w:rFonts w:cs="Times New Roman" w:ascii="Times New Roman" w:hAnsi="Times New Roman"/>
          <w:b/>
          <w:bCs/>
          <w:sz w:val="26"/>
          <w:szCs w:val="26"/>
        </w:rPr>
        <w:t>5. 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r>
        <w:rPr>
          <w:rFonts w:cs="Times New Roman" w:ascii="Times New Roman" w:hAnsi="Times New Roman"/>
          <w:sz w:val="26"/>
          <w:szCs w:val="26"/>
        </w:rPr>
        <w:t xml:space="preserve"> установлено в размере 15%. </w:t>
      </w:r>
    </w:p>
    <w:p>
      <w:pPr>
        <w:pStyle w:val="Normal"/>
        <w:spacing w:before="0" w:after="0"/>
        <w:jc w:val="both"/>
        <w:rPr>
          <w:rFonts w:ascii="Times New Roman" w:hAnsi="Times New Roman" w:cs="Times New Roman"/>
          <w:b/>
          <w:bCs/>
          <w:sz w:val="26"/>
          <w:szCs w:val="26"/>
        </w:rPr>
      </w:pPr>
      <w:r>
        <w:rPr>
          <w:rFonts w:cs="Times New Roman" w:ascii="Times New Roman" w:hAnsi="Times New Roman"/>
          <w:b/>
          <w:bCs/>
          <w:sz w:val="26"/>
          <w:szCs w:val="26"/>
        </w:rPr>
        <w:t>6. Внесение изменений в извещение. Разъяснения положений извещения. Отказ от проведения электронного аукциона.</w:t>
      </w:r>
    </w:p>
    <w:p>
      <w:pPr>
        <w:pStyle w:val="Normal"/>
        <w:spacing w:before="0" w:after="0"/>
        <w:jc w:val="both"/>
        <w:rPr>
          <w:b/>
          <w:bCs/>
        </w:rPr>
      </w:pPr>
      <w:r>
        <w:rPr>
          <w:rFonts w:cs="Times New Roman" w:ascii="Times New Roman" w:hAnsi="Times New Roman"/>
          <w:b/>
          <w:bCs/>
          <w:sz w:val="26"/>
          <w:szCs w:val="26"/>
        </w:rPr>
        <w:t>6.1.</w:t>
      </w:r>
      <w:r>
        <w:rPr>
          <w:b/>
          <w:bCs/>
        </w:rPr>
        <w:t xml:space="preserve"> </w:t>
      </w:r>
      <w:r>
        <w:rPr>
          <w:rFonts w:cs="Times New Roman" w:ascii="Times New Roman" w:hAnsi="Times New Roman"/>
          <w:b/>
          <w:bCs/>
          <w:sz w:val="26"/>
          <w:szCs w:val="26"/>
        </w:rPr>
        <w:t>Внесение изменений в извещение.</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Заказчик вправе внести изменения в извещение об осуществлении закупки не позднее чем за один рабочий день до даты окончания срока подачи заявок на участие в закупке.</w:t>
      </w:r>
    </w:p>
    <w:p>
      <w:pPr>
        <w:pStyle w:val="Normal"/>
        <w:spacing w:before="0" w:after="0"/>
        <w:jc w:val="both"/>
        <w:rPr>
          <w:b/>
          <w:bCs/>
        </w:rPr>
      </w:pPr>
      <w:r>
        <w:rPr>
          <w:rFonts w:cs="Times New Roman" w:ascii="Times New Roman" w:hAnsi="Times New Roman"/>
          <w:b/>
          <w:bCs/>
          <w:sz w:val="26"/>
          <w:szCs w:val="26"/>
        </w:rPr>
        <w:t>6.2. Порядок предоставления разъяснений положений извещения участникам закупки.</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Любой участник закупки, зарегистрированный в единой информационной системе, вправе направить с использованием электронной площадки заказчику не более чем три запроса о даче разъяснений положений извещения об осуществлении закупки при проведении электронного конкурса и электронного аукциона не позднее чем за три дня до окончания срока подачи заявок на участие в закупке. Не позднее одного часа с момента поступления такого запроса оператор электронной площадки направляет его с использованием электронной площадки заказчику. Не позднее двух дней со дня, следующего за днем поступления заказчику запроса о даче разъяснения положений извещения об осуществлении закупки, заказчик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разъяснение положений извещения об осуществлении закупки с указанием предмета запроса, но без указания участника закупки, от которого поступил такой запрос. Такие разъяснения не должны изменять суть извещения об осуществлении закупки.</w:t>
      </w:r>
    </w:p>
    <w:p>
      <w:pPr>
        <w:pStyle w:val="Normal"/>
        <w:spacing w:before="0" w:after="0"/>
        <w:jc w:val="both"/>
        <w:rPr>
          <w:b/>
          <w:bCs/>
        </w:rPr>
      </w:pPr>
      <w:r>
        <w:rPr>
          <w:rFonts w:cs="Times New Roman" w:ascii="Times New Roman" w:hAnsi="Times New Roman"/>
          <w:b/>
          <w:bCs/>
          <w:sz w:val="26"/>
          <w:szCs w:val="26"/>
        </w:rPr>
        <w:t>6.3.</w:t>
      </w:r>
      <w:r>
        <w:rPr>
          <w:b/>
          <w:bCs/>
        </w:rPr>
        <w:t xml:space="preserve"> </w:t>
      </w:r>
      <w:r>
        <w:rPr>
          <w:rFonts w:cs="Times New Roman" w:ascii="Times New Roman" w:hAnsi="Times New Roman"/>
          <w:b/>
          <w:bCs/>
          <w:sz w:val="26"/>
          <w:szCs w:val="26"/>
        </w:rPr>
        <w:t>Отказ от проведения электронного аукциона.</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Заказчик вправе сформировать извещение об отмене закупки не позднее чем за один рабочий день до даты окончания срока подачи заявок на участие в закупке.</w:t>
      </w:r>
    </w:p>
    <w:p>
      <w:pPr>
        <w:pStyle w:val="Normal"/>
        <w:spacing w:before="0" w:after="0"/>
        <w:jc w:val="both"/>
        <w:rPr>
          <w:rFonts w:ascii="Times New Roman" w:hAnsi="Times New Roman" w:cs="Times New Roman"/>
          <w:b/>
          <w:bCs/>
          <w:sz w:val="26"/>
          <w:szCs w:val="26"/>
        </w:rPr>
      </w:pPr>
      <w:r>
        <w:rPr>
          <w:rFonts w:cs="Times New Roman" w:ascii="Times New Roman" w:hAnsi="Times New Roman"/>
          <w:b/>
          <w:bCs/>
          <w:sz w:val="26"/>
          <w:szCs w:val="26"/>
        </w:rPr>
        <w:t>7. Заключение контракта по результатам электронного аукциона.</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Контракт заключается в порядке, предусмотренном ст. 51 Закона о контрактной системе.</w:t>
      </w:r>
    </w:p>
    <w:p>
      <w:pPr>
        <w:pStyle w:val="Normal"/>
        <w:spacing w:before="0" w:after="0"/>
        <w:jc w:val="both"/>
        <w:rPr>
          <w:rFonts w:ascii="Times New Roman" w:hAnsi="Times New Roman" w:cs="Times New Roman"/>
          <w:b/>
          <w:bCs/>
          <w:sz w:val="26"/>
          <w:szCs w:val="26"/>
        </w:rPr>
      </w:pPr>
      <w:r>
        <w:rPr>
          <w:rFonts w:cs="Times New Roman" w:ascii="Times New Roman" w:hAnsi="Times New Roman"/>
          <w:b/>
          <w:bCs/>
          <w:sz w:val="26"/>
          <w:szCs w:val="26"/>
        </w:rPr>
        <w:t>8. Последствия признания электронного аукциона несостоявшимся.</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Последствия признания электронного аукциона несостоявшимся, основания и действия Заказчика указаны в ст. 52 Закона о контрактной системе.</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ответственность в соответствии со ст. 14.32 КоАП РФ и ст. 178 УК РФ.</w:t>
      </w:r>
    </w:p>
    <w:p>
      <w:pPr>
        <w:pStyle w:val="Normal"/>
        <w:spacing w:before="0" w:after="0"/>
        <w:jc w:val="both"/>
        <w:rPr>
          <w:rFonts w:ascii="Times New Roman" w:hAnsi="Times New Roman" w:cs="Times New Roman"/>
          <w:b/>
          <w:bCs/>
          <w:sz w:val="26"/>
          <w:szCs w:val="26"/>
        </w:rPr>
      </w:pPr>
      <w:r>
        <w:rPr>
          <w:rFonts w:cs="Times New Roman" w:ascii="Times New Roman" w:hAnsi="Times New Roman"/>
          <w:b/>
          <w:bCs/>
          <w:sz w:val="26"/>
          <w:szCs w:val="26"/>
        </w:rPr>
      </w:r>
    </w:p>
    <w:p>
      <w:pPr>
        <w:pStyle w:val="Normal"/>
        <w:spacing w:before="0" w:after="0"/>
        <w:jc w:val="both"/>
        <w:rPr>
          <w:rFonts w:ascii="Times New Roman" w:hAnsi="Times New Roman" w:cs="Times New Roman"/>
          <w:b/>
          <w:bCs/>
          <w:sz w:val="26"/>
          <w:szCs w:val="26"/>
        </w:rPr>
      </w:pPr>
      <w:r>
        <w:rPr>
          <w:rFonts w:cs="Times New Roman" w:ascii="Times New Roman" w:hAnsi="Times New Roman"/>
          <w:b/>
          <w:bCs/>
          <w:sz w:val="26"/>
          <w:szCs w:val="26"/>
        </w:rPr>
      </w:r>
    </w:p>
    <w:p>
      <w:pPr>
        <w:pStyle w:val="Normal"/>
        <w:spacing w:before="0" w:after="0"/>
        <w:jc w:val="both"/>
        <w:rPr>
          <w:rFonts w:ascii="Times New Roman" w:hAnsi="Times New Roman" w:cs="Times New Roman"/>
          <w:b/>
          <w:bCs/>
          <w:sz w:val="26"/>
          <w:szCs w:val="26"/>
        </w:rPr>
      </w:pPr>
      <w:r>
        <w:rPr>
          <w:rFonts w:cs="Times New Roman" w:ascii="Times New Roman" w:hAnsi="Times New Roman"/>
          <w:b/>
          <w:bCs/>
          <w:sz w:val="26"/>
          <w:szCs w:val="26"/>
        </w:rPr>
      </w:r>
    </w:p>
    <w:p>
      <w:pPr>
        <w:pStyle w:val="Normal"/>
        <w:spacing w:before="0" w:after="0"/>
        <w:jc w:val="both"/>
        <w:rPr>
          <w:rFonts w:ascii="Times New Roman" w:hAnsi="Times New Roman" w:cs="Times New Roman"/>
          <w:b/>
          <w:bCs/>
          <w:sz w:val="26"/>
          <w:szCs w:val="26"/>
        </w:rPr>
      </w:pPr>
      <w:r>
        <w:rPr>
          <w:rFonts w:cs="Times New Roman" w:ascii="Times New Roman" w:hAnsi="Times New Roman"/>
          <w:b/>
          <w:bCs/>
          <w:sz w:val="26"/>
          <w:szCs w:val="26"/>
        </w:rPr>
      </w:r>
    </w:p>
    <w:p>
      <w:pPr>
        <w:pStyle w:val="Normal"/>
        <w:spacing w:before="0" w:after="0"/>
        <w:jc w:val="both"/>
        <w:rPr>
          <w:rFonts w:ascii="Times New Roman" w:hAnsi="Times New Roman" w:cs="Times New Roman"/>
          <w:b/>
          <w:bCs/>
          <w:sz w:val="26"/>
          <w:szCs w:val="26"/>
        </w:rPr>
      </w:pPr>
      <w:r>
        <w:rPr>
          <w:rFonts w:cs="Times New Roman" w:ascii="Times New Roman" w:hAnsi="Times New Roman"/>
          <w:b/>
          <w:bCs/>
          <w:sz w:val="26"/>
          <w:szCs w:val="26"/>
        </w:rPr>
      </w:r>
    </w:p>
    <w:p>
      <w:pPr>
        <w:pStyle w:val="TableParagraph"/>
        <w:tabs>
          <w:tab w:val="clear" w:pos="708"/>
          <w:tab w:val="left" w:pos="270" w:leader="none"/>
        </w:tabs>
        <w:spacing w:lineRule="auto" w:line="240" w:before="0" w:after="0"/>
        <w:ind w:left="0"/>
        <w:jc w:val="center"/>
        <w:rPr>
          <w:sz w:val="26"/>
          <w:szCs w:val="26"/>
        </w:rPr>
      </w:pPr>
      <w:r>
        <w:rPr>
          <w:sz w:val="26"/>
          <w:szCs w:val="26"/>
        </w:rPr>
      </w:r>
    </w:p>
    <w:p>
      <w:pPr>
        <w:pStyle w:val="TableParagraph"/>
        <w:tabs>
          <w:tab w:val="clear" w:pos="708"/>
          <w:tab w:val="left" w:pos="270" w:leader="none"/>
        </w:tabs>
        <w:spacing w:lineRule="auto" w:line="240" w:before="0" w:after="0"/>
        <w:ind w:left="0"/>
        <w:jc w:val="center"/>
        <w:rPr>
          <w:sz w:val="26"/>
          <w:szCs w:val="26"/>
        </w:rPr>
      </w:pPr>
      <w:r>
        <w:rPr>
          <w:sz w:val="26"/>
          <w:szCs w:val="26"/>
        </w:rPr>
      </w:r>
    </w:p>
    <w:p>
      <w:pPr>
        <w:pStyle w:val="TableParagraph"/>
        <w:tabs>
          <w:tab w:val="clear" w:pos="708"/>
          <w:tab w:val="left" w:pos="270" w:leader="none"/>
        </w:tabs>
        <w:spacing w:lineRule="auto" w:line="240" w:before="0" w:after="0"/>
        <w:ind w:left="0"/>
        <w:jc w:val="center"/>
        <w:rPr>
          <w:sz w:val="26"/>
          <w:szCs w:val="26"/>
        </w:rPr>
      </w:pPr>
      <w:r>
        <w:rPr>
          <w:sz w:val="26"/>
          <w:szCs w:val="26"/>
        </w:rPr>
      </w:r>
    </w:p>
    <w:p>
      <w:pPr>
        <w:pStyle w:val="TableParagraph"/>
        <w:tabs>
          <w:tab w:val="clear" w:pos="708"/>
          <w:tab w:val="left" w:pos="270" w:leader="none"/>
        </w:tabs>
        <w:spacing w:lineRule="auto" w:line="240" w:before="0" w:after="0"/>
        <w:ind w:left="0"/>
        <w:jc w:val="center"/>
        <w:rPr>
          <w:sz w:val="26"/>
          <w:szCs w:val="26"/>
        </w:rPr>
      </w:pPr>
      <w:r>
        <w:rPr>
          <w:sz w:val="26"/>
          <w:szCs w:val="26"/>
        </w:rPr>
      </w:r>
    </w:p>
    <w:p>
      <w:pPr>
        <w:pStyle w:val="TableParagraph"/>
        <w:tabs>
          <w:tab w:val="clear" w:pos="708"/>
          <w:tab w:val="left" w:pos="270" w:leader="none"/>
        </w:tabs>
        <w:spacing w:lineRule="auto" w:line="240" w:before="0" w:after="0"/>
        <w:ind w:left="0"/>
        <w:jc w:val="center"/>
        <w:rPr>
          <w:sz w:val="26"/>
          <w:szCs w:val="26"/>
        </w:rPr>
      </w:pPr>
      <w:r>
        <w:rPr>
          <w:sz w:val="26"/>
          <w:szCs w:val="26"/>
        </w:rPr>
      </w:r>
    </w:p>
    <w:p>
      <w:pPr>
        <w:pStyle w:val="TableParagraph"/>
        <w:tabs>
          <w:tab w:val="clear" w:pos="708"/>
          <w:tab w:val="left" w:pos="270" w:leader="none"/>
        </w:tabs>
        <w:spacing w:lineRule="auto" w:line="240" w:before="0" w:after="0"/>
        <w:ind w:left="0"/>
        <w:jc w:val="center"/>
        <w:rPr>
          <w:sz w:val="26"/>
          <w:szCs w:val="26"/>
        </w:rPr>
      </w:pPr>
      <w:r>
        <w:rPr>
          <w:sz w:val="26"/>
          <w:szCs w:val="26"/>
        </w:rPr>
      </w:r>
    </w:p>
    <w:p>
      <w:pPr>
        <w:pStyle w:val="TableParagraph"/>
        <w:tabs>
          <w:tab w:val="clear" w:pos="708"/>
          <w:tab w:val="left" w:pos="270" w:leader="none"/>
        </w:tabs>
        <w:spacing w:lineRule="auto" w:line="240" w:before="0" w:after="0"/>
        <w:ind w:left="0"/>
        <w:jc w:val="center"/>
        <w:rPr>
          <w:sz w:val="26"/>
          <w:szCs w:val="26"/>
        </w:rPr>
      </w:pPr>
      <w:r>
        <w:rPr>
          <w:sz w:val="26"/>
          <w:szCs w:val="26"/>
        </w:rPr>
      </w:r>
    </w:p>
    <w:p>
      <w:pPr>
        <w:pStyle w:val="TableParagraph"/>
        <w:tabs>
          <w:tab w:val="clear" w:pos="708"/>
          <w:tab w:val="left" w:pos="270" w:leader="none"/>
        </w:tabs>
        <w:spacing w:lineRule="auto" w:line="240" w:before="0" w:after="0"/>
        <w:ind w:left="0"/>
        <w:jc w:val="center"/>
        <w:rPr>
          <w:sz w:val="26"/>
          <w:szCs w:val="26"/>
        </w:rPr>
      </w:pPr>
      <w:r>
        <w:rPr>
          <w:sz w:val="26"/>
          <w:szCs w:val="26"/>
        </w:rPr>
      </w:r>
    </w:p>
    <w:p>
      <w:pPr>
        <w:pStyle w:val="TableParagraph"/>
        <w:tabs>
          <w:tab w:val="clear" w:pos="708"/>
          <w:tab w:val="left" w:pos="270" w:leader="none"/>
        </w:tabs>
        <w:spacing w:lineRule="auto" w:line="240" w:before="0" w:after="0"/>
        <w:ind w:left="0"/>
        <w:jc w:val="center"/>
        <w:rPr>
          <w:sz w:val="26"/>
          <w:szCs w:val="26"/>
        </w:rPr>
      </w:pPr>
      <w:r>
        <w:rPr>
          <w:b/>
          <w:bCs/>
          <w:spacing w:val="-2"/>
          <w:lang w:eastAsia="ru-RU"/>
        </w:rPr>
        <w:t>Инструкция по заполнению заявки на участие в электронном аукционе.</w:t>
      </w:r>
    </w:p>
    <w:p>
      <w:pPr>
        <w:pStyle w:val="Normal"/>
        <w:spacing w:before="0" w:after="0"/>
        <w:jc w:val="both"/>
        <w:rPr>
          <w:rFonts w:ascii="Times New Roman" w:hAnsi="Times New Roman"/>
          <w:sz w:val="26"/>
          <w:szCs w:val="26"/>
        </w:rPr>
      </w:pPr>
      <w:r>
        <w:rPr>
          <w:rFonts w:ascii="Times New Roman" w:hAnsi="Times New Roman"/>
          <w:sz w:val="26"/>
          <w:szCs w:val="26"/>
        </w:rPr>
      </w:r>
    </w:p>
    <w:p>
      <w:pPr>
        <w:pStyle w:val="Normal"/>
        <w:spacing w:before="0" w:after="0"/>
        <w:jc w:val="both"/>
        <w:rPr>
          <w:rFonts w:ascii="Times New Roman" w:hAnsi="Times New Roman"/>
          <w:sz w:val="26"/>
          <w:szCs w:val="26"/>
        </w:rPr>
      </w:pPr>
      <w:r>
        <w:rPr>
          <w:rFonts w:ascii="Times New Roman" w:hAnsi="Times New Roman"/>
          <w:sz w:val="26"/>
          <w:szCs w:val="26"/>
        </w:rPr>
        <w:t>-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срока подачи заявок на участие в закупке.</w:t>
      </w:r>
    </w:p>
    <w:p>
      <w:pPr>
        <w:pStyle w:val="Normal"/>
        <w:spacing w:before="0" w:after="0"/>
        <w:jc w:val="both"/>
        <w:rPr>
          <w:rFonts w:ascii="Times New Roman" w:hAnsi="Times New Roman"/>
          <w:sz w:val="26"/>
          <w:szCs w:val="26"/>
        </w:rPr>
      </w:pPr>
      <w:r>
        <w:rPr>
          <w:rFonts w:ascii="Times New Roman" w:hAnsi="Times New Roman"/>
          <w:sz w:val="26"/>
          <w:szCs w:val="26"/>
        </w:rPr>
        <w:t>- 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оператору электронной площадки.</w:t>
      </w:r>
    </w:p>
    <w:p>
      <w:pPr>
        <w:pStyle w:val="Normal"/>
        <w:spacing w:before="0" w:after="0"/>
        <w:jc w:val="both"/>
        <w:rPr>
          <w:rFonts w:ascii="Times New Roman" w:hAnsi="Times New Roman"/>
          <w:sz w:val="26"/>
          <w:szCs w:val="26"/>
        </w:rPr>
      </w:pPr>
      <w:r>
        <w:rPr>
          <w:rFonts w:ascii="Times New Roman" w:hAnsi="Times New Roman"/>
          <w:sz w:val="26"/>
          <w:szCs w:val="26"/>
        </w:rPr>
        <w:t>- При проведении электронных процедур документы, предусмотренные подпунктами "а" - "л" пункта 1 части 1 статьи 43 Федерального закона № 44-ФЗ, а также подтверждающие соответствие участника закупки дополнительным требованиям, установленным в соответствии с частью 2 или 2.1 (при наличии таких требований) статьи 31 Федерального закона № 44-ФЗ, и предусмотренные подпунктом "н" пункта 1 части 1 статьи 43 Федерального закона № 44-ФЗ, не включаются участником закупки в заявку на участие в закупке. Такие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 Sans">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ru-RU" w:eastAsia="en-US" w:bidi="ar-SA"/>
      <w14:ligatures w14:val="standardContextual"/>
    </w:rPr>
  </w:style>
  <w:style w:type="paragraph" w:styleId="Heading1">
    <w:name w:val="Heading 1"/>
    <w:basedOn w:val="Normal"/>
    <w:next w:val="Normal"/>
    <w:link w:val="1"/>
    <w:uiPriority w:val="9"/>
    <w:qFormat/>
    <w:rsid w:val="0030787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2"/>
    <w:uiPriority w:val="9"/>
    <w:semiHidden/>
    <w:unhideWhenUsed/>
    <w:qFormat/>
    <w:rsid w:val="0030787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3"/>
    <w:uiPriority w:val="9"/>
    <w:semiHidden/>
    <w:unhideWhenUsed/>
    <w:qFormat/>
    <w:rsid w:val="0030787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4"/>
    <w:uiPriority w:val="9"/>
    <w:semiHidden/>
    <w:unhideWhenUsed/>
    <w:qFormat/>
    <w:rsid w:val="0030787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5"/>
    <w:uiPriority w:val="9"/>
    <w:semiHidden/>
    <w:unhideWhenUsed/>
    <w:qFormat/>
    <w:rsid w:val="0030787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6"/>
    <w:uiPriority w:val="9"/>
    <w:semiHidden/>
    <w:unhideWhenUsed/>
    <w:qFormat/>
    <w:rsid w:val="0030787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30787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30787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30787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307871"/>
    <w:rPr>
      <w:rFonts w:ascii="Aptos Display" w:hAnsi="Aptos Display" w:eastAsia="" w:cs="" w:asciiTheme="majorHAnsi" w:cstheme="majorBidi" w:eastAsiaTheme="majorEastAsia" w:hAnsiTheme="majorHAnsi"/>
      <w:color w:themeColor="accent1" w:themeShade="bf" w:val="0F4761"/>
      <w:sz w:val="40"/>
      <w:szCs w:val="40"/>
    </w:rPr>
  </w:style>
  <w:style w:type="character" w:styleId="2" w:customStyle="1">
    <w:name w:val="Заголовок 2 Знак"/>
    <w:basedOn w:val="DefaultParagraphFont"/>
    <w:uiPriority w:val="9"/>
    <w:semiHidden/>
    <w:qFormat/>
    <w:rsid w:val="00307871"/>
    <w:rPr>
      <w:rFonts w:ascii="Aptos Display" w:hAnsi="Aptos Display" w:eastAsia="" w:cs="" w:asciiTheme="majorHAnsi" w:cstheme="majorBidi" w:eastAsiaTheme="majorEastAsia" w:hAnsiTheme="majorHAnsi"/>
      <w:color w:themeColor="accent1" w:themeShade="bf" w:val="0F4761"/>
      <w:sz w:val="32"/>
      <w:szCs w:val="32"/>
    </w:rPr>
  </w:style>
  <w:style w:type="character" w:styleId="3" w:customStyle="1">
    <w:name w:val="Заголовок 3 Знак"/>
    <w:basedOn w:val="DefaultParagraphFont"/>
    <w:uiPriority w:val="9"/>
    <w:semiHidden/>
    <w:qFormat/>
    <w:rsid w:val="00307871"/>
    <w:rPr>
      <w:rFonts w:eastAsia="" w:cs="" w:cstheme="majorBidi" w:eastAsiaTheme="majorEastAsia"/>
      <w:color w:themeColor="accent1" w:themeShade="bf" w:val="0F4761"/>
      <w:sz w:val="28"/>
      <w:szCs w:val="28"/>
    </w:rPr>
  </w:style>
  <w:style w:type="character" w:styleId="4" w:customStyle="1">
    <w:name w:val="Заголовок 4 Знак"/>
    <w:basedOn w:val="DefaultParagraphFont"/>
    <w:uiPriority w:val="9"/>
    <w:semiHidden/>
    <w:qFormat/>
    <w:rsid w:val="00307871"/>
    <w:rPr>
      <w:rFonts w:eastAsia="" w:cs="" w:cstheme="majorBidi" w:eastAsiaTheme="majorEastAsia"/>
      <w:i/>
      <w:iCs/>
      <w:color w:themeColor="accent1" w:themeShade="bf" w:val="0F4761"/>
    </w:rPr>
  </w:style>
  <w:style w:type="character" w:styleId="5" w:customStyle="1">
    <w:name w:val="Заголовок 5 Знак"/>
    <w:basedOn w:val="DefaultParagraphFont"/>
    <w:uiPriority w:val="9"/>
    <w:semiHidden/>
    <w:qFormat/>
    <w:rsid w:val="00307871"/>
    <w:rPr>
      <w:rFonts w:eastAsia="" w:cs="" w:cstheme="majorBidi" w:eastAsiaTheme="majorEastAsia"/>
      <w:color w:themeColor="accent1" w:themeShade="bf" w:val="0F4761"/>
    </w:rPr>
  </w:style>
  <w:style w:type="character" w:styleId="6" w:customStyle="1">
    <w:name w:val="Заголовок 6 Знак"/>
    <w:basedOn w:val="DefaultParagraphFont"/>
    <w:uiPriority w:val="9"/>
    <w:semiHidden/>
    <w:qFormat/>
    <w:rsid w:val="00307871"/>
    <w:rPr>
      <w:rFonts w:eastAsia="" w:cs="" w:cstheme="majorBidi" w:eastAsiaTheme="majorEastAsia"/>
      <w:i/>
      <w:iCs/>
      <w:color w:themeColor="text1" w:themeTint="a6" w:val="595959"/>
    </w:rPr>
  </w:style>
  <w:style w:type="character" w:styleId="7" w:customStyle="1">
    <w:name w:val="Заголовок 7 Знак"/>
    <w:basedOn w:val="DefaultParagraphFont"/>
    <w:uiPriority w:val="9"/>
    <w:semiHidden/>
    <w:qFormat/>
    <w:rsid w:val="00307871"/>
    <w:rPr>
      <w:rFonts w:eastAsia="" w:cs="" w:cstheme="majorBidi" w:eastAsiaTheme="majorEastAsia"/>
      <w:color w:themeColor="text1" w:themeTint="a6" w:val="595959"/>
    </w:rPr>
  </w:style>
  <w:style w:type="character" w:styleId="8" w:customStyle="1">
    <w:name w:val="Заголовок 8 Знак"/>
    <w:basedOn w:val="DefaultParagraphFont"/>
    <w:uiPriority w:val="9"/>
    <w:semiHidden/>
    <w:qFormat/>
    <w:rsid w:val="00307871"/>
    <w:rPr>
      <w:rFonts w:eastAsia="" w:cs="" w:cstheme="majorBidi" w:eastAsiaTheme="majorEastAsia"/>
      <w:i/>
      <w:iCs/>
      <w:color w:themeColor="text1" w:themeTint="d8" w:val="272727"/>
    </w:rPr>
  </w:style>
  <w:style w:type="character" w:styleId="9" w:customStyle="1">
    <w:name w:val="Заголовок 9 Знак"/>
    <w:basedOn w:val="DefaultParagraphFont"/>
    <w:uiPriority w:val="9"/>
    <w:semiHidden/>
    <w:qFormat/>
    <w:rsid w:val="00307871"/>
    <w:rPr>
      <w:rFonts w:eastAsia="" w:cs="" w:cstheme="majorBidi" w:eastAsiaTheme="majorEastAsia"/>
      <w:color w:themeColor="text1" w:themeTint="d8" w:val="272727"/>
    </w:rPr>
  </w:style>
  <w:style w:type="character" w:styleId="Style5" w:customStyle="1">
    <w:name w:val="Заголовок Знак"/>
    <w:basedOn w:val="DefaultParagraphFont"/>
    <w:uiPriority w:val="10"/>
    <w:qFormat/>
    <w:rsid w:val="00307871"/>
    <w:rPr>
      <w:rFonts w:ascii="Aptos Display" w:hAnsi="Aptos Display"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uiPriority w:val="11"/>
    <w:qFormat/>
    <w:rsid w:val="00307871"/>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307871"/>
    <w:rPr>
      <w:i/>
      <w:iCs/>
      <w:color w:themeColor="text1" w:themeTint="bf" w:val="404040"/>
    </w:rPr>
  </w:style>
  <w:style w:type="character" w:styleId="IntenseEmphasis">
    <w:name w:val="Intense Emphasis"/>
    <w:basedOn w:val="DefaultParagraphFont"/>
    <w:uiPriority w:val="21"/>
    <w:qFormat/>
    <w:rsid w:val="00307871"/>
    <w:rPr>
      <w:i/>
      <w:iCs/>
      <w:color w:themeColor="accent1" w:themeShade="bf" w:val="0F4761"/>
    </w:rPr>
  </w:style>
  <w:style w:type="character" w:styleId="Style7" w:customStyle="1">
    <w:name w:val="Выделенная цитата Знак"/>
    <w:basedOn w:val="DefaultParagraphFont"/>
    <w:link w:val="IntenseQuote"/>
    <w:uiPriority w:val="30"/>
    <w:qFormat/>
    <w:rsid w:val="00307871"/>
    <w:rPr>
      <w:i/>
      <w:iCs/>
      <w:color w:themeColor="accent1" w:themeShade="bf" w:val="0F4761"/>
    </w:rPr>
  </w:style>
  <w:style w:type="character" w:styleId="IntenseReference">
    <w:name w:val="Intense Reference"/>
    <w:basedOn w:val="DefaultParagraphFont"/>
    <w:uiPriority w:val="32"/>
    <w:qFormat/>
    <w:rsid w:val="00307871"/>
    <w:rPr>
      <w:b/>
      <w:bCs/>
      <w:smallCaps/>
      <w:color w:themeColor="accent1" w:themeShade="bf" w:val="0F4761"/>
      <w:spacing w:val="5"/>
    </w:rPr>
  </w:style>
  <w:style w:type="paragraph" w:styleId="Style8">
    <w:name w:val="Заголовок"/>
    <w:basedOn w:val="Normal"/>
    <w:next w:val="BodyText"/>
    <w:qFormat/>
    <w:pPr>
      <w:keepNext w:val="true"/>
      <w:spacing w:before="240" w:after="120"/>
    </w:pPr>
    <w:rPr>
      <w:rFonts w:ascii="Open Sans" w:hAnsi="Open Sans" w:eastAsia="Tahoma" w:cs="Lohit Devanagari"/>
      <w:sz w:val="28"/>
      <w:szCs w:val="28"/>
    </w:rPr>
  </w:style>
  <w:style w:type="paragraph" w:styleId="BodyText">
    <w:name w:val="Body Text"/>
    <w:basedOn w:val="Normal"/>
    <w:pPr>
      <w:spacing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Style9">
    <w:name w:val="Указатель"/>
    <w:basedOn w:val="Normal"/>
    <w:qFormat/>
    <w:pPr>
      <w:suppressLineNumbers/>
    </w:pPr>
    <w:rPr>
      <w:rFonts w:cs="Lohit Devanagari"/>
    </w:rPr>
  </w:style>
  <w:style w:type="paragraph" w:styleId="Title">
    <w:name w:val="Title"/>
    <w:basedOn w:val="Normal"/>
    <w:next w:val="BodyText"/>
    <w:link w:val="Style5"/>
    <w:uiPriority w:val="10"/>
    <w:qFormat/>
    <w:rsid w:val="00307871"/>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Caption1">
    <w:name w:val="caption1"/>
    <w:basedOn w:val="Normal"/>
    <w:qFormat/>
    <w:pPr>
      <w:suppressLineNumbers/>
      <w:spacing w:before="120" w:after="120"/>
    </w:pPr>
    <w:rPr>
      <w:rFonts w:cs="Lohit Devanagari"/>
      <w:i/>
      <w:iCs/>
    </w:rPr>
  </w:style>
  <w:style w:type="paragraph" w:styleId="Indexheading">
    <w:name w:val="index heading"/>
    <w:basedOn w:val="Normal"/>
    <w:qFormat/>
    <w:pPr>
      <w:suppressLineNumbers/>
    </w:pPr>
    <w:rPr>
      <w:rFonts w:cs="Lohit Devanagari"/>
    </w:rPr>
  </w:style>
  <w:style w:type="paragraph" w:styleId="Caption11" w:customStyle="1">
    <w:name w:val="caption11"/>
    <w:basedOn w:val="Normal"/>
    <w:qFormat/>
    <w:pPr>
      <w:suppressLineNumbers/>
      <w:spacing w:before="120" w:after="120"/>
    </w:pPr>
    <w:rPr>
      <w:rFonts w:cs="Lohit Devanagari"/>
      <w:i/>
      <w:iCs/>
    </w:rPr>
  </w:style>
  <w:style w:type="paragraph" w:styleId="Caption111" w:customStyle="1">
    <w:name w:val="caption111"/>
    <w:basedOn w:val="Normal"/>
    <w:qFormat/>
    <w:pPr>
      <w:suppressLineNumbers/>
      <w:spacing w:before="120" w:after="120"/>
    </w:pPr>
    <w:rPr>
      <w:rFonts w:cs="Lohit Devanagari"/>
      <w:i/>
      <w:iCs/>
    </w:rPr>
  </w:style>
  <w:style w:type="paragraph" w:styleId="Subtitle">
    <w:name w:val="Subtitle"/>
    <w:basedOn w:val="Normal"/>
    <w:next w:val="Normal"/>
    <w:link w:val="Style6"/>
    <w:uiPriority w:val="11"/>
    <w:qFormat/>
    <w:rsid w:val="00307871"/>
    <w:pPr/>
    <w:rPr>
      <w:rFonts w:eastAsia="" w:cs="" w:cstheme="majorBidi" w:eastAsiaTheme="majorEastAsia"/>
      <w:color w:themeColor="text1" w:themeTint="a6" w:val="595959"/>
      <w:spacing w:val="15"/>
      <w:sz w:val="28"/>
      <w:szCs w:val="28"/>
    </w:rPr>
  </w:style>
  <w:style w:type="paragraph" w:styleId="Quote">
    <w:name w:val="Quote"/>
    <w:basedOn w:val="Normal"/>
    <w:next w:val="Normal"/>
    <w:link w:val="21"/>
    <w:uiPriority w:val="29"/>
    <w:qFormat/>
    <w:rsid w:val="00307871"/>
    <w:pPr>
      <w:spacing w:before="160" w:after="160"/>
      <w:jc w:val="center"/>
    </w:pPr>
    <w:rPr>
      <w:i/>
      <w:iCs/>
      <w:color w:themeColor="text1" w:themeTint="bf" w:val="404040"/>
    </w:rPr>
  </w:style>
  <w:style w:type="paragraph" w:styleId="ListParagraph">
    <w:name w:val="List Paragraph"/>
    <w:basedOn w:val="Normal"/>
    <w:uiPriority w:val="34"/>
    <w:qFormat/>
    <w:rsid w:val="00307871"/>
    <w:pPr>
      <w:spacing w:before="0" w:after="160"/>
      <w:ind w:left="720"/>
      <w:contextualSpacing/>
    </w:pPr>
    <w:rPr/>
  </w:style>
  <w:style w:type="paragraph" w:styleId="IntenseQuote">
    <w:name w:val="Intense Quote"/>
    <w:basedOn w:val="Normal"/>
    <w:next w:val="Normal"/>
    <w:link w:val="Style7"/>
    <w:uiPriority w:val="30"/>
    <w:qFormat/>
    <w:rsid w:val="00307871"/>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Paragraph" w:customStyle="1">
    <w:name w:val="Table Paragraph"/>
    <w:basedOn w:val="Normal"/>
    <w:uiPriority w:val="1"/>
    <w:qFormat/>
    <w:pPr>
      <w:ind w:left="29"/>
    </w:pPr>
    <w:rPr>
      <w:rFonts w:ascii="Times New Roman" w:hAnsi="Times New Roman" w:eastAsia="Times New Roman" w:cs="Times New Roman"/>
    </w:rPr>
  </w:style>
  <w:style w:type="paragraph" w:styleId="-1" w:customStyle="1">
    <w:name w:val="КП-Ненумерованный список 1"/>
    <w:basedOn w:val="Normal"/>
    <w:autoRedefine/>
    <w:qFormat/>
    <w:rsid w:val="005a0e94"/>
    <w:pPr>
      <w:spacing w:lineRule="auto" w:line="240" w:before="0" w:after="0"/>
      <w:ind w:firstLine="567"/>
      <w:jc w:val="both"/>
      <w:textAlignment w:val="baseline"/>
    </w:pPr>
    <w:rPr>
      <w:rFonts w:ascii="Times New Roman" w:hAnsi="Times New Roman" w:eastAsia="Calibri" w:cs="Times New Roman"/>
      <w:kern w:val="0"/>
      <w:szCs w:val="20"/>
      <w:lang w:eastAsia="ru-RU"/>
    </w:rPr>
  </w:style>
  <w:style w:type="paragraph" w:styleId="-" w:customStyle="1">
    <w:name w:val="КП-нумерованный"/>
    <w:basedOn w:val="Normal"/>
    <w:autoRedefine/>
    <w:qFormat/>
    <w:rsid w:val="005a0e94"/>
    <w:pPr>
      <w:spacing w:lineRule="auto" w:line="240" w:before="120" w:after="120"/>
      <w:contextualSpacing/>
      <w:jc w:val="both"/>
      <w:textAlignment w:val="baseline"/>
    </w:pPr>
    <w:rPr>
      <w:rFonts w:ascii="Times New Roman" w:hAnsi="Times New Roman" w:eastAsia="Calibri" w:cs="Times New Roman"/>
      <w:kern w:val="0"/>
      <w:szCs w:val="22"/>
      <w:lang w:eastAsia="ru-RU"/>
    </w:rPr>
  </w:style>
  <w:style w:type="paragraph" w:styleId="---2" w:customStyle="1">
    <w:name w:val="КП-Ненумерованный-список-2"/>
    <w:basedOn w:val="-1"/>
    <w:autoRedefine/>
    <w:qFormat/>
    <w:rsid w:val="005a0e94"/>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109</TotalTime>
  <Application>LibreOffice/7.6.7.2$Linux_X86_64 LibreOffice_project/60$Build-2</Application>
  <AppVersion>15.0000</AppVersion>
  <Pages>9</Pages>
  <Words>2706</Words>
  <Characters>19933</Characters>
  <CharactersWithSpaces>22632</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2026-02-09T08:45:00Z</dcterms:created>
  <dc:creator/>
  <dc:description/>
  <dc:language>ru-RU</dc:language>
  <cp:lastModifiedBy/>
  <cp:lastPrinted>2026-07-17T20:04:00Z</cp:lastPrinted>
  <dcterms:modified xsi:type="dcterms:W3CDTF">2026-07-23T06:37:00Z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file>