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0373100012326000002.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ноутбуков.</w:t>
      </w:r>
    </w:p>
    <w:p>
      <w:pPr>
        <w:jc w:val="both"/>
      </w:pPr>
      <w:r>
        <w:t>1.5. Начальная (максимальная) цена контракта: 2 400 000,00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15 процентов цены контракта.</w:t>
      </w:r>
    </w:p>
    <w:p>
      <w:pPr>
        <w:jc w:val="both"/>
      </w:pPr>
      <w:r>
        <w:t>4.3. Размер обеспечения гарантийных обязательств составляет 10 процентов начальной (максимальной) цены контракта.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