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ноутбуков.</w:t>
      </w:r>
    </w:p>
    <w:p>
      <w:pPr>
        <w:jc w:val="both"/>
      </w:pPr>
      <w:r>
        <w:t>1.2. Количество товара: 40 штук.</w:t>
      </w:r>
    </w:p>
    <w:p>
      <w:pPr>
        <w:jc w:val="both"/>
      </w:pPr>
      <w:r>
        <w:t>1.3. Характеристики товара: диагональ не менее 15,6 дюйма, процессор не ниже 8 ядер, ОЗУ не менее 16 ГБ.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Диагональ экрана — не менее 15,6 дюйма, оперативная память — не менее 16 ГБ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