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0373100012326000004.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ноутбуков.</w:t>
      </w:r>
    </w:p>
    <w:p>
      <w:pPr>
        <w:jc w:val="both"/>
      </w:pPr>
      <w:r>
        <w:t>1.5. Начальная (максимальная) цена контракта: 1 500 000,00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К участникам закупки установлено дополнительное требование: наличие опыта исполнения контракта на поставку аналогичного товара, стоимость которого составляет не менее 20 процентов начальной (максимальной) цены контракта.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Если участником закупки предложена цена контракта, которая на двадцать пять и более процентов ниже начальной (максимальной) цены контракта, контракт заключается только после предоставления обеспечения исполнения контракта в размере, превышающем в полтора раза размер обеспечения, указанный в извещении.</w:t>
      </w:r>
    </w:p>
    <w:p>
      <w:pPr>
        <w:jc w:val="both"/>
      </w:pPr>
      <w:r>
        <w:t>4.4.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Установлен запрет допуска товаров, происходящих из иностранных государств, в соответствии с постановлением Правительства Российской Федерации от 23.12.2024 № 1875.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p>
      <w:pPr>
        <w:jc w:val="both"/>
      </w:pPr>
      <w:r>
        <w:t>6.3. Одновременно с подписанием контракта победитель обязан представить заказчику нотариально заверенные копии сертификатов соответствия на весь Товар и образцы Товара.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