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0373100012326000005)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кресла офисные (далее — Товар) в количестве 60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900 000,00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доставки по 12 адресам Заказчика, разгрузки, подъёма на этаж, сборки и монтажа, вывоза и утилизации упаковки,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8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7.3. За каждый факт неисполнения или ненадлежащего исполнения Поставщиком обязательств, не связанного с просрочкой, уплачивается штраф в размере 25 процентов цены Контракта.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трёх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